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rFonts w:hint="eastAsia" w:eastAsia="宋体"/>
          <w:b w:val="0"/>
          <w:lang w:val="en-US" w:eastAsia="zh-CN"/>
        </w:rPr>
      </w:pPr>
      <w:r>
        <w:t>Supplementary Material</w:t>
      </w:r>
    </w:p>
    <w:p>
      <w:pPr>
        <w:widowControl w:val="0"/>
        <w:spacing w:before="0" w:after="0" w:line="240" w:lineRule="auto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/>
        </w:rPr>
      </w:pPr>
      <w:bookmarkStart w:id="0" w:name="OLE_LINK109"/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/>
        </w:rPr>
        <w:t>Supplementary Table11</w:t>
      </w:r>
      <w:bookmarkEnd w:id="0"/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/>
        </w:rPr>
        <w:t xml:space="preserve"> Efficacy evaluation of bacteriophage preparations and antibiotics for </w:t>
      </w:r>
      <w:bookmarkStart w:id="1" w:name="OLE_LINK119"/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/>
        </w:rPr>
        <w:t>prevention</w:t>
      </w:r>
      <w:bookmarkEnd w:id="1"/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/>
        </w:rPr>
        <w:t xml:space="preserve"> of APEC infection in </w:t>
      </w:r>
      <w:r>
        <w:rPr>
          <w:rFonts w:hint="eastAsia" w:ascii="Calibri" w:hAnsi="Calibri" w:eastAsia="宋体" w:cs="Times New Roman"/>
          <w:i/>
          <w:iCs/>
          <w:kern w:val="2"/>
          <w:sz w:val="21"/>
          <w:szCs w:val="24"/>
          <w:lang w:val="en-US" w:eastAsia="zh-CN"/>
        </w:rPr>
        <w:t>vivo</w:t>
      </w:r>
    </w:p>
    <w:tbl>
      <w:tblPr>
        <w:tblStyle w:val="20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88"/>
        <w:gridCol w:w="1595"/>
        <w:gridCol w:w="1431"/>
        <w:gridCol w:w="1431"/>
        <w:gridCol w:w="1431"/>
        <w:gridCol w:w="1431"/>
        <w:gridCol w:w="1431"/>
        <w:gridCol w:w="1431"/>
        <w:gridCol w:w="143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780" w:type="pct"/>
            <w:gridSpan w:val="2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Group (Number)</w:t>
            </w:r>
          </w:p>
        </w:tc>
        <w:tc>
          <w:tcPr>
            <w:tcW w:w="57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SHLHSP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51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DHSP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51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CSSSP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50)</w:t>
            </w:r>
          </w:p>
        </w:tc>
        <w:tc>
          <w:tcPr>
            <w:tcW w:w="51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50)</w:t>
            </w:r>
          </w:p>
        </w:tc>
        <w:tc>
          <w:tcPr>
            <w:tcW w:w="51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2" w:name="OLE_LINK10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TFSP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50)</w:t>
            </w:r>
          </w:p>
        </w:tc>
        <w:tc>
          <w:tcPr>
            <w:tcW w:w="51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Phage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50)</w:t>
            </w:r>
          </w:p>
        </w:tc>
        <w:tc>
          <w:tcPr>
            <w:tcW w:w="519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50)</w:t>
            </w:r>
          </w:p>
        </w:tc>
        <w:tc>
          <w:tcPr>
            <w:tcW w:w="521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restar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Weekly weight</w:t>
            </w:r>
          </w:p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322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0</w:t>
            </w:r>
          </w:p>
        </w:tc>
        <w:tc>
          <w:tcPr>
            <w:tcW w:w="57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  <w:tc>
          <w:tcPr>
            <w:tcW w:w="51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1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1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1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1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19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21" w:type="pc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7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14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21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54" w:colFirst="2" w:colLast="9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aily feed intake</w:t>
            </w:r>
          </w:p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3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4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5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6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7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8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9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10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13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14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15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16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17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18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19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20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 21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3.47</w:t>
            </w:r>
          </w:p>
        </w:tc>
      </w:tr>
      <w:bookmarkEnd w:id="3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Weekly deaths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  <w:t>week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  <w:t>week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s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vMerge w:val="continue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week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/>
        </w:rPr>
        <w:t xml:space="preserve">Note: TFSP, Tiamulin Fumarate Soluble Powder (Veterinary Drug Character (VDC) 020033008, Ringpu, China); FF, Fubennikao Fen (VDC 010122539, Aether Centre (Beijing) BIOLOGY, China); </w:t>
      </w:r>
      <w:r>
        <w:rPr>
          <w:rFonts w:hint="default" w:ascii="Calibri" w:hAnsi="Calibri" w:eastAsia="宋体" w:cs="Times New Roman"/>
          <w:kern w:val="2"/>
          <w:sz w:val="21"/>
          <w:szCs w:val="24"/>
          <w:vertAlign w:val="baseline"/>
          <w:lang w:val="en-US" w:eastAsia="zh-CN"/>
        </w:rPr>
        <w:t>CSSSP</w:t>
      </w:r>
      <w:r>
        <w:rPr>
          <w:rFonts w:hint="eastAsia" w:ascii="Calibri" w:hAnsi="Calibri" w:eastAsia="宋体" w:cs="Times New Roman"/>
          <w:kern w:val="2"/>
          <w:sz w:val="21"/>
          <w:szCs w:val="24"/>
          <w:vertAlign w:val="baseline"/>
          <w:lang w:val="en-US" w:eastAsia="zh-CN"/>
        </w:rPr>
        <w:t>, Compound Sulfamonomethoxine Sodium Soluble Powder (VDC 040266233, SHANXI YI KANG ANIMAL'S PHARMACEUTCAL, China); DHSP, Doxycycline Hyclate Soluble Powder (VDC 010126011, Aether Centre (Beijing) BIOLOGY, China); SHLHSP, Spectinomycin Hydrochloride and Lincomycin  Hydrochloride Soluble Powder (VDC 20031339, ringpu, China); PC, positive control; NC, negative control.</w:t>
      </w:r>
    </w:p>
    <w:p>
      <w:pPr>
        <w:spacing w:before="240"/>
        <w:rPr>
          <w:rFonts w:hint="eastAsia"/>
          <w:lang w:val="en-US" w:eastAsia="zh-CN"/>
        </w:rPr>
      </w:pPr>
      <w:bookmarkStart w:id="4" w:name="_GoBack"/>
      <w:bookmarkEnd w:id="4"/>
    </w:p>
    <w:sectPr>
      <w:headerReference r:id="rId6" w:type="first"/>
      <w:footerReference r:id="rId7" w:type="default"/>
      <w:headerReference r:id="rId5" w:type="even"/>
      <w:footerReference r:id="rId8" w:type="even"/>
      <w:pgSz w:w="15840" w:h="12240" w:orient="landscape"/>
      <w:pgMar w:top="1282" w:right="1138" w:bottom="1181" w:left="113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16.3pt;margin-top:552.95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M2M2YWVkOGUzNTgxNTY0NzE0NGI3OGE5MGI1YjY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74C5333"/>
    <w:rsid w:val="1AB2712E"/>
    <w:rsid w:val="1C2F271F"/>
    <w:rsid w:val="25014106"/>
    <w:rsid w:val="26610111"/>
    <w:rsid w:val="414A6FD5"/>
    <w:rsid w:val="4F290436"/>
    <w:rsid w:val="6E9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princess、linn</cp:lastModifiedBy>
  <cp:lastPrinted>2013-10-03T12:51:00Z</cp:lastPrinted>
  <dcterms:modified xsi:type="dcterms:W3CDTF">2024-02-13T18:39:21Z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2052-12.1.0.16250</vt:lpwstr>
  </property>
  <property fmtid="{D5CDD505-2E9C-101B-9397-08002B2CF9AE}" pid="11" name="ICV">
    <vt:lpwstr>C128B59C2979479A9ECD8730FBCDF282_12</vt:lpwstr>
  </property>
</Properties>
</file>