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FD1E9" w14:textId="77777777" w:rsidR="00F10819" w:rsidRDefault="00F10819" w:rsidP="00F10819">
      <w:pPr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Supplementary material</w:t>
      </w:r>
      <w:r w:rsidRPr="00885EF5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</w:p>
    <w:p w14:paraId="7DA4DDB0" w14:textId="77777777" w:rsidR="00F10819" w:rsidRDefault="00F10819" w:rsidP="00F10819">
      <w:pPr>
        <w:spacing w:line="360" w:lineRule="auto"/>
        <w:jc w:val="left"/>
        <w:rPr>
          <w:rFonts w:ascii="Times New Roman" w:hAnsi="Times New Roman" w:cs="Times New Roman"/>
          <w:color w:val="000000" w:themeColor="text1"/>
        </w:rPr>
      </w:pPr>
    </w:p>
    <w:p w14:paraId="38D9A77E" w14:textId="77777777" w:rsidR="00F10819" w:rsidRDefault="00F10819" w:rsidP="00F10819">
      <w:pPr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7057D8FD" wp14:editId="752C6242">
            <wp:extent cx="5396230" cy="5503545"/>
            <wp:effectExtent l="0" t="0" r="1270" b="0"/>
            <wp:docPr id="1571713476" name="図 7" descr="ダイアグラム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713476" name="図 7" descr="ダイアグラム&#10;&#10;中程度の精度で自動的に生成された説明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50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B5EAC" w14:textId="77777777" w:rsidR="00F10819" w:rsidRDefault="00F10819" w:rsidP="00F10819">
      <w:pPr>
        <w:jc w:val="left"/>
        <w:rPr>
          <w:rFonts w:ascii="Times New Roman" w:hAnsi="Times New Roman" w:cs="Times New Roman"/>
          <w:b/>
          <w:color w:val="000000" w:themeColor="text1"/>
        </w:rPr>
      </w:pPr>
    </w:p>
    <w:p w14:paraId="166BB46B" w14:textId="77777777" w:rsidR="00F10819" w:rsidRDefault="00F10819" w:rsidP="00F10819">
      <w:pPr>
        <w:jc w:val="left"/>
        <w:rPr>
          <w:rFonts w:ascii="Times New Roman" w:hAnsi="Times New Roman" w:cs="Times New Roman"/>
          <w:color w:val="000000" w:themeColor="text1"/>
        </w:rPr>
      </w:pPr>
      <w:r w:rsidRPr="007E58AF">
        <w:rPr>
          <w:rFonts w:ascii="Times New Roman" w:hAnsi="Times New Roman" w:cs="Times New Roman"/>
          <w:b/>
          <w:color w:val="000000" w:themeColor="text1"/>
        </w:rPr>
        <w:t xml:space="preserve">Supplementary material </w:t>
      </w:r>
      <w:r>
        <w:rPr>
          <w:rFonts w:ascii="Times New Roman" w:hAnsi="Times New Roman" w:cs="Times New Roman"/>
          <w:b/>
          <w:color w:val="000000" w:themeColor="text1"/>
        </w:rPr>
        <w:t>Figure</w:t>
      </w:r>
      <w:r w:rsidRPr="007E58AF">
        <w:rPr>
          <w:rFonts w:ascii="Times New Roman" w:hAnsi="Times New Roman" w:cs="Times New Roman"/>
          <w:b/>
          <w:color w:val="000000" w:themeColor="text1"/>
        </w:rPr>
        <w:t xml:space="preserve"> S1. </w:t>
      </w:r>
      <w:r w:rsidRPr="00885EF5">
        <w:rPr>
          <w:rFonts w:ascii="Times New Roman" w:hAnsi="Times New Roman" w:cs="Times New Roman"/>
          <w:color w:val="000000" w:themeColor="text1"/>
        </w:rPr>
        <w:t>TLC analysis of glycosphingolipids in the pellets and the original powder.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885EF5">
        <w:rPr>
          <w:rFonts w:ascii="Times New Roman" w:hAnsi="Times New Roman" w:cs="Times New Roman"/>
          <w:color w:val="000000" w:themeColor="text1"/>
        </w:rPr>
        <w:t xml:space="preserve">Stability of GM3 and GD3 after </w:t>
      </w:r>
      <w:proofErr w:type="spellStart"/>
      <w:r w:rsidRPr="00885EF5">
        <w:rPr>
          <w:rFonts w:ascii="Times New Roman" w:hAnsi="Times New Roman" w:cs="Times New Roman"/>
          <w:color w:val="000000" w:themeColor="text1"/>
        </w:rPr>
        <w:t>pelleti</w:t>
      </w:r>
      <w:r>
        <w:rPr>
          <w:rFonts w:ascii="Times New Roman" w:hAnsi="Times New Roman" w:cs="Times New Roman"/>
          <w:color w:val="000000" w:themeColor="text1"/>
        </w:rPr>
        <w:t>z</w:t>
      </w:r>
      <w:r w:rsidRPr="00885EF5">
        <w:rPr>
          <w:rFonts w:ascii="Times New Roman" w:hAnsi="Times New Roman" w:cs="Times New Roman"/>
          <w:color w:val="000000" w:themeColor="text1"/>
        </w:rPr>
        <w:t>ation</w:t>
      </w:r>
      <w:proofErr w:type="spellEnd"/>
      <w:r w:rsidRPr="00885EF5">
        <w:rPr>
          <w:rFonts w:ascii="Times New Roman" w:hAnsi="Times New Roman" w:cs="Times New Roman"/>
          <w:color w:val="000000" w:themeColor="text1"/>
        </w:rPr>
        <w:t xml:space="preserve"> was examined by comparing with corresponding GM3 and GD3 levels in the original GL500 and </w:t>
      </w:r>
      <w:proofErr w:type="spellStart"/>
      <w:r w:rsidRPr="00885EF5">
        <w:rPr>
          <w:rFonts w:ascii="Times New Roman" w:hAnsi="Times New Roman" w:cs="Times New Roman"/>
          <w:color w:val="000000" w:themeColor="text1"/>
        </w:rPr>
        <w:t>SuperZ</w:t>
      </w:r>
      <w:proofErr w:type="spellEnd"/>
      <w:r w:rsidRPr="00885EF5">
        <w:rPr>
          <w:rFonts w:ascii="Times New Roman" w:hAnsi="Times New Roman" w:cs="Times New Roman"/>
          <w:color w:val="000000" w:themeColor="text1"/>
        </w:rPr>
        <w:t xml:space="preserve"> powder</w:t>
      </w:r>
      <w:r>
        <w:rPr>
          <w:rFonts w:ascii="Times New Roman" w:hAnsi="Times New Roman" w:cs="Times New Roman"/>
          <w:color w:val="000000" w:themeColor="text1"/>
        </w:rPr>
        <w:t>s</w:t>
      </w:r>
      <w:r w:rsidRPr="00885EF5">
        <w:rPr>
          <w:rFonts w:ascii="Times New Roman" w:hAnsi="Times New Roman" w:cs="Times New Roman"/>
          <w:color w:val="000000" w:themeColor="text1"/>
        </w:rPr>
        <w:t>.</w:t>
      </w:r>
      <w:r w:rsidRPr="00885EF5">
        <w:rPr>
          <w:rFonts w:ascii="Times New Roman" w:hAnsi="Times New Roman" w:cs="Times New Roman"/>
          <w:color w:val="000000" w:themeColor="text1"/>
        </w:rPr>
        <w:t xml:space="preserve">　</w:t>
      </w:r>
    </w:p>
    <w:p w14:paraId="3CF52EBC" w14:textId="77777777" w:rsidR="00F10819" w:rsidRDefault="00F10819" w:rsidP="00F10819">
      <w:pPr>
        <w:jc w:val="left"/>
        <w:rPr>
          <w:rFonts w:ascii="Times New Roman" w:hAnsi="Times New Roman" w:cs="Times New Roman"/>
          <w:color w:val="000000" w:themeColor="text1"/>
        </w:rPr>
      </w:pPr>
      <w:r w:rsidRPr="00885EF5">
        <w:rPr>
          <w:rFonts w:ascii="Times New Roman" w:hAnsi="Times New Roman" w:cs="Times New Roman"/>
          <w:color w:val="000000" w:themeColor="text1"/>
        </w:rPr>
        <w:t>Starting materials for purification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</w:rPr>
        <w:t>were</w:t>
      </w:r>
      <w:r w:rsidRPr="00885EF5">
        <w:rPr>
          <w:rFonts w:ascii="Times New Roman" w:hAnsi="Times New Roman" w:cs="Times New Roman"/>
          <w:color w:val="000000" w:themeColor="text1"/>
        </w:rPr>
        <w:t>:</w:t>
      </w:r>
      <w:proofErr w:type="gramEnd"/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885EF5">
        <w:rPr>
          <w:rFonts w:ascii="Times New Roman" w:hAnsi="Times New Roman" w:cs="Times New Roman"/>
          <w:color w:val="000000" w:themeColor="text1"/>
        </w:rPr>
        <w:t>AIN-93G containing GL500:100 mg, GL500 original powder: 6.5 mg</w:t>
      </w:r>
      <w:r>
        <w:rPr>
          <w:rFonts w:ascii="Times New Roman" w:hAnsi="Times New Roman" w:cs="Times New Roman"/>
          <w:color w:val="000000" w:themeColor="text1"/>
        </w:rPr>
        <w:t xml:space="preserve">; </w:t>
      </w:r>
      <w:r w:rsidRPr="00885EF5">
        <w:rPr>
          <w:rFonts w:ascii="Times New Roman" w:hAnsi="Times New Roman" w:cs="Times New Roman"/>
          <w:color w:val="000000" w:themeColor="text1"/>
        </w:rPr>
        <w:t xml:space="preserve">AIN-93G containing SuperZ:100 mg, </w:t>
      </w:r>
      <w:proofErr w:type="spellStart"/>
      <w:r w:rsidRPr="00885EF5">
        <w:rPr>
          <w:rFonts w:ascii="Times New Roman" w:hAnsi="Times New Roman" w:cs="Times New Roman"/>
          <w:color w:val="000000" w:themeColor="text1"/>
        </w:rPr>
        <w:t>SuperZ</w:t>
      </w:r>
      <w:proofErr w:type="spellEnd"/>
      <w:r w:rsidRPr="00885EF5">
        <w:rPr>
          <w:rFonts w:ascii="Times New Roman" w:hAnsi="Times New Roman" w:cs="Times New Roman"/>
          <w:color w:val="000000" w:themeColor="text1"/>
        </w:rPr>
        <w:t xml:space="preserve"> original powder: 5.0 mg</w:t>
      </w:r>
      <w:r>
        <w:rPr>
          <w:rFonts w:ascii="Times New Roman" w:hAnsi="Times New Roman" w:cs="Times New Roman"/>
          <w:color w:val="000000" w:themeColor="text1"/>
        </w:rPr>
        <w:t>.</w:t>
      </w:r>
    </w:p>
    <w:p w14:paraId="250EAF2D" w14:textId="77777777" w:rsidR="00F10819" w:rsidRDefault="00F10819" w:rsidP="00F10819">
      <w:pPr>
        <w:spacing w:line="360" w:lineRule="auto"/>
        <w:jc w:val="left"/>
        <w:rPr>
          <w:rFonts w:ascii="Times New Roman" w:hAnsi="Times New Roman" w:cs="Times New Roman"/>
          <w:color w:val="000000" w:themeColor="text1"/>
        </w:rPr>
      </w:pPr>
    </w:p>
    <w:p w14:paraId="3F6312C3" w14:textId="77777777" w:rsidR="00F10819" w:rsidRDefault="00F10819" w:rsidP="00F10819">
      <w:pPr>
        <w:widowControl/>
        <w:jc w:val="lef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br w:type="page"/>
      </w:r>
    </w:p>
    <w:p w14:paraId="56D38C45" w14:textId="77777777" w:rsidR="00F10819" w:rsidRDefault="00F10819" w:rsidP="00F10819">
      <w:pPr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885EF5">
        <w:rPr>
          <w:rFonts w:ascii="Times New Roman" w:hAnsi="Times New Roman" w:cs="Times New Roman"/>
          <w:noProof/>
          <w:color w:val="000000" w:themeColor="text1"/>
          <w:lang w:eastAsia="en-US"/>
        </w:rPr>
        <w:lastRenderedPageBreak/>
        <w:drawing>
          <wp:inline distT="0" distB="0" distL="0" distR="0" wp14:anchorId="42C28406" wp14:editId="3B4FB25F">
            <wp:extent cx="5435545" cy="2378279"/>
            <wp:effectExtent l="19050" t="0" r="0" b="0"/>
            <wp:docPr id="2" name="図 6" descr="グラフ, ヒスト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6" descr="グラフ, ヒストグラム&#10;&#10;自動的に生成された説明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26" b="41926"/>
                    <a:stretch>
                      <a:fillRect/>
                    </a:stretch>
                  </pic:blipFill>
                  <pic:spPr>
                    <a:xfrm>
                      <a:off x="0" y="0"/>
                      <a:ext cx="5435545" cy="237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90D35" w14:textId="77777777" w:rsidR="00F10819" w:rsidRDefault="00F10819" w:rsidP="00F10819">
      <w:pPr>
        <w:spacing w:line="360" w:lineRule="auto"/>
        <w:jc w:val="left"/>
        <w:rPr>
          <w:rFonts w:ascii="Times New Roman" w:hAnsi="Times New Roman" w:cs="Times New Roman"/>
          <w:color w:val="000000" w:themeColor="text1"/>
        </w:rPr>
      </w:pPr>
    </w:p>
    <w:p w14:paraId="323C7170" w14:textId="77777777" w:rsidR="00F10819" w:rsidRDefault="00F10819" w:rsidP="00F10819">
      <w:pPr>
        <w:jc w:val="left"/>
        <w:rPr>
          <w:rFonts w:ascii="Times New Roman" w:hAnsi="Times New Roman" w:cs="Times New Roman"/>
          <w:color w:val="000000" w:themeColor="text1"/>
        </w:rPr>
      </w:pPr>
      <w:r w:rsidRPr="007E58AF">
        <w:rPr>
          <w:rFonts w:ascii="Times New Roman" w:hAnsi="Times New Roman" w:cs="Times New Roman"/>
          <w:b/>
          <w:color w:val="000000" w:themeColor="text1"/>
        </w:rPr>
        <w:t xml:space="preserve">Supplementary material </w:t>
      </w:r>
      <w:r>
        <w:rPr>
          <w:rFonts w:ascii="Times New Roman" w:hAnsi="Times New Roman" w:cs="Times New Roman"/>
          <w:b/>
          <w:color w:val="000000" w:themeColor="text1"/>
        </w:rPr>
        <w:t>Figure</w:t>
      </w:r>
      <w:r w:rsidRPr="007E58AF">
        <w:rPr>
          <w:rFonts w:ascii="Times New Roman" w:hAnsi="Times New Roman" w:cs="Times New Roman"/>
          <w:b/>
          <w:color w:val="000000" w:themeColor="text1"/>
        </w:rPr>
        <w:t xml:space="preserve"> S2. </w:t>
      </w:r>
      <w:r w:rsidRPr="00885EF5">
        <w:rPr>
          <w:rFonts w:ascii="Times New Roman" w:hAnsi="Times New Roman" w:cs="Times New Roman"/>
          <w:color w:val="000000" w:themeColor="text1"/>
        </w:rPr>
        <w:t>LC-MS/MS analysis of d18:1 GM3 molecular species in pellets</w:t>
      </w:r>
      <w:r>
        <w:rPr>
          <w:rFonts w:ascii="Times New Roman" w:hAnsi="Times New Roman" w:cs="Times New Roman"/>
          <w:color w:val="000000" w:themeColor="text1"/>
        </w:rPr>
        <w:t xml:space="preserve"> containing </w:t>
      </w:r>
      <w:proofErr w:type="spellStart"/>
      <w:r>
        <w:rPr>
          <w:rFonts w:ascii="Times New Roman" w:hAnsi="Times New Roman" w:cs="Times New Roman"/>
          <w:color w:val="000000" w:themeColor="text1"/>
        </w:rPr>
        <w:t>SuperZ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(A) or GL500 (B)</w:t>
      </w:r>
      <w:r w:rsidRPr="00885EF5">
        <w:rPr>
          <w:rFonts w:ascii="Times New Roman" w:hAnsi="Times New Roman" w:cs="Times New Roman"/>
          <w:color w:val="000000" w:themeColor="text1"/>
        </w:rPr>
        <w:t>.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885EF5">
        <w:rPr>
          <w:rFonts w:ascii="Times New Roman" w:hAnsi="Times New Roman" w:cs="Times New Roman"/>
          <w:color w:val="000000" w:themeColor="text1"/>
        </w:rPr>
        <w:t>GM3 molecular species in food pellets (ng/mg) were determined, using the internal standard NeuAcGM3(d18:1-[</w:t>
      </w:r>
      <w:r w:rsidRPr="00885EF5">
        <w:rPr>
          <w:rFonts w:ascii="Times New Roman" w:hAnsi="Times New Roman" w:cs="Times New Roman"/>
          <w:color w:val="000000" w:themeColor="text1"/>
          <w:vertAlign w:val="superscript"/>
        </w:rPr>
        <w:t>13</w:t>
      </w:r>
      <w:r w:rsidRPr="00885EF5">
        <w:rPr>
          <w:rFonts w:ascii="Times New Roman" w:hAnsi="Times New Roman" w:cs="Times New Roman"/>
          <w:color w:val="000000" w:themeColor="text1"/>
        </w:rPr>
        <w:t>C]16:0), as follows: GM3 molecular species (ng/</w:t>
      </w:r>
      <w:proofErr w:type="gramStart"/>
      <w:r w:rsidRPr="00885EF5">
        <w:rPr>
          <w:rFonts w:ascii="Times New Roman" w:hAnsi="Times New Roman" w:cs="Times New Roman"/>
          <w:color w:val="000000" w:themeColor="text1"/>
        </w:rPr>
        <w:t>mg)=</w:t>
      </w:r>
      <w:proofErr w:type="gramEnd"/>
      <w:r w:rsidRPr="00885EF5">
        <w:rPr>
          <w:rFonts w:ascii="Times New Roman" w:hAnsi="Times New Roman" w:cs="Times New Roman"/>
          <w:color w:val="000000" w:themeColor="text1"/>
        </w:rPr>
        <w:t xml:space="preserve">(area of molecular species peak)/(area of internal standard peak)×(mass of internal standard added to food (ng))/(mass of food analyzed (mg)). Total d18:1 GM3 was calculated by taking the sum of all endogenous species measured. The evaluation comes with a caveat that </w:t>
      </w:r>
      <w:r>
        <w:rPr>
          <w:rFonts w:ascii="Times New Roman" w:hAnsi="Times New Roman" w:cs="Times New Roman"/>
          <w:color w:val="000000" w:themeColor="text1"/>
        </w:rPr>
        <w:t xml:space="preserve">not </w:t>
      </w:r>
      <w:r w:rsidRPr="00885EF5">
        <w:rPr>
          <w:rFonts w:ascii="Times New Roman" w:hAnsi="Times New Roman" w:cs="Times New Roman"/>
          <w:color w:val="000000" w:themeColor="text1"/>
        </w:rPr>
        <w:t>all d18:1 GM3 molecular species share identical ionization efficiencies</w:t>
      </w:r>
      <w:r>
        <w:rPr>
          <w:rFonts w:ascii="Times New Roman" w:hAnsi="Times New Roman" w:cs="Times New Roman"/>
          <w:color w:val="000000" w:themeColor="text1"/>
        </w:rPr>
        <w:t>; in</w:t>
      </w:r>
      <w:r w:rsidRPr="00885EF5">
        <w:rPr>
          <w:rFonts w:ascii="Times New Roman" w:hAnsi="Times New Roman" w:cs="Times New Roman"/>
          <w:color w:val="000000" w:themeColor="text1"/>
        </w:rPr>
        <w:t xml:space="preserve"> this case, due to limited availability of pure GM3 molecular species standards, all species are assumed to have ionization efficiencies comparable </w:t>
      </w:r>
      <w:r>
        <w:rPr>
          <w:rFonts w:ascii="Times New Roman" w:hAnsi="Times New Roman" w:cs="Times New Roman"/>
          <w:color w:val="000000" w:themeColor="text1"/>
        </w:rPr>
        <w:t>with</w:t>
      </w:r>
      <w:r w:rsidRPr="00885EF5">
        <w:rPr>
          <w:rFonts w:ascii="Times New Roman" w:hAnsi="Times New Roman" w:cs="Times New Roman"/>
          <w:color w:val="000000" w:themeColor="text1"/>
        </w:rPr>
        <w:t> NeuAcGM3(d18:1-[</w:t>
      </w:r>
      <w:r w:rsidRPr="00885EF5">
        <w:rPr>
          <w:rFonts w:ascii="Times New Roman" w:hAnsi="Times New Roman" w:cs="Times New Roman"/>
          <w:color w:val="000000" w:themeColor="text1"/>
          <w:vertAlign w:val="superscript"/>
        </w:rPr>
        <w:t>13</w:t>
      </w:r>
      <w:r w:rsidRPr="00885EF5">
        <w:rPr>
          <w:rFonts w:ascii="Times New Roman" w:hAnsi="Times New Roman" w:cs="Times New Roman"/>
          <w:color w:val="000000" w:themeColor="text1"/>
        </w:rPr>
        <w:t>C]16:0).</w:t>
      </w:r>
    </w:p>
    <w:p w14:paraId="53D89E98" w14:textId="77777777" w:rsidR="00F10819" w:rsidRDefault="00F10819" w:rsidP="00F10819">
      <w:pPr>
        <w:spacing w:line="360" w:lineRule="auto"/>
        <w:jc w:val="left"/>
        <w:rPr>
          <w:rFonts w:ascii="Times New Roman" w:hAnsi="Times New Roman" w:cs="Times New Roman"/>
          <w:color w:val="000000" w:themeColor="text1"/>
        </w:rPr>
      </w:pPr>
    </w:p>
    <w:p w14:paraId="3848FCF1" w14:textId="77777777" w:rsidR="00F10819" w:rsidRDefault="00F10819" w:rsidP="00F10819">
      <w:pPr>
        <w:spacing w:line="360" w:lineRule="auto"/>
        <w:jc w:val="left"/>
        <w:rPr>
          <w:rFonts w:ascii="Times New Roman" w:hAnsi="Times New Roman" w:cs="Times New Roman"/>
          <w:color w:val="000000" w:themeColor="text1"/>
        </w:rPr>
      </w:pPr>
    </w:p>
    <w:p w14:paraId="631C8D94" w14:textId="77777777" w:rsidR="00F10819" w:rsidRDefault="00F10819" w:rsidP="00F10819">
      <w:pPr>
        <w:widowControl/>
        <w:jc w:val="lef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br w:type="page"/>
      </w:r>
    </w:p>
    <w:p w14:paraId="59705369" w14:textId="77777777" w:rsidR="00F10819" w:rsidRDefault="00F10819" w:rsidP="00F10819">
      <w:pPr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7B7AB855" wp14:editId="2DFE7C35">
            <wp:extent cx="5727700" cy="5736590"/>
            <wp:effectExtent l="0" t="0" r="0" b="3810"/>
            <wp:docPr id="292100955" name="図 1" descr="グラフィカル ユーザー インターフェイス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100955" name="図 1" descr="グラフィカル ユーザー インターフェイス&#10;&#10;自動的に生成された説明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3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CCB85" w14:textId="77777777" w:rsidR="00F10819" w:rsidRDefault="00F10819" w:rsidP="00F10819">
      <w:pPr>
        <w:widowControl/>
        <w:jc w:val="left"/>
        <w:rPr>
          <w:rFonts w:ascii="Times New Roman" w:hAnsi="Times New Roman" w:cs="Times New Roman"/>
          <w:b/>
          <w:color w:val="000000" w:themeColor="text1"/>
        </w:rPr>
      </w:pPr>
    </w:p>
    <w:p w14:paraId="48588821" w14:textId="77777777" w:rsidR="00F10819" w:rsidRDefault="00F10819" w:rsidP="00F10819">
      <w:pPr>
        <w:widowControl/>
        <w:jc w:val="left"/>
        <w:rPr>
          <w:rFonts w:ascii="Times New Roman" w:hAnsi="Times New Roman" w:cs="Times New Roman"/>
          <w:b/>
          <w:color w:val="000000" w:themeColor="text1"/>
        </w:rPr>
      </w:pPr>
    </w:p>
    <w:p w14:paraId="076B3987" w14:textId="77777777" w:rsidR="00F10819" w:rsidRDefault="00F10819" w:rsidP="00F10819">
      <w:pPr>
        <w:widowControl/>
        <w:jc w:val="left"/>
        <w:rPr>
          <w:rFonts w:ascii="Times New Roman" w:hAnsi="Times New Roman" w:cs="Times New Roman"/>
          <w:color w:val="000000" w:themeColor="text1"/>
        </w:rPr>
      </w:pPr>
      <w:r w:rsidRPr="007E58AF">
        <w:rPr>
          <w:rFonts w:ascii="Times New Roman" w:hAnsi="Times New Roman" w:cs="Times New Roman"/>
          <w:b/>
          <w:color w:val="000000" w:themeColor="text1"/>
        </w:rPr>
        <w:t xml:space="preserve">Supplementary material </w:t>
      </w:r>
      <w:r>
        <w:rPr>
          <w:rFonts w:ascii="Times New Roman" w:hAnsi="Times New Roman" w:cs="Times New Roman"/>
          <w:b/>
          <w:color w:val="000000" w:themeColor="text1"/>
        </w:rPr>
        <w:t>Figure</w:t>
      </w:r>
      <w:r w:rsidRPr="007E58AF">
        <w:rPr>
          <w:rFonts w:ascii="Times New Roman" w:hAnsi="Times New Roman" w:cs="Times New Roman"/>
          <w:b/>
          <w:color w:val="000000" w:themeColor="text1"/>
        </w:rPr>
        <w:t xml:space="preserve"> S3. </w:t>
      </w:r>
      <w:r w:rsidRPr="00885EF5">
        <w:rPr>
          <w:rFonts w:ascii="Times New Roman" w:hAnsi="Times New Roman" w:cs="Times New Roman"/>
          <w:color w:val="000000" w:themeColor="text1"/>
        </w:rPr>
        <w:t xml:space="preserve">Serum glycosphingolipids of </w:t>
      </w:r>
      <w:r>
        <w:rPr>
          <w:rFonts w:ascii="Times New Roman" w:hAnsi="Times New Roman" w:cs="Times New Roman"/>
          <w:color w:val="000000" w:themeColor="text1"/>
        </w:rPr>
        <w:t>t</w:t>
      </w:r>
      <w:r w:rsidRPr="00885EF5">
        <w:rPr>
          <w:rFonts w:ascii="Times New Roman" w:hAnsi="Times New Roman" w:cs="Times New Roman"/>
          <w:color w:val="000000" w:themeColor="text1"/>
        </w:rPr>
        <w:t>hree weeks-old wild type BALB/c mice (♂</w:t>
      </w:r>
      <w:r>
        <w:rPr>
          <w:rFonts w:ascii="Times New Roman" w:hAnsi="Times New Roman" w:cs="Times New Roman"/>
          <w:color w:val="000000" w:themeColor="text1"/>
        </w:rPr>
        <w:t xml:space="preserve">) </w:t>
      </w:r>
      <w:r w:rsidRPr="00885EF5">
        <w:rPr>
          <w:rFonts w:ascii="Times New Roman" w:hAnsi="Times New Roman" w:cs="Times New Roman"/>
          <w:color w:val="000000" w:themeColor="text1"/>
        </w:rPr>
        <w:t>(</w:t>
      </w:r>
      <w:r>
        <w:rPr>
          <w:rFonts w:ascii="Times New Roman" w:hAnsi="Times New Roman" w:cs="Times New Roman"/>
          <w:color w:val="000000" w:themeColor="text1"/>
        </w:rPr>
        <w:t xml:space="preserve">N = </w:t>
      </w:r>
      <w:r w:rsidRPr="00885EF5">
        <w:rPr>
          <w:rFonts w:ascii="Times New Roman" w:hAnsi="Times New Roman" w:cs="Times New Roman"/>
          <w:color w:val="000000" w:themeColor="text1"/>
        </w:rPr>
        <w:t xml:space="preserve">3/group) fed </w:t>
      </w:r>
      <w:r>
        <w:rPr>
          <w:rFonts w:ascii="Times New Roman" w:hAnsi="Times New Roman" w:cs="Times New Roman"/>
          <w:color w:val="000000" w:themeColor="text1"/>
        </w:rPr>
        <w:t xml:space="preserve">control diet or diet supplemented with </w:t>
      </w:r>
      <w:r w:rsidRPr="00885EF5">
        <w:rPr>
          <w:rFonts w:ascii="Times New Roman" w:hAnsi="Times New Roman" w:cs="Times New Roman"/>
          <w:color w:val="000000" w:themeColor="text1"/>
        </w:rPr>
        <w:t xml:space="preserve">GL500 </w:t>
      </w:r>
      <w:r>
        <w:rPr>
          <w:rFonts w:ascii="Times New Roman" w:hAnsi="Times New Roman" w:cs="Times New Roman"/>
          <w:color w:val="000000" w:themeColor="text1"/>
        </w:rPr>
        <w:t>or</w:t>
      </w:r>
      <w:r w:rsidRPr="00885EF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885EF5">
        <w:rPr>
          <w:rFonts w:ascii="Times New Roman" w:hAnsi="Times New Roman" w:cs="Times New Roman"/>
          <w:color w:val="000000" w:themeColor="text1"/>
        </w:rPr>
        <w:t>SuperZ</w:t>
      </w:r>
      <w:proofErr w:type="spellEnd"/>
      <w:r w:rsidRPr="00885EF5">
        <w:rPr>
          <w:rFonts w:ascii="Times New Roman" w:hAnsi="Times New Roman" w:cs="Times New Roman"/>
          <w:color w:val="000000" w:themeColor="text1"/>
        </w:rPr>
        <w:t xml:space="preserve"> for 3 months</w:t>
      </w:r>
      <w:r>
        <w:rPr>
          <w:rFonts w:ascii="Times New Roman" w:hAnsi="Times New Roman" w:cs="Times New Roman"/>
          <w:color w:val="000000" w:themeColor="text1"/>
        </w:rPr>
        <w:t xml:space="preserve">: </w:t>
      </w:r>
      <w:r w:rsidRPr="00885EF5">
        <w:rPr>
          <w:rFonts w:ascii="Times New Roman" w:hAnsi="Times New Roman" w:cs="Times New Roman"/>
          <w:color w:val="000000" w:themeColor="text1"/>
        </w:rPr>
        <w:t>HPTLC analysis of acidic lipid fraction (A) and neutral lipid fraction (B)</w:t>
      </w:r>
      <w:r>
        <w:rPr>
          <w:rFonts w:ascii="Times New Roman" w:hAnsi="Times New Roman" w:cs="Times New Roman"/>
          <w:color w:val="000000" w:themeColor="text1"/>
        </w:rPr>
        <w:t>,</w:t>
      </w:r>
      <w:r w:rsidRPr="00885EF5">
        <w:rPr>
          <w:rFonts w:ascii="Times New Roman" w:hAnsi="Times New Roman" w:cs="Times New Roman"/>
          <w:color w:val="000000" w:themeColor="text1"/>
        </w:rPr>
        <w:t xml:space="preserve"> GSLs purified from 200 µ</w:t>
      </w:r>
      <w:r>
        <w:rPr>
          <w:rFonts w:ascii="Times New Roman" w:hAnsi="Times New Roman" w:cs="Times New Roman"/>
          <w:color w:val="000000" w:themeColor="text1"/>
        </w:rPr>
        <w:t xml:space="preserve">L </w:t>
      </w:r>
      <w:r w:rsidRPr="00885EF5">
        <w:rPr>
          <w:rFonts w:ascii="Times New Roman" w:hAnsi="Times New Roman" w:cs="Times New Roman"/>
          <w:color w:val="000000" w:themeColor="text1"/>
        </w:rPr>
        <w:t>serum was spotted in each lane</w:t>
      </w:r>
      <w:r>
        <w:rPr>
          <w:rFonts w:ascii="Times New Roman" w:hAnsi="Times New Roman" w:cs="Times New Roman"/>
          <w:color w:val="000000" w:themeColor="text1"/>
        </w:rPr>
        <w:t xml:space="preserve"> (</w:t>
      </w:r>
      <w:r w:rsidRPr="00885EF5">
        <w:rPr>
          <w:rFonts w:ascii="Times New Roman" w:hAnsi="Times New Roman" w:cs="Times New Roman"/>
          <w:color w:val="000000" w:themeColor="text1"/>
        </w:rPr>
        <w:t>*non GSL contaminants during purification</w:t>
      </w:r>
      <w:r>
        <w:rPr>
          <w:rFonts w:ascii="Times New Roman" w:hAnsi="Times New Roman" w:cs="Times New Roman"/>
          <w:color w:val="000000" w:themeColor="text1"/>
        </w:rPr>
        <w:t xml:space="preserve">); </w:t>
      </w:r>
      <w:r w:rsidRPr="00885EF5">
        <w:rPr>
          <w:rFonts w:ascii="Times New Roman" w:hAnsi="Times New Roman" w:cs="Times New Roman"/>
          <w:color w:val="000000" w:themeColor="text1"/>
        </w:rPr>
        <w:t xml:space="preserve">HPLC analysis of Neu5GC and Neu5AC by DMB methods (C) </w:t>
      </w:r>
      <w:r>
        <w:rPr>
          <w:rFonts w:ascii="Times New Roman" w:hAnsi="Times New Roman" w:cs="Times New Roman"/>
          <w:color w:val="000000" w:themeColor="text1"/>
        </w:rPr>
        <w:t>was</w:t>
      </w:r>
      <w:r w:rsidRPr="00885EF5">
        <w:rPr>
          <w:rFonts w:ascii="Times New Roman" w:hAnsi="Times New Roman" w:cs="Times New Roman"/>
          <w:color w:val="000000" w:themeColor="text1"/>
        </w:rPr>
        <w:t xml:space="preserve"> as described in</w:t>
      </w:r>
      <w:r>
        <w:rPr>
          <w:rFonts w:ascii="Times New Roman" w:hAnsi="Times New Roman" w:cs="Times New Roman"/>
          <w:color w:val="000000" w:themeColor="text1"/>
        </w:rPr>
        <w:t xml:space="preserve"> the</w:t>
      </w:r>
      <w:r w:rsidRPr="00885EF5">
        <w:rPr>
          <w:rFonts w:ascii="Times New Roman" w:hAnsi="Times New Roman" w:cs="Times New Roman"/>
          <w:color w:val="000000" w:themeColor="text1"/>
        </w:rPr>
        <w:t xml:space="preserve"> Materials and </w:t>
      </w:r>
      <w:r>
        <w:rPr>
          <w:rFonts w:ascii="Times New Roman" w:hAnsi="Times New Roman" w:cs="Times New Roman"/>
          <w:color w:val="000000" w:themeColor="text1"/>
        </w:rPr>
        <w:t>m</w:t>
      </w:r>
      <w:r w:rsidRPr="00885EF5">
        <w:rPr>
          <w:rFonts w:ascii="Times New Roman" w:hAnsi="Times New Roman" w:cs="Times New Roman"/>
          <w:color w:val="000000" w:themeColor="text1"/>
        </w:rPr>
        <w:t>ethods</w:t>
      </w:r>
      <w:r>
        <w:rPr>
          <w:rFonts w:ascii="Times New Roman" w:hAnsi="Times New Roman" w:cs="Times New Roman"/>
          <w:color w:val="000000" w:themeColor="text1"/>
        </w:rPr>
        <w:t xml:space="preserve"> section in the main text</w:t>
      </w:r>
      <w:r w:rsidRPr="00885EF5">
        <w:rPr>
          <w:rFonts w:ascii="Times New Roman" w:hAnsi="Times New Roman" w:cs="Times New Roman"/>
          <w:color w:val="000000" w:themeColor="text1"/>
        </w:rPr>
        <w:t>.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885EF5">
        <w:rPr>
          <w:rFonts w:ascii="Times New Roman" w:hAnsi="Times New Roman" w:cs="Times New Roman"/>
          <w:color w:val="000000" w:themeColor="text1"/>
        </w:rPr>
        <w:t xml:space="preserve">Serum from 3 mice of each group </w:t>
      </w:r>
      <w:r>
        <w:rPr>
          <w:rFonts w:ascii="Times New Roman" w:hAnsi="Times New Roman" w:cs="Times New Roman"/>
          <w:color w:val="000000" w:themeColor="text1"/>
        </w:rPr>
        <w:t>was</w:t>
      </w:r>
      <w:r w:rsidRPr="00885EF5">
        <w:rPr>
          <w:rFonts w:ascii="Times New Roman" w:hAnsi="Times New Roman" w:cs="Times New Roman"/>
          <w:color w:val="000000" w:themeColor="text1"/>
        </w:rPr>
        <w:t xml:space="preserve"> combined</w:t>
      </w:r>
      <w:r>
        <w:rPr>
          <w:rFonts w:ascii="Times New Roman" w:hAnsi="Times New Roman" w:cs="Times New Roman"/>
          <w:color w:val="000000" w:themeColor="text1"/>
        </w:rPr>
        <w:t xml:space="preserve"> for the</w:t>
      </w:r>
      <w:r w:rsidRPr="00885EF5">
        <w:rPr>
          <w:rFonts w:ascii="Times New Roman" w:hAnsi="Times New Roman" w:cs="Times New Roman"/>
          <w:color w:val="000000" w:themeColor="text1"/>
        </w:rPr>
        <w:t xml:space="preserve"> analyses. </w:t>
      </w:r>
      <w:r>
        <w:rPr>
          <w:rFonts w:ascii="Times New Roman" w:hAnsi="Times New Roman" w:cs="Times New Roman"/>
          <w:color w:val="000000" w:themeColor="text1"/>
        </w:rPr>
        <w:br w:type="page"/>
      </w:r>
    </w:p>
    <w:p w14:paraId="378A93DC" w14:textId="77777777" w:rsidR="00F10819" w:rsidRDefault="00F10819" w:rsidP="00F10819">
      <w:pPr>
        <w:spacing w:line="360" w:lineRule="auto"/>
        <w:jc w:val="left"/>
        <w:rPr>
          <w:rFonts w:ascii="Times New Roman" w:hAnsi="Times New Roman" w:cs="Times New Roman"/>
          <w:color w:val="000000" w:themeColor="text1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5"/>
        <w:gridCol w:w="5305"/>
      </w:tblGrid>
      <w:tr w:rsidR="00F10819" w14:paraId="0CF3DAD3" w14:textId="77777777" w:rsidTr="00B16174">
        <w:tc>
          <w:tcPr>
            <w:tcW w:w="3888" w:type="dxa"/>
          </w:tcPr>
          <w:p w14:paraId="5A573204" w14:textId="77777777" w:rsidR="00F10819" w:rsidRPr="008028EB" w:rsidRDefault="00F10819" w:rsidP="00B16174">
            <w:pPr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8"/>
                <w:szCs w:val="28"/>
              </w:rPr>
            </w:pPr>
            <w:r w:rsidRPr="008028EB">
              <w:rPr>
                <w:rFonts w:ascii="ＭＳ Ｐゴシック" w:eastAsia="ＭＳ Ｐゴシック" w:hAnsi="ＭＳ Ｐゴシック" w:cs="Times New Roman"/>
                <w:color w:val="000000" w:themeColor="text1"/>
                <w:sz w:val="28"/>
                <w:szCs w:val="28"/>
              </w:rPr>
              <w:t>A</w:t>
            </w:r>
          </w:p>
        </w:tc>
        <w:tc>
          <w:tcPr>
            <w:tcW w:w="5348" w:type="dxa"/>
          </w:tcPr>
          <w:p w14:paraId="5E26AE26" w14:textId="77777777" w:rsidR="00F10819" w:rsidRPr="008028EB" w:rsidRDefault="00F10819" w:rsidP="00B16174">
            <w:pPr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8"/>
                <w:szCs w:val="28"/>
              </w:rPr>
            </w:pPr>
            <w:r w:rsidRPr="008028EB">
              <w:rPr>
                <w:rFonts w:ascii="ＭＳ Ｐゴシック" w:eastAsia="ＭＳ Ｐゴシック" w:hAnsi="ＭＳ Ｐゴシック" w:cs="Times New Roman"/>
                <w:color w:val="000000" w:themeColor="text1"/>
                <w:sz w:val="28"/>
                <w:szCs w:val="28"/>
              </w:rPr>
              <w:t>B</w:t>
            </w:r>
          </w:p>
        </w:tc>
      </w:tr>
      <w:tr w:rsidR="00F10819" w14:paraId="31612FF5" w14:textId="77777777" w:rsidTr="00B16174">
        <w:tc>
          <w:tcPr>
            <w:tcW w:w="3888" w:type="dxa"/>
          </w:tcPr>
          <w:p w14:paraId="021E7D2A" w14:textId="77777777" w:rsidR="00F10819" w:rsidRDefault="00F10819" w:rsidP="00B16174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7F2A1A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16EFC351" wp14:editId="602FB81E">
                  <wp:extent cx="2305144" cy="2822713"/>
                  <wp:effectExtent l="19050" t="0" r="0" b="0"/>
                  <wp:docPr id="4" name="図 8" descr="グラフィカル ユーザー インターフェイス&#10;&#10;低い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8" descr="グラフィカル ユーザー インターフェイス&#10;&#10;低い精度で自動的に生成された説明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19" t="12457" r="26853" b="31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144" cy="2822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8" w:type="dxa"/>
          </w:tcPr>
          <w:p w14:paraId="66B463AF" w14:textId="77777777" w:rsidR="00F10819" w:rsidRDefault="00F10819" w:rsidP="00B16174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7F2A1A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243BF396" wp14:editId="064A01B2">
                  <wp:extent cx="3360799" cy="2989691"/>
                  <wp:effectExtent l="19050" t="0" r="0" b="0"/>
                  <wp:docPr id="5" name="図 2" descr="テーブル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図 2" descr="テーブル&#10;&#10;自動的に生成された説明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04" t="10202" r="16972" b="289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35" cy="2991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819" w14:paraId="5D5D31C3" w14:textId="77777777" w:rsidTr="00B16174">
        <w:tc>
          <w:tcPr>
            <w:tcW w:w="3888" w:type="dxa"/>
          </w:tcPr>
          <w:p w14:paraId="78798C63" w14:textId="77777777" w:rsidR="00F10819" w:rsidRPr="007F2A1A" w:rsidRDefault="00F10819" w:rsidP="00B16174">
            <w:pPr>
              <w:spacing w:line="360" w:lineRule="auto"/>
              <w:jc w:val="left"/>
              <w:rPr>
                <w:rFonts w:ascii="Times New Roman" w:hAnsi="Times New Roman" w:cs="Times New Roman"/>
                <w:noProof/>
                <w:color w:val="000000" w:themeColor="text1"/>
              </w:rPr>
            </w:pPr>
          </w:p>
        </w:tc>
        <w:tc>
          <w:tcPr>
            <w:tcW w:w="5348" w:type="dxa"/>
          </w:tcPr>
          <w:p w14:paraId="6A0BAF9E" w14:textId="77777777" w:rsidR="00F10819" w:rsidRPr="007F2A1A" w:rsidRDefault="00F10819" w:rsidP="00B16174">
            <w:pPr>
              <w:spacing w:line="360" w:lineRule="auto"/>
              <w:jc w:val="left"/>
              <w:rPr>
                <w:rFonts w:ascii="Times New Roman" w:hAnsi="Times New Roman" w:cs="Times New Roman"/>
                <w:noProof/>
                <w:color w:val="000000" w:themeColor="text1"/>
              </w:rPr>
            </w:pPr>
          </w:p>
        </w:tc>
      </w:tr>
    </w:tbl>
    <w:p w14:paraId="5B4AFF39" w14:textId="77777777" w:rsidR="00F10819" w:rsidRDefault="00F10819" w:rsidP="00F10819">
      <w:pPr>
        <w:spacing w:line="360" w:lineRule="auto"/>
        <w:jc w:val="left"/>
        <w:rPr>
          <w:rFonts w:ascii="Times New Roman" w:hAnsi="Times New Roman" w:cs="Times New Roman"/>
          <w:color w:val="000000" w:themeColor="text1"/>
        </w:rPr>
      </w:pPr>
    </w:p>
    <w:p w14:paraId="672E116F" w14:textId="77777777" w:rsidR="00F10819" w:rsidRDefault="00F10819" w:rsidP="00F10819">
      <w:pPr>
        <w:jc w:val="left"/>
        <w:rPr>
          <w:rFonts w:ascii="Times New Roman" w:hAnsi="Times New Roman" w:cs="Times New Roman"/>
          <w:color w:val="000000" w:themeColor="text1"/>
        </w:rPr>
      </w:pPr>
      <w:r w:rsidRPr="007E58AF">
        <w:rPr>
          <w:rFonts w:ascii="Times New Roman" w:hAnsi="Times New Roman" w:cs="Times New Roman"/>
          <w:b/>
          <w:color w:val="000000" w:themeColor="text1"/>
        </w:rPr>
        <w:t xml:space="preserve">Supplementary material </w:t>
      </w:r>
      <w:r>
        <w:rPr>
          <w:rFonts w:ascii="Times New Roman" w:hAnsi="Times New Roman" w:cs="Times New Roman"/>
          <w:b/>
          <w:color w:val="000000" w:themeColor="text1"/>
        </w:rPr>
        <w:t>Figure</w:t>
      </w:r>
      <w:r w:rsidRPr="007E58AF">
        <w:rPr>
          <w:rFonts w:ascii="Times New Roman" w:hAnsi="Times New Roman" w:cs="Times New Roman"/>
          <w:b/>
          <w:color w:val="000000" w:themeColor="text1"/>
        </w:rPr>
        <w:t xml:space="preserve"> S4. </w:t>
      </w:r>
      <w:r w:rsidRPr="00885EF5">
        <w:rPr>
          <w:rFonts w:ascii="Times New Roman" w:hAnsi="Times New Roman" w:cs="Times New Roman"/>
          <w:color w:val="000000" w:themeColor="text1"/>
        </w:rPr>
        <w:t xml:space="preserve">Liver gangliosides of </w:t>
      </w:r>
      <w:r>
        <w:rPr>
          <w:rFonts w:ascii="Times New Roman" w:hAnsi="Times New Roman" w:cs="Times New Roman"/>
          <w:color w:val="000000" w:themeColor="text1"/>
        </w:rPr>
        <w:t>t</w:t>
      </w:r>
      <w:r w:rsidRPr="00885EF5">
        <w:rPr>
          <w:rFonts w:ascii="Times New Roman" w:hAnsi="Times New Roman" w:cs="Times New Roman"/>
          <w:color w:val="000000" w:themeColor="text1"/>
        </w:rPr>
        <w:t>hree weeks-old wild type BALB/c mice (♂</w:t>
      </w:r>
      <w:r>
        <w:rPr>
          <w:rFonts w:ascii="Times New Roman" w:hAnsi="Times New Roman" w:cs="Times New Roman"/>
          <w:color w:val="000000" w:themeColor="text1"/>
        </w:rPr>
        <w:t xml:space="preserve">) </w:t>
      </w:r>
      <w:r w:rsidRPr="00885EF5">
        <w:rPr>
          <w:rFonts w:ascii="Times New Roman" w:hAnsi="Times New Roman" w:cs="Times New Roman"/>
          <w:color w:val="000000" w:themeColor="text1"/>
        </w:rPr>
        <w:t>(</w:t>
      </w:r>
      <w:r>
        <w:rPr>
          <w:rFonts w:ascii="Times New Roman" w:hAnsi="Times New Roman" w:cs="Times New Roman"/>
          <w:color w:val="000000" w:themeColor="text1"/>
        </w:rPr>
        <w:t xml:space="preserve">N = </w:t>
      </w:r>
      <w:r w:rsidRPr="00885EF5">
        <w:rPr>
          <w:rFonts w:ascii="Times New Roman" w:hAnsi="Times New Roman" w:cs="Times New Roman"/>
          <w:color w:val="000000" w:themeColor="text1"/>
        </w:rPr>
        <w:t xml:space="preserve">3/group) fed </w:t>
      </w:r>
      <w:r>
        <w:rPr>
          <w:rFonts w:ascii="Times New Roman" w:hAnsi="Times New Roman" w:cs="Times New Roman"/>
          <w:color w:val="000000" w:themeColor="text1"/>
        </w:rPr>
        <w:t xml:space="preserve">control diet or diet supplemented with </w:t>
      </w:r>
      <w:r w:rsidRPr="00885EF5">
        <w:rPr>
          <w:rFonts w:ascii="Times New Roman" w:hAnsi="Times New Roman" w:cs="Times New Roman"/>
          <w:color w:val="000000" w:themeColor="text1"/>
        </w:rPr>
        <w:t xml:space="preserve">GL500 </w:t>
      </w:r>
      <w:r>
        <w:rPr>
          <w:rFonts w:ascii="Times New Roman" w:hAnsi="Times New Roman" w:cs="Times New Roman"/>
          <w:color w:val="000000" w:themeColor="text1"/>
        </w:rPr>
        <w:t>or</w:t>
      </w:r>
      <w:r w:rsidRPr="00885EF5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885EF5">
        <w:rPr>
          <w:rFonts w:ascii="Times New Roman" w:hAnsi="Times New Roman" w:cs="Times New Roman"/>
          <w:color w:val="000000" w:themeColor="text1"/>
        </w:rPr>
        <w:t>SuperZ</w:t>
      </w:r>
      <w:proofErr w:type="spellEnd"/>
      <w:r w:rsidRPr="00885EF5">
        <w:rPr>
          <w:rFonts w:ascii="Times New Roman" w:hAnsi="Times New Roman" w:cs="Times New Roman"/>
          <w:color w:val="000000" w:themeColor="text1"/>
        </w:rPr>
        <w:t xml:space="preserve"> for 3 months</w:t>
      </w:r>
      <w:r>
        <w:rPr>
          <w:rFonts w:ascii="Times New Roman" w:hAnsi="Times New Roman" w:cs="Times New Roman"/>
          <w:color w:val="000000" w:themeColor="text1"/>
        </w:rPr>
        <w:t xml:space="preserve"> (A) and </w:t>
      </w:r>
      <w:r w:rsidRPr="00885EF5">
        <w:rPr>
          <w:rFonts w:ascii="Times New Roman" w:hAnsi="Times New Roman" w:cs="Times New Roman"/>
          <w:color w:val="000000" w:themeColor="text1"/>
        </w:rPr>
        <w:t>LC-MS/MS analysis of GM3 and GD3 molecular species in liver after feeding with GL500</w:t>
      </w:r>
      <w:r>
        <w:rPr>
          <w:rFonts w:ascii="Times New Roman" w:hAnsi="Times New Roman" w:cs="Times New Roman"/>
          <w:color w:val="000000" w:themeColor="text1"/>
        </w:rPr>
        <w:t xml:space="preserve"> (B); li</w:t>
      </w:r>
      <w:r w:rsidRPr="00885EF5">
        <w:rPr>
          <w:rFonts w:ascii="Times New Roman" w:hAnsi="Times New Roman" w:cs="Times New Roman"/>
          <w:color w:val="000000" w:themeColor="text1"/>
        </w:rPr>
        <w:t>ver from 3 mice of each group was combined and acidic lipid fractions purified from 10 mg protein were spotted in each lane</w:t>
      </w:r>
      <w:r w:rsidRPr="007E58AF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 xml:space="preserve">for </w:t>
      </w:r>
      <w:r w:rsidRPr="00885EF5">
        <w:rPr>
          <w:rFonts w:ascii="Times New Roman" w:hAnsi="Times New Roman" w:cs="Times New Roman"/>
          <w:color w:val="000000" w:themeColor="text1"/>
        </w:rPr>
        <w:t>HPTLC analysis. LC-MS/MS analysis</w:t>
      </w:r>
      <w:r>
        <w:rPr>
          <w:rFonts w:ascii="Times New Roman" w:hAnsi="Times New Roman" w:cs="Times New Roman"/>
          <w:color w:val="000000" w:themeColor="text1"/>
        </w:rPr>
        <w:t xml:space="preserve"> was</w:t>
      </w:r>
      <w:r w:rsidRPr="00885EF5">
        <w:rPr>
          <w:rFonts w:ascii="Times New Roman" w:hAnsi="Times New Roman" w:cs="Times New Roman"/>
          <w:color w:val="000000" w:themeColor="text1"/>
        </w:rPr>
        <w:t xml:space="preserve"> as described in</w:t>
      </w:r>
      <w:r>
        <w:rPr>
          <w:rFonts w:ascii="Times New Roman" w:hAnsi="Times New Roman" w:cs="Times New Roman"/>
          <w:color w:val="000000" w:themeColor="text1"/>
        </w:rPr>
        <w:t xml:space="preserve"> the</w:t>
      </w:r>
      <w:r w:rsidRPr="00885EF5">
        <w:rPr>
          <w:rFonts w:ascii="Times New Roman" w:hAnsi="Times New Roman" w:cs="Times New Roman"/>
          <w:color w:val="000000" w:themeColor="text1"/>
        </w:rPr>
        <w:t xml:space="preserve"> Materials and </w:t>
      </w:r>
      <w:r>
        <w:rPr>
          <w:rFonts w:ascii="Times New Roman" w:hAnsi="Times New Roman" w:cs="Times New Roman"/>
          <w:color w:val="000000" w:themeColor="text1"/>
        </w:rPr>
        <w:t>m</w:t>
      </w:r>
      <w:r w:rsidRPr="00885EF5">
        <w:rPr>
          <w:rFonts w:ascii="Times New Roman" w:hAnsi="Times New Roman" w:cs="Times New Roman"/>
          <w:color w:val="000000" w:themeColor="text1"/>
        </w:rPr>
        <w:t>ethods</w:t>
      </w:r>
      <w:r>
        <w:rPr>
          <w:rFonts w:ascii="Times New Roman" w:hAnsi="Times New Roman" w:cs="Times New Roman"/>
          <w:color w:val="000000" w:themeColor="text1"/>
        </w:rPr>
        <w:t xml:space="preserve"> section in the main text</w:t>
      </w:r>
      <w:r w:rsidRPr="00885EF5">
        <w:rPr>
          <w:rFonts w:ascii="Times New Roman" w:hAnsi="Times New Roman" w:cs="Times New Roman"/>
          <w:color w:val="000000" w:themeColor="text1"/>
        </w:rPr>
        <w:t>.</w:t>
      </w:r>
    </w:p>
    <w:p w14:paraId="6D5FC675" w14:textId="77777777" w:rsidR="00F10819" w:rsidRDefault="00F10819" w:rsidP="00F10819">
      <w:pPr>
        <w:spacing w:line="360" w:lineRule="auto"/>
        <w:jc w:val="left"/>
        <w:rPr>
          <w:rFonts w:ascii="Times New Roman" w:hAnsi="Times New Roman" w:cs="Times New Roman"/>
          <w:color w:val="000000" w:themeColor="text1"/>
        </w:rPr>
      </w:pPr>
    </w:p>
    <w:p w14:paraId="0E4D6F5E" w14:textId="77777777" w:rsidR="00F10819" w:rsidRDefault="00F10819" w:rsidP="00F10819">
      <w:pPr>
        <w:spacing w:line="360" w:lineRule="auto"/>
        <w:jc w:val="left"/>
        <w:rPr>
          <w:rFonts w:ascii="Times New Roman" w:hAnsi="Times New Roman" w:cs="Times New Roman"/>
          <w:color w:val="000000" w:themeColor="text1"/>
        </w:rPr>
      </w:pPr>
    </w:p>
    <w:p w14:paraId="4BB61C2D" w14:textId="77777777" w:rsidR="00F10819" w:rsidRDefault="00F10819" w:rsidP="00F10819">
      <w:pPr>
        <w:spacing w:line="360" w:lineRule="auto"/>
        <w:jc w:val="left"/>
        <w:rPr>
          <w:rFonts w:ascii="Times New Roman" w:hAnsi="Times New Roman" w:cs="Times New Roman"/>
          <w:color w:val="000000" w:themeColor="text1"/>
        </w:rPr>
      </w:pPr>
    </w:p>
    <w:p w14:paraId="2463B893" w14:textId="77777777" w:rsidR="00F10819" w:rsidRDefault="00F10819" w:rsidP="00F10819">
      <w:pPr>
        <w:spacing w:line="360" w:lineRule="auto"/>
        <w:jc w:val="left"/>
        <w:rPr>
          <w:rFonts w:ascii="Times New Roman" w:hAnsi="Times New Roman" w:cs="Times New Roman"/>
          <w:color w:val="000000" w:themeColor="text1"/>
        </w:rPr>
      </w:pPr>
    </w:p>
    <w:p w14:paraId="20ACAB28" w14:textId="77777777" w:rsidR="00F10819" w:rsidRDefault="00F10819" w:rsidP="00F10819">
      <w:pPr>
        <w:spacing w:line="360" w:lineRule="auto"/>
        <w:jc w:val="left"/>
        <w:rPr>
          <w:rFonts w:ascii="Times New Roman" w:hAnsi="Times New Roman" w:cs="Times New Roman"/>
          <w:color w:val="000000" w:themeColor="text1"/>
        </w:rPr>
      </w:pPr>
    </w:p>
    <w:p w14:paraId="1B2EE983" w14:textId="77777777" w:rsidR="00F10819" w:rsidRDefault="00F10819" w:rsidP="00F10819">
      <w:pPr>
        <w:spacing w:line="360" w:lineRule="auto"/>
        <w:jc w:val="lef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en-US"/>
        </w:rPr>
        <w:lastRenderedPageBreak/>
        <w:drawing>
          <wp:inline distT="0" distB="0" distL="0" distR="0" wp14:anchorId="32CF77E1" wp14:editId="5C36B6EC">
            <wp:extent cx="5396230" cy="3026410"/>
            <wp:effectExtent l="0" t="0" r="1270" b="0"/>
            <wp:docPr id="506782553" name="図 1" descr="グラフ, 棒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782553" name="図 1" descr="グラフ, 棒グラフ&#10;&#10;自動的に生成された説明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1011B" w14:textId="77777777" w:rsidR="00F10819" w:rsidRDefault="00F10819" w:rsidP="00F10819">
      <w:pPr>
        <w:spacing w:line="360" w:lineRule="auto"/>
        <w:jc w:val="left"/>
        <w:rPr>
          <w:rFonts w:ascii="Times New Roman" w:hAnsi="Times New Roman" w:cs="Times New Roman"/>
          <w:color w:val="000000" w:themeColor="text1"/>
        </w:rPr>
      </w:pPr>
    </w:p>
    <w:p w14:paraId="145463B2" w14:textId="77777777" w:rsidR="00F10819" w:rsidRDefault="00F10819" w:rsidP="00F10819">
      <w:pPr>
        <w:jc w:val="left"/>
        <w:rPr>
          <w:rFonts w:ascii="Times New Roman" w:eastAsia="ＭＳ Ｐゴシック" w:hAnsi="Times New Roman" w:cs="Times New Roman"/>
        </w:rPr>
      </w:pPr>
      <w:r w:rsidRPr="007E58AF">
        <w:rPr>
          <w:rFonts w:ascii="Times New Roman" w:hAnsi="Times New Roman" w:cs="Times New Roman"/>
          <w:b/>
          <w:color w:val="000000" w:themeColor="text1"/>
        </w:rPr>
        <w:t xml:space="preserve">Supplementary material </w:t>
      </w:r>
      <w:r>
        <w:rPr>
          <w:rFonts w:ascii="Times New Roman" w:hAnsi="Times New Roman" w:cs="Times New Roman"/>
          <w:b/>
          <w:color w:val="000000" w:themeColor="text1"/>
        </w:rPr>
        <w:t>Figure</w:t>
      </w:r>
      <w:r w:rsidRPr="007E58AF">
        <w:rPr>
          <w:rFonts w:ascii="Times New Roman" w:hAnsi="Times New Roman" w:cs="Times New Roman"/>
          <w:b/>
          <w:color w:val="000000" w:themeColor="text1"/>
        </w:rPr>
        <w:t xml:space="preserve"> S5. </w:t>
      </w:r>
      <w:r>
        <w:rPr>
          <w:rFonts w:ascii="Times New Roman" w:hAnsi="Times New Roman" w:cs="Times New Roman"/>
          <w:color w:val="000000" w:themeColor="text1"/>
        </w:rPr>
        <w:t>Hearing tests by startle response. The startle response was performed with control mice (</w:t>
      </w:r>
      <w:proofErr w:type="spellStart"/>
      <w:r>
        <w:rPr>
          <w:rFonts w:ascii="Times New Roman" w:hAnsi="Times New Roman" w:cs="Times New Roman"/>
          <w:color w:val="000000" w:themeColor="text1"/>
        </w:rPr>
        <w:t>wt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</w:rPr>
        <w:t>cont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and </w:t>
      </w:r>
      <w:proofErr w:type="spellStart"/>
      <w:r>
        <w:rPr>
          <w:rFonts w:ascii="Times New Roman" w:hAnsi="Times New Roman" w:cs="Times New Roman"/>
          <w:color w:val="000000" w:themeColor="text1"/>
        </w:rPr>
        <w:t>wt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SZ) and GM3S KO mice after</w:t>
      </w:r>
      <w:r w:rsidRPr="00912227">
        <w:rPr>
          <w:rFonts w:ascii="Times New Roman" w:hAnsi="Times New Roman" w:cs="Times New Roman"/>
          <w:color w:val="000000" w:themeColor="text1"/>
        </w:rPr>
        <w:t xml:space="preserve"> </w:t>
      </w:r>
      <w:r w:rsidRPr="00912227">
        <w:rPr>
          <w:rFonts w:ascii="Times New Roman" w:eastAsia="ＭＳ Ｐゴシック" w:hAnsi="Times New Roman" w:cs="Times New Roman"/>
          <w:color w:val="000000" w:themeColor="text1"/>
        </w:rPr>
        <w:t xml:space="preserve">3 months feeding </w:t>
      </w:r>
      <w:r>
        <w:rPr>
          <w:rFonts w:ascii="Times New Roman" w:eastAsia="ＭＳ Ｐゴシック" w:hAnsi="Times New Roman" w:cs="Times New Roman"/>
          <w:color w:val="000000" w:themeColor="text1"/>
        </w:rPr>
        <w:t xml:space="preserve">control diet or diet supplemented with </w:t>
      </w:r>
      <w:r w:rsidRPr="00912227">
        <w:rPr>
          <w:rFonts w:ascii="Times New Roman" w:eastAsia="ＭＳ Ｐゴシック" w:hAnsi="Times New Roman" w:cs="Times New Roman"/>
          <w:color w:val="000000" w:themeColor="text1"/>
        </w:rPr>
        <w:t xml:space="preserve">GL500 </w:t>
      </w:r>
      <w:r>
        <w:rPr>
          <w:rFonts w:ascii="Times New Roman" w:eastAsia="ＭＳ Ｐゴシック" w:hAnsi="Times New Roman" w:cs="Times New Roman"/>
          <w:color w:val="000000" w:themeColor="text1"/>
        </w:rPr>
        <w:t>or</w:t>
      </w:r>
      <w:r w:rsidRPr="00912227">
        <w:rPr>
          <w:rFonts w:ascii="Times New Roman" w:eastAsia="ＭＳ Ｐゴシック" w:hAnsi="Times New Roman" w:cs="Times New Roman"/>
          <w:color w:val="000000" w:themeColor="text1"/>
        </w:rPr>
        <w:t xml:space="preserve"> </w:t>
      </w:r>
      <w:proofErr w:type="spellStart"/>
      <w:r w:rsidRPr="00912227">
        <w:rPr>
          <w:rFonts w:ascii="Times New Roman" w:eastAsia="ＭＳ Ｐゴシック" w:hAnsi="Times New Roman" w:cs="Times New Roman"/>
          <w:color w:val="000000" w:themeColor="text1"/>
        </w:rPr>
        <w:t>SuperZ</w:t>
      </w:r>
      <w:proofErr w:type="spellEnd"/>
      <w:r w:rsidRPr="00912227">
        <w:rPr>
          <w:rFonts w:ascii="Times New Roman" w:eastAsia="ＭＳ Ｐゴシック" w:hAnsi="Times New Roman" w:cs="Times New Roman"/>
          <w:color w:val="000000" w:themeColor="text1"/>
        </w:rPr>
        <w:t xml:space="preserve"> as described in</w:t>
      </w:r>
      <w:r w:rsidRPr="00912227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the</w:t>
      </w:r>
      <w:r w:rsidRPr="00885EF5">
        <w:rPr>
          <w:rFonts w:ascii="Times New Roman" w:hAnsi="Times New Roman" w:cs="Times New Roman"/>
          <w:color w:val="000000" w:themeColor="text1"/>
        </w:rPr>
        <w:t xml:space="preserve"> Materials and </w:t>
      </w:r>
      <w:r>
        <w:rPr>
          <w:rFonts w:ascii="Times New Roman" w:hAnsi="Times New Roman" w:cs="Times New Roman"/>
          <w:color w:val="000000" w:themeColor="text1"/>
        </w:rPr>
        <w:t>m</w:t>
      </w:r>
      <w:r w:rsidRPr="00885EF5">
        <w:rPr>
          <w:rFonts w:ascii="Times New Roman" w:hAnsi="Times New Roman" w:cs="Times New Roman"/>
          <w:color w:val="000000" w:themeColor="text1"/>
        </w:rPr>
        <w:t>ethods</w:t>
      </w:r>
      <w:r>
        <w:rPr>
          <w:rFonts w:ascii="Times New Roman" w:hAnsi="Times New Roman" w:cs="Times New Roman"/>
          <w:color w:val="000000" w:themeColor="text1"/>
        </w:rPr>
        <w:t xml:space="preserve"> section in the main text</w:t>
      </w:r>
      <w:r w:rsidRPr="00912227">
        <w:rPr>
          <w:rFonts w:ascii="Times New Roman" w:hAnsi="Times New Roman" w:cs="Times New Roman"/>
          <w:color w:val="000000" w:themeColor="text1"/>
        </w:rPr>
        <w:t>.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912227">
        <w:rPr>
          <w:rFonts w:ascii="Times New Roman" w:eastAsia="ＭＳ Ｐゴシック" w:hAnsi="Times New Roman" w:cs="Times New Roman"/>
        </w:rPr>
        <w:t xml:space="preserve">There was no improvement of hearing ability of GM3S KO mice after 3 months feeding GL500 </w:t>
      </w:r>
      <w:r>
        <w:rPr>
          <w:rFonts w:ascii="Times New Roman" w:eastAsia="ＭＳ Ｐゴシック" w:hAnsi="Times New Roman" w:cs="Times New Roman"/>
        </w:rPr>
        <w:t>or</w:t>
      </w:r>
      <w:r w:rsidRPr="00912227">
        <w:rPr>
          <w:rFonts w:ascii="Times New Roman" w:eastAsia="ＭＳ Ｐゴシック" w:hAnsi="Times New Roman" w:cs="Times New Roman"/>
        </w:rPr>
        <w:t xml:space="preserve"> </w:t>
      </w:r>
      <w:proofErr w:type="spellStart"/>
      <w:r w:rsidRPr="00912227">
        <w:rPr>
          <w:rFonts w:ascii="Times New Roman" w:eastAsia="ＭＳ Ｐゴシック" w:hAnsi="Times New Roman" w:cs="Times New Roman"/>
        </w:rPr>
        <w:t>SuperZ</w:t>
      </w:r>
      <w:proofErr w:type="spellEnd"/>
      <w:r w:rsidRPr="00912227">
        <w:rPr>
          <w:rFonts w:ascii="Times New Roman" w:eastAsia="ＭＳ Ｐゴシック" w:hAnsi="Times New Roman" w:cs="Times New Roman"/>
        </w:rPr>
        <w:t>.</w:t>
      </w:r>
    </w:p>
    <w:p w14:paraId="048152F3" w14:textId="77777777" w:rsidR="00F10819" w:rsidRDefault="00F10819" w:rsidP="00F10819">
      <w:pPr>
        <w:spacing w:line="360" w:lineRule="auto"/>
        <w:jc w:val="left"/>
        <w:rPr>
          <w:rFonts w:ascii="Times New Roman" w:hAnsi="Times New Roman" w:cs="Times New Roman"/>
          <w:color w:val="000000" w:themeColor="text1"/>
        </w:rPr>
      </w:pPr>
    </w:p>
    <w:p w14:paraId="543900AE" w14:textId="77777777" w:rsidR="00FB1947" w:rsidRPr="00F10819" w:rsidRDefault="00FB1947"/>
    <w:sectPr w:rsidR="00FB1947" w:rsidRPr="00F10819" w:rsidSect="0028176F">
      <w:footerReference w:type="even" r:id="rId10"/>
      <w:footerReference w:type="default" r:id="rId11"/>
      <w:pgSz w:w="11900" w:h="16840"/>
      <w:pgMar w:top="1440" w:right="1440" w:bottom="1440" w:left="144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IZ UDPゴシック">
    <w:altName w:val="Yu Gothic"/>
    <w:panose1 w:val="020B0604020202020204"/>
    <w:charset w:val="80"/>
    <w:family w:val="modern"/>
    <w:pitch w:val="variable"/>
    <w:sig w:usb0="E0002AF7" w:usb1="2AC7EDF8" w:usb2="00000012" w:usb3="00000000" w:csb0="0002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c"/>
      </w:rPr>
      <w:id w:val="-242414617"/>
      <w:docPartObj>
        <w:docPartGallery w:val="Page Numbers (Bottom of Page)"/>
        <w:docPartUnique/>
      </w:docPartObj>
    </w:sdtPr>
    <w:sdtContent>
      <w:p w14:paraId="3A1460D0" w14:textId="77777777" w:rsidR="00000000" w:rsidRDefault="00000000" w:rsidP="000C7C7A">
        <w:pPr>
          <w:pStyle w:val="aa"/>
          <w:framePr w:wrap="none" w:vAnchor="text" w:hAnchor="margin" w:xAlign="center" w:y="1"/>
          <w:rPr>
            <w:rStyle w:val="ac"/>
          </w:rPr>
        </w:pPr>
        <w:r>
          <w:rPr>
            <w:rStyle w:val="ac"/>
          </w:rPr>
          <w:fldChar w:fldCharType="begin"/>
        </w:r>
        <w:r>
          <w:rPr>
            <w:rStyle w:val="ac"/>
          </w:rPr>
          <w:instrText xml:space="preserve"> PAGE </w:instrText>
        </w:r>
        <w:r>
          <w:rPr>
            <w:rStyle w:val="ac"/>
          </w:rPr>
          <w:fldChar w:fldCharType="end"/>
        </w:r>
      </w:p>
    </w:sdtContent>
  </w:sdt>
  <w:p w14:paraId="3AD2E6AD" w14:textId="77777777" w:rsidR="00000000" w:rsidRDefault="00000000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c"/>
      </w:rPr>
      <w:id w:val="217714116"/>
      <w:docPartObj>
        <w:docPartGallery w:val="Page Numbers (Bottom of Page)"/>
        <w:docPartUnique/>
      </w:docPartObj>
    </w:sdtPr>
    <w:sdtContent>
      <w:p w14:paraId="364DBDE3" w14:textId="77777777" w:rsidR="00000000" w:rsidRDefault="00000000" w:rsidP="000C7C7A">
        <w:pPr>
          <w:pStyle w:val="aa"/>
          <w:framePr w:wrap="none" w:vAnchor="text" w:hAnchor="margin" w:xAlign="center" w:y="1"/>
          <w:rPr>
            <w:rStyle w:val="ac"/>
          </w:rPr>
        </w:pPr>
        <w:r>
          <w:rPr>
            <w:rStyle w:val="ac"/>
          </w:rPr>
          <w:fldChar w:fldCharType="begin"/>
        </w:r>
        <w:r>
          <w:rPr>
            <w:rStyle w:val="ac"/>
          </w:rPr>
          <w:instrText xml:space="preserve"> PAGE </w:instrText>
        </w:r>
        <w:r>
          <w:rPr>
            <w:rStyle w:val="ac"/>
          </w:rPr>
          <w:fldChar w:fldCharType="separate"/>
        </w:r>
        <w:r>
          <w:rPr>
            <w:rStyle w:val="ac"/>
            <w:noProof/>
          </w:rPr>
          <w:t>3</w:t>
        </w:r>
        <w:r>
          <w:rPr>
            <w:rStyle w:val="ac"/>
          </w:rPr>
          <w:fldChar w:fldCharType="end"/>
        </w:r>
      </w:p>
    </w:sdtContent>
  </w:sdt>
  <w:p w14:paraId="5F7A820F" w14:textId="77777777" w:rsidR="00000000" w:rsidRDefault="00000000">
    <w:pPr>
      <w:pStyle w:val="aa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819"/>
    <w:rsid w:val="00000EA3"/>
    <w:rsid w:val="000063CE"/>
    <w:rsid w:val="000131F8"/>
    <w:rsid w:val="0002126E"/>
    <w:rsid w:val="00021EA2"/>
    <w:rsid w:val="00024F8F"/>
    <w:rsid w:val="0004489C"/>
    <w:rsid w:val="00044F3B"/>
    <w:rsid w:val="000618E0"/>
    <w:rsid w:val="000637B3"/>
    <w:rsid w:val="00067FAC"/>
    <w:rsid w:val="00086E02"/>
    <w:rsid w:val="00091FB7"/>
    <w:rsid w:val="00097511"/>
    <w:rsid w:val="000B5880"/>
    <w:rsid w:val="000B677C"/>
    <w:rsid w:val="000C06CB"/>
    <w:rsid w:val="000D0855"/>
    <w:rsid w:val="000D7CFE"/>
    <w:rsid w:val="000E7275"/>
    <w:rsid w:val="000F1A02"/>
    <w:rsid w:val="000F4F40"/>
    <w:rsid w:val="00102E93"/>
    <w:rsid w:val="00105502"/>
    <w:rsid w:val="00123A95"/>
    <w:rsid w:val="00146F2C"/>
    <w:rsid w:val="001628E2"/>
    <w:rsid w:val="001B2ECD"/>
    <w:rsid w:val="001B7CA5"/>
    <w:rsid w:val="001C03C1"/>
    <w:rsid w:val="001C3CDB"/>
    <w:rsid w:val="001C7843"/>
    <w:rsid w:val="001D0976"/>
    <w:rsid w:val="001D5E0C"/>
    <w:rsid w:val="001E6AEA"/>
    <w:rsid w:val="001F6CB2"/>
    <w:rsid w:val="00203922"/>
    <w:rsid w:val="00227919"/>
    <w:rsid w:val="002329AD"/>
    <w:rsid w:val="0023330E"/>
    <w:rsid w:val="002437EB"/>
    <w:rsid w:val="00260028"/>
    <w:rsid w:val="002667EF"/>
    <w:rsid w:val="002775B7"/>
    <w:rsid w:val="0028176F"/>
    <w:rsid w:val="00283106"/>
    <w:rsid w:val="002831A1"/>
    <w:rsid w:val="002A0CE5"/>
    <w:rsid w:val="002C1215"/>
    <w:rsid w:val="002C1E6D"/>
    <w:rsid w:val="002D333E"/>
    <w:rsid w:val="002E3417"/>
    <w:rsid w:val="002F6719"/>
    <w:rsid w:val="00301DB4"/>
    <w:rsid w:val="00322D35"/>
    <w:rsid w:val="0032427E"/>
    <w:rsid w:val="00331806"/>
    <w:rsid w:val="00346AF3"/>
    <w:rsid w:val="00355913"/>
    <w:rsid w:val="00355FE5"/>
    <w:rsid w:val="00360466"/>
    <w:rsid w:val="00362018"/>
    <w:rsid w:val="003728AF"/>
    <w:rsid w:val="00374324"/>
    <w:rsid w:val="0038226F"/>
    <w:rsid w:val="0039373B"/>
    <w:rsid w:val="0039570D"/>
    <w:rsid w:val="003B0098"/>
    <w:rsid w:val="003D253C"/>
    <w:rsid w:val="003D3C43"/>
    <w:rsid w:val="003D6F3F"/>
    <w:rsid w:val="003E1460"/>
    <w:rsid w:val="003F2DA6"/>
    <w:rsid w:val="003F38A3"/>
    <w:rsid w:val="00407F9C"/>
    <w:rsid w:val="0041215E"/>
    <w:rsid w:val="00416465"/>
    <w:rsid w:val="004246BC"/>
    <w:rsid w:val="004313C8"/>
    <w:rsid w:val="00431907"/>
    <w:rsid w:val="00440E01"/>
    <w:rsid w:val="00457E93"/>
    <w:rsid w:val="00465B8E"/>
    <w:rsid w:val="00493556"/>
    <w:rsid w:val="004A3C95"/>
    <w:rsid w:val="004A6191"/>
    <w:rsid w:val="004B4088"/>
    <w:rsid w:val="004B5DC4"/>
    <w:rsid w:val="004F2E3F"/>
    <w:rsid w:val="004F31D5"/>
    <w:rsid w:val="004F6C7C"/>
    <w:rsid w:val="00515D91"/>
    <w:rsid w:val="005223C4"/>
    <w:rsid w:val="00532135"/>
    <w:rsid w:val="00536760"/>
    <w:rsid w:val="00545A72"/>
    <w:rsid w:val="00565244"/>
    <w:rsid w:val="00567219"/>
    <w:rsid w:val="00571F4B"/>
    <w:rsid w:val="00573107"/>
    <w:rsid w:val="005779E4"/>
    <w:rsid w:val="00580463"/>
    <w:rsid w:val="0059342C"/>
    <w:rsid w:val="005A336E"/>
    <w:rsid w:val="005B3697"/>
    <w:rsid w:val="005B4938"/>
    <w:rsid w:val="005C100F"/>
    <w:rsid w:val="005D6E8C"/>
    <w:rsid w:val="005F0A13"/>
    <w:rsid w:val="0060015A"/>
    <w:rsid w:val="00604F32"/>
    <w:rsid w:val="00621FB2"/>
    <w:rsid w:val="00631BEE"/>
    <w:rsid w:val="00647749"/>
    <w:rsid w:val="0065584F"/>
    <w:rsid w:val="006720E9"/>
    <w:rsid w:val="006864D2"/>
    <w:rsid w:val="00690F2F"/>
    <w:rsid w:val="006A0F3E"/>
    <w:rsid w:val="006A7C44"/>
    <w:rsid w:val="006B33B3"/>
    <w:rsid w:val="006C4CCB"/>
    <w:rsid w:val="006D2DAD"/>
    <w:rsid w:val="006D5757"/>
    <w:rsid w:val="006D7224"/>
    <w:rsid w:val="00705615"/>
    <w:rsid w:val="00705F5B"/>
    <w:rsid w:val="00707AF3"/>
    <w:rsid w:val="00712F9B"/>
    <w:rsid w:val="00765F4C"/>
    <w:rsid w:val="00775A29"/>
    <w:rsid w:val="007A25DC"/>
    <w:rsid w:val="007A7C4E"/>
    <w:rsid w:val="007C0812"/>
    <w:rsid w:val="007C2420"/>
    <w:rsid w:val="007C4BAD"/>
    <w:rsid w:val="007D163A"/>
    <w:rsid w:val="007E39FB"/>
    <w:rsid w:val="007F2729"/>
    <w:rsid w:val="0080554A"/>
    <w:rsid w:val="00811620"/>
    <w:rsid w:val="008206C6"/>
    <w:rsid w:val="00831146"/>
    <w:rsid w:val="008662E4"/>
    <w:rsid w:val="00874D8D"/>
    <w:rsid w:val="00883AD3"/>
    <w:rsid w:val="00883F8E"/>
    <w:rsid w:val="008911B6"/>
    <w:rsid w:val="00895C20"/>
    <w:rsid w:val="008A09E1"/>
    <w:rsid w:val="008D59A9"/>
    <w:rsid w:val="008D7E58"/>
    <w:rsid w:val="008E2D6D"/>
    <w:rsid w:val="008E4100"/>
    <w:rsid w:val="008F36C8"/>
    <w:rsid w:val="00902A2F"/>
    <w:rsid w:val="00904A2F"/>
    <w:rsid w:val="00920DC4"/>
    <w:rsid w:val="00955A3A"/>
    <w:rsid w:val="00964A50"/>
    <w:rsid w:val="00966820"/>
    <w:rsid w:val="00974896"/>
    <w:rsid w:val="00975825"/>
    <w:rsid w:val="009820DE"/>
    <w:rsid w:val="00997D5D"/>
    <w:rsid w:val="009A26FD"/>
    <w:rsid w:val="009C5F49"/>
    <w:rsid w:val="009F6EEA"/>
    <w:rsid w:val="00A00512"/>
    <w:rsid w:val="00A17B00"/>
    <w:rsid w:val="00A205F1"/>
    <w:rsid w:val="00A21C29"/>
    <w:rsid w:val="00A46169"/>
    <w:rsid w:val="00A6096E"/>
    <w:rsid w:val="00A648E0"/>
    <w:rsid w:val="00A7286D"/>
    <w:rsid w:val="00A81B51"/>
    <w:rsid w:val="00A83904"/>
    <w:rsid w:val="00A86F74"/>
    <w:rsid w:val="00A87F19"/>
    <w:rsid w:val="00A90410"/>
    <w:rsid w:val="00AA4733"/>
    <w:rsid w:val="00AB71E2"/>
    <w:rsid w:val="00AB7733"/>
    <w:rsid w:val="00AC1BA1"/>
    <w:rsid w:val="00AC640E"/>
    <w:rsid w:val="00AD13A7"/>
    <w:rsid w:val="00AD4E14"/>
    <w:rsid w:val="00AE2574"/>
    <w:rsid w:val="00AE5C4D"/>
    <w:rsid w:val="00AF7E3E"/>
    <w:rsid w:val="00B07305"/>
    <w:rsid w:val="00B158EC"/>
    <w:rsid w:val="00B177B5"/>
    <w:rsid w:val="00B2087D"/>
    <w:rsid w:val="00B27D96"/>
    <w:rsid w:val="00B52C57"/>
    <w:rsid w:val="00B70211"/>
    <w:rsid w:val="00B74E30"/>
    <w:rsid w:val="00B97104"/>
    <w:rsid w:val="00BA23ED"/>
    <w:rsid w:val="00BA5020"/>
    <w:rsid w:val="00BB03D8"/>
    <w:rsid w:val="00C11F32"/>
    <w:rsid w:val="00C1236A"/>
    <w:rsid w:val="00C130A3"/>
    <w:rsid w:val="00C213F9"/>
    <w:rsid w:val="00C26CD7"/>
    <w:rsid w:val="00C310BC"/>
    <w:rsid w:val="00C34D10"/>
    <w:rsid w:val="00C353EB"/>
    <w:rsid w:val="00C35543"/>
    <w:rsid w:val="00C51C56"/>
    <w:rsid w:val="00C54FB1"/>
    <w:rsid w:val="00C61654"/>
    <w:rsid w:val="00C61736"/>
    <w:rsid w:val="00C66C8E"/>
    <w:rsid w:val="00C75C0F"/>
    <w:rsid w:val="00C97D9D"/>
    <w:rsid w:val="00CA03D5"/>
    <w:rsid w:val="00CB4DCD"/>
    <w:rsid w:val="00CB6330"/>
    <w:rsid w:val="00CC2B3F"/>
    <w:rsid w:val="00CD7B1A"/>
    <w:rsid w:val="00CE3F25"/>
    <w:rsid w:val="00CE7ED6"/>
    <w:rsid w:val="00D002F6"/>
    <w:rsid w:val="00D013F2"/>
    <w:rsid w:val="00D12478"/>
    <w:rsid w:val="00D3411D"/>
    <w:rsid w:val="00D5103F"/>
    <w:rsid w:val="00D64CDB"/>
    <w:rsid w:val="00D7157E"/>
    <w:rsid w:val="00D76374"/>
    <w:rsid w:val="00D929F1"/>
    <w:rsid w:val="00DA7247"/>
    <w:rsid w:val="00DC0B53"/>
    <w:rsid w:val="00DC2ABB"/>
    <w:rsid w:val="00DC7925"/>
    <w:rsid w:val="00DD0D1C"/>
    <w:rsid w:val="00DD7523"/>
    <w:rsid w:val="00DE0E6E"/>
    <w:rsid w:val="00DE2342"/>
    <w:rsid w:val="00DE4454"/>
    <w:rsid w:val="00DF4806"/>
    <w:rsid w:val="00DF6C12"/>
    <w:rsid w:val="00E03249"/>
    <w:rsid w:val="00E106C1"/>
    <w:rsid w:val="00E20320"/>
    <w:rsid w:val="00E22D59"/>
    <w:rsid w:val="00E3188B"/>
    <w:rsid w:val="00E46549"/>
    <w:rsid w:val="00E50217"/>
    <w:rsid w:val="00E60808"/>
    <w:rsid w:val="00E77B50"/>
    <w:rsid w:val="00E81467"/>
    <w:rsid w:val="00E91495"/>
    <w:rsid w:val="00EA1857"/>
    <w:rsid w:val="00EC6DD8"/>
    <w:rsid w:val="00EE45BA"/>
    <w:rsid w:val="00EF58F2"/>
    <w:rsid w:val="00EF6929"/>
    <w:rsid w:val="00EF6FB4"/>
    <w:rsid w:val="00F10819"/>
    <w:rsid w:val="00F11BAE"/>
    <w:rsid w:val="00F123DD"/>
    <w:rsid w:val="00F242D6"/>
    <w:rsid w:val="00F310B8"/>
    <w:rsid w:val="00F34D24"/>
    <w:rsid w:val="00F40CBA"/>
    <w:rsid w:val="00F5591A"/>
    <w:rsid w:val="00F911EB"/>
    <w:rsid w:val="00F97C6F"/>
    <w:rsid w:val="00FA10D4"/>
    <w:rsid w:val="00FA6D70"/>
    <w:rsid w:val="00FB1947"/>
    <w:rsid w:val="00FD30FE"/>
    <w:rsid w:val="00FD40D3"/>
    <w:rsid w:val="00FE1E41"/>
    <w:rsid w:val="00FE3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D7DAEF9"/>
  <w15:chartTrackingRefBased/>
  <w15:docId w15:val="{E536D413-049E-214A-B450-6209E2650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IZ UDPゴシック" w:eastAsia="BIZ UDPゴシック" w:hAnsi="BIZ UDPゴシック" w:cs="Times New Roman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0819"/>
    <w:pPr>
      <w:widowControl w:val="0"/>
      <w:jc w:val="both"/>
    </w:pPr>
    <w:rPr>
      <w:rFonts w:asciiTheme="minorHAnsi" w:eastAsiaTheme="minorEastAsia" w:hAnsiTheme="minorHAnsi" w:cstheme="minorBidi"/>
    </w:rPr>
  </w:style>
  <w:style w:type="paragraph" w:styleId="1">
    <w:name w:val="heading 1"/>
    <w:basedOn w:val="a"/>
    <w:next w:val="a"/>
    <w:link w:val="10"/>
    <w:uiPriority w:val="9"/>
    <w:qFormat/>
    <w:rsid w:val="00F10819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108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1081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0819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0819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0819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10819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10819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10819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10819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1081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10819"/>
    <w:rPr>
      <w:rFonts w:asciiTheme="majorHAnsi" w:eastAsiaTheme="majorEastAsia" w:hAnsiTheme="majorHAnsi" w:cstheme="majorBidi"/>
      <w:color w:val="000000" w:themeColor="text1"/>
    </w:rPr>
  </w:style>
  <w:style w:type="character" w:customStyle="1" w:styleId="40">
    <w:name w:val="見出し 4 (文字)"/>
    <w:basedOn w:val="a0"/>
    <w:link w:val="4"/>
    <w:uiPriority w:val="9"/>
    <w:semiHidden/>
    <w:rsid w:val="00F10819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10819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10819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10819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10819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10819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1081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108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10819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1081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10819"/>
    <w:pPr>
      <w:spacing w:before="160" w:after="160"/>
      <w:jc w:val="center"/>
    </w:pPr>
    <w:rPr>
      <w:rFonts w:ascii="BIZ UDPゴシック" w:eastAsia="BIZ UDPゴシック" w:hAnsi="BIZ UDPゴシック" w:cs="Times New Roman"/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1081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10819"/>
    <w:pPr>
      <w:ind w:left="720"/>
      <w:contextualSpacing/>
    </w:pPr>
    <w:rPr>
      <w:rFonts w:ascii="BIZ UDPゴシック" w:eastAsia="BIZ UDPゴシック" w:hAnsi="BIZ UDPゴシック" w:cs="Times New Roman"/>
    </w:rPr>
  </w:style>
  <w:style w:type="character" w:styleId="21">
    <w:name w:val="Intense Emphasis"/>
    <w:basedOn w:val="a0"/>
    <w:uiPriority w:val="21"/>
    <w:qFormat/>
    <w:rsid w:val="00F10819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108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="BIZ UDPゴシック" w:eastAsia="BIZ UDPゴシック" w:hAnsi="BIZ UDPゴシック" w:cs="Times New Roman"/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10819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10819"/>
    <w:rPr>
      <w:b/>
      <w:bCs/>
      <w:smallCaps/>
      <w:color w:val="0F4761" w:themeColor="accent1" w:themeShade="BF"/>
      <w:spacing w:val="5"/>
    </w:rPr>
  </w:style>
  <w:style w:type="paragraph" w:styleId="aa">
    <w:name w:val="footer"/>
    <w:basedOn w:val="a"/>
    <w:link w:val="ab"/>
    <w:uiPriority w:val="99"/>
    <w:unhideWhenUsed/>
    <w:rsid w:val="00F10819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F10819"/>
    <w:rPr>
      <w:rFonts w:asciiTheme="minorHAnsi" w:eastAsiaTheme="minorEastAsia" w:hAnsiTheme="minorHAnsi" w:cstheme="minorBidi"/>
    </w:rPr>
  </w:style>
  <w:style w:type="character" w:styleId="ac">
    <w:name w:val="page number"/>
    <w:basedOn w:val="a0"/>
    <w:uiPriority w:val="99"/>
    <w:semiHidden/>
    <w:unhideWhenUsed/>
    <w:rsid w:val="00F10819"/>
  </w:style>
  <w:style w:type="table" w:styleId="ad">
    <w:name w:val="Table Grid"/>
    <w:basedOn w:val="a1"/>
    <w:uiPriority w:val="59"/>
    <w:unhideWhenUsed/>
    <w:rsid w:val="00F10819"/>
    <w:rPr>
      <w:rFonts w:asciiTheme="minorHAnsi" w:eastAsiaTheme="minorHAnsi" w:hAnsiTheme="minorHAnsi" w:cstheme="minorBidi"/>
      <w:kern w:val="0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oter" Target="footer2.xml"/><Relationship Id="rId5" Type="http://schemas.openxmlformats.org/officeDocument/2006/relationships/image" Target="media/image2.tiff"/><Relationship Id="rId10" Type="http://schemas.openxmlformats.org/officeDocument/2006/relationships/footer" Target="footer1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417</Words>
  <Characters>2383</Characters>
  <Application>Microsoft Office Word</Application>
  <DocSecurity>0</DocSecurity>
  <Lines>19</Lines>
  <Paragraphs>5</Paragraphs>
  <ScaleCrop>false</ScaleCrop>
  <Company/>
  <LinksUpToDate>false</LinksUpToDate>
  <CharactersWithSpaces>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仁一 井ノ口</dc:creator>
  <cp:keywords/>
  <dc:description/>
  <cp:lastModifiedBy>仁一 井ノ口</cp:lastModifiedBy>
  <cp:revision>1</cp:revision>
  <dcterms:created xsi:type="dcterms:W3CDTF">2024-04-22T00:27:00Z</dcterms:created>
  <dcterms:modified xsi:type="dcterms:W3CDTF">2024-04-22T00:27:00Z</dcterms:modified>
</cp:coreProperties>
</file>