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C0" w:rsidRDefault="002019C0" w:rsidP="002019C0">
      <w:pPr>
        <w:pStyle w:val="EndNoteBibliography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Supplementary Material</w:t>
      </w:r>
    </w:p>
    <w:p w:rsidR="002019C0" w:rsidRPr="009E45E6" w:rsidRDefault="002019C0" w:rsidP="002019C0">
      <w:pPr>
        <w:spacing w:beforeLines="50" w:before="180" w:afterLines="50" w:after="18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E45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Real-world Experience of Angiotensin Receptor-</w:t>
      </w:r>
      <w:proofErr w:type="spellStart"/>
      <w:r w:rsidRPr="009E45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Neprilysin</w:t>
      </w:r>
      <w:proofErr w:type="spellEnd"/>
      <w:r w:rsidRPr="009E45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Inhibitors in Patients with Heart Failure and Dialysis</w:t>
      </w:r>
    </w:p>
    <w:p w:rsidR="002019C0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I-Ning Yang</w:t>
      </w:r>
      <w:r w:rsidRPr="009E45E6">
        <w:rPr>
          <w:rFonts w:ascii="Times New Roman" w:hAnsi="Times New Roman" w:cs="Times New Roman" w:hint="eastAsia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, Chi-Ya Huang, Chun-Ting Yang, Han-Siong Toh, Wei-Ting Chang, Li-Wei Su, Yu-Min Lin, Ming-Cheng Wang, Hsien-Yi Wang, Chia-Te Liao</w:t>
      </w:r>
      <w:r w:rsidRPr="009E45E6">
        <w:rPr>
          <w:rFonts w:ascii="Times New Roman" w:hAnsi="Times New Roman" w:cs="Times New Roman" w:hint="eastAsia"/>
          <w:sz w:val="20"/>
          <w:szCs w:val="20"/>
          <w:vertAlign w:val="superscript"/>
        </w:rPr>
        <w:t>*</w:t>
      </w:r>
    </w:p>
    <w:p w:rsidR="002019C0" w:rsidRPr="002019C0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</w:rPr>
      </w:pPr>
    </w:p>
    <w:p w:rsidR="002019C0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9E45E6">
        <w:rPr>
          <w:rFonts w:ascii="Times New Roman" w:hAnsi="Times New Roman" w:cs="Times New Roman" w:hint="eastAsia"/>
          <w:sz w:val="20"/>
          <w:szCs w:val="20"/>
          <w:vertAlign w:val="superscript"/>
        </w:rPr>
        <w:t>*</w:t>
      </w:r>
      <w:r w:rsidRPr="009E45E6">
        <w:rPr>
          <w:rFonts w:ascii="Times New Roman" w:hAnsi="Times New Roman" w:cs="Times New Roman" w:hint="eastAsia"/>
          <w:b/>
          <w:bCs/>
          <w:sz w:val="20"/>
          <w:szCs w:val="20"/>
        </w:rPr>
        <w:t>C</w:t>
      </w:r>
      <w:r w:rsidRPr="009E45E6">
        <w:rPr>
          <w:rFonts w:ascii="Times New Roman" w:hAnsi="Times New Roman" w:cs="Times New Roman"/>
          <w:b/>
          <w:bCs/>
          <w:sz w:val="20"/>
          <w:szCs w:val="20"/>
        </w:rPr>
        <w:t>orrespond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ence: </w:t>
      </w:r>
      <w:r w:rsidRPr="000B14AA">
        <w:rPr>
          <w:rFonts w:ascii="Times New Roman" w:hAnsi="Times New Roman" w:cs="Times New Roman" w:hint="eastAsia"/>
          <w:sz w:val="20"/>
          <w:szCs w:val="20"/>
        </w:rPr>
        <w:t>C</w:t>
      </w:r>
      <w:r w:rsidRPr="000B14AA">
        <w:rPr>
          <w:rFonts w:ascii="Times New Roman" w:hAnsi="Times New Roman" w:cs="Times New Roman"/>
          <w:sz w:val="20"/>
          <w:szCs w:val="20"/>
        </w:rPr>
        <w:t>orresponding authors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019C0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  <w:vertAlign w:val="superscript"/>
        </w:rPr>
      </w:pPr>
      <w:r w:rsidRPr="009E45E6">
        <w:rPr>
          <w:rFonts w:ascii="Times New Roman" w:hAnsi="Times New Roman" w:cs="Times New Roman"/>
          <w:sz w:val="20"/>
          <w:szCs w:val="20"/>
        </w:rPr>
        <w:t xml:space="preserve">Chia-Te Liao </w:t>
      </w:r>
      <w:r w:rsidRPr="009E45E6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2019C0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9E45E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 w:history="1">
        <w:r w:rsidRPr="000F125C">
          <w:rPr>
            <w:rStyle w:val="a6"/>
            <w:rFonts w:ascii="Times New Roman" w:hAnsi="Times New Roman" w:cs="Times New Roman"/>
            <w:sz w:val="20"/>
            <w:szCs w:val="20"/>
          </w:rPr>
          <w:t>drctliao@gmail.com</w:t>
        </w:r>
      </w:hyperlink>
    </w:p>
    <w:p w:rsidR="002019C0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I-Ning Yang</w:t>
      </w:r>
      <w:r w:rsidRPr="009E45E6">
        <w:rPr>
          <w:rFonts w:ascii="Times New Roman" w:hAnsi="Times New Roman" w:cs="Times New Roman" w:hint="eastAsia"/>
          <w:sz w:val="20"/>
          <w:szCs w:val="20"/>
          <w:vertAlign w:val="superscript"/>
        </w:rPr>
        <w:t>*</w:t>
      </w:r>
    </w:p>
    <w:p w:rsidR="002019C0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9E45E6">
        <w:rPr>
          <w:rFonts w:ascii="Times New Roman" w:hAnsi="Times New Roman" w:cs="Times New Roman"/>
          <w:sz w:val="20"/>
          <w:szCs w:val="20"/>
        </w:rPr>
        <w:t>Email: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0F125C">
          <w:rPr>
            <w:rStyle w:val="a6"/>
            <w:rFonts w:ascii="Times New Roman" w:hAnsi="Times New Roman" w:cs="Times New Roman"/>
            <w:sz w:val="20"/>
            <w:szCs w:val="20"/>
          </w:rPr>
          <w:t>inyang5036@gmail.com</w:t>
        </w:r>
      </w:hyperlink>
    </w:p>
    <w:p w:rsidR="002019C0" w:rsidRPr="000B14AA" w:rsidRDefault="002019C0" w:rsidP="002019C0">
      <w:pPr>
        <w:pStyle w:val="EndNoteBibliography"/>
        <w:rPr>
          <w:rFonts w:ascii="Times New Roman" w:hAnsi="Times New Roman" w:cs="Times New Roman"/>
          <w:sz w:val="20"/>
          <w:szCs w:val="20"/>
        </w:rPr>
      </w:pPr>
    </w:p>
    <w:p w:rsidR="002019C0" w:rsidRPr="00860DCF" w:rsidRDefault="002019C0" w:rsidP="002019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upplementary</w:t>
      </w: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 xml:space="preserve">Material </w:t>
      </w: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C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ontent</w:t>
      </w:r>
    </w:p>
    <w:p w:rsidR="002019C0" w:rsidRPr="00860DCF" w:rsidRDefault="002019C0" w:rsidP="002019C0">
      <w:pPr>
        <w:spacing w:beforeLines="50" w:before="180" w:afterLines="50" w:after="180"/>
        <w:rPr>
          <w:rFonts w:ascii="Times New Roman" w:hAnsi="Times New Roman" w:cs="Times New Roman"/>
          <w:b/>
          <w:bCs/>
          <w:sz w:val="20"/>
          <w:szCs w:val="20"/>
        </w:r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 xml:space="preserve">upplementary Methods </w:t>
      </w:r>
    </w:p>
    <w:p w:rsidR="002019C0" w:rsidRPr="00860DCF" w:rsidRDefault="002019C0" w:rsidP="002019C0">
      <w:pPr>
        <w:spacing w:before="50" w:after="50"/>
        <w:rPr>
          <w:rFonts w:ascii="Times New Roman" w:hAnsi="Times New Roman" w:cs="Times New Roman"/>
          <w:b/>
          <w:bCs/>
          <w:sz w:val="20"/>
          <w:szCs w:val="20"/>
        </w:r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upplementary Tables</w:t>
      </w:r>
    </w:p>
    <w:p w:rsidR="002019C0" w:rsidRPr="00860DCF" w:rsidRDefault="002019C0" w:rsidP="002019C0">
      <w:pPr>
        <w:spacing w:before="50" w:after="50"/>
        <w:rPr>
          <w:rFonts w:ascii="Times New Roman" w:hAnsi="Times New Roman" w:cs="Times New Roman"/>
          <w:sz w:val="20"/>
          <w:szCs w:val="20"/>
        </w:rPr>
      </w:pPr>
      <w:r w:rsidRPr="00860DCF">
        <w:rPr>
          <w:rFonts w:ascii="Times New Roman" w:hAnsi="Times New Roman" w:cs="Times New Roman"/>
          <w:b/>
          <w:bCs/>
          <w:sz w:val="20"/>
          <w:szCs w:val="20"/>
        </w:rPr>
        <w:t>Supplementary Table S1.</w:t>
      </w:r>
      <w:r w:rsidRPr="00860DCF">
        <w:rPr>
          <w:rFonts w:ascii="Times New Roman" w:hAnsi="Times New Roman" w:cs="Times New Roman"/>
          <w:sz w:val="20"/>
          <w:szCs w:val="20"/>
        </w:rPr>
        <w:t xml:space="preserve"> All outcomes with bootstrap in the comparison between the ARNI and ACEI/ARB group.</w:t>
      </w:r>
      <w:r w:rsidRPr="00860DCF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:rsidR="002019C0" w:rsidRPr="00860DCF" w:rsidRDefault="002019C0" w:rsidP="002019C0">
      <w:pPr>
        <w:spacing w:before="50" w:after="50"/>
        <w:rPr>
          <w:rFonts w:ascii="Times New Roman" w:hAnsi="Times New Roman" w:cs="Times New Roman"/>
          <w:sz w:val="20"/>
          <w:szCs w:val="20"/>
        </w:rPr>
      </w:pPr>
      <w:r w:rsidRPr="00860DCF">
        <w:rPr>
          <w:rFonts w:ascii="Times New Roman" w:hAnsi="Times New Roman" w:cs="Times New Roman"/>
          <w:b/>
          <w:bCs/>
          <w:sz w:val="20"/>
          <w:szCs w:val="20"/>
        </w:rPr>
        <w:t>Supplementary Table S2.</w:t>
      </w:r>
      <w:r w:rsidRPr="00860DCF">
        <w:rPr>
          <w:rFonts w:ascii="Times New Roman" w:hAnsi="Times New Roman" w:cs="Times New Roman"/>
          <w:sz w:val="20"/>
          <w:szCs w:val="20"/>
        </w:rPr>
        <w:t xml:space="preserve"> Primary and secondary outcomes (Duration until December 31, 2021) in the comparison between the ARNI and the ACEI/ARB group.</w:t>
      </w:r>
      <w:r w:rsidRPr="00860DCF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:rsidR="002019C0" w:rsidRPr="00860DCF" w:rsidRDefault="002019C0" w:rsidP="002019C0">
      <w:pPr>
        <w:spacing w:before="50" w:after="50"/>
        <w:rPr>
          <w:rFonts w:ascii="Times New Roman" w:hAnsi="Times New Roman" w:cs="Times New Roman"/>
          <w:sz w:val="20"/>
          <w:szCs w:val="20"/>
        </w:rPr>
      </w:pPr>
      <w:r w:rsidRPr="00860DCF">
        <w:rPr>
          <w:rFonts w:ascii="Times New Roman" w:hAnsi="Times New Roman" w:cs="Times New Roman"/>
          <w:b/>
          <w:bCs/>
          <w:sz w:val="20"/>
          <w:szCs w:val="20"/>
        </w:rPr>
        <w:t>Supplementary Table S3.</w:t>
      </w:r>
      <w:r w:rsidRPr="00860DCF">
        <w:rPr>
          <w:rFonts w:ascii="Times New Roman" w:hAnsi="Times New Roman" w:cs="Times New Roman"/>
          <w:sz w:val="20"/>
          <w:szCs w:val="20"/>
        </w:rPr>
        <w:t xml:space="preserve"> Baseline </w:t>
      </w:r>
      <w:r w:rsidR="003A7B08">
        <w:rPr>
          <w:rFonts w:ascii="Times New Roman" w:hAnsi="Times New Roman" w:cs="Times New Roman"/>
          <w:sz w:val="20"/>
          <w:szCs w:val="20"/>
        </w:rPr>
        <w:t>c</w:t>
      </w:r>
      <w:r w:rsidRPr="00860DCF">
        <w:rPr>
          <w:rFonts w:ascii="Times New Roman" w:hAnsi="Times New Roman" w:cs="Times New Roman"/>
          <w:sz w:val="20"/>
          <w:szCs w:val="20"/>
        </w:rPr>
        <w:t>haracteristics of the included subjects with propensity score matching.</w:t>
      </w:r>
    </w:p>
    <w:p w:rsidR="002019C0" w:rsidRPr="003A7B08" w:rsidRDefault="003A7B08" w:rsidP="003A7B08">
      <w:pPr>
        <w:rPr>
          <w:rFonts w:ascii="Times New Roman" w:hAnsi="Times New Roman" w:cs="Times New Roman"/>
          <w:sz w:val="20"/>
          <w:szCs w:val="20"/>
        </w:rPr>
      </w:pPr>
      <w:r w:rsidRPr="00860DCF">
        <w:rPr>
          <w:rFonts w:ascii="Times New Roman" w:hAnsi="Times New Roman" w:cs="Times New Roman"/>
          <w:b/>
          <w:bCs/>
          <w:sz w:val="20"/>
          <w:szCs w:val="20"/>
        </w:rPr>
        <w:t>Supplementary Table S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7B08">
        <w:rPr>
          <w:rFonts w:ascii="Times New Roman" w:hAnsi="Times New Roman" w:cs="Times New Roman"/>
          <w:sz w:val="20"/>
          <w:szCs w:val="20"/>
        </w:rPr>
        <w:t>Number at Risk Over Time with Cox-Adjusted Cumulative Event-Free Rates for Primary Composite Outcomes</w:t>
      </w:r>
    </w:p>
    <w:p w:rsidR="003A7B08" w:rsidRDefault="003A7B08" w:rsidP="002019C0">
      <w:pPr>
        <w:spacing w:before="50" w:after="50"/>
        <w:rPr>
          <w:rFonts w:ascii="Times New Roman" w:hAnsi="Times New Roman" w:cs="Times New Roman"/>
          <w:b/>
          <w:bCs/>
          <w:sz w:val="20"/>
          <w:szCs w:val="20"/>
        </w:rPr>
      </w:pPr>
      <w:r w:rsidRPr="00860DCF">
        <w:rPr>
          <w:rFonts w:ascii="Times New Roman" w:hAnsi="Times New Roman" w:cs="Times New Roman"/>
          <w:b/>
          <w:bCs/>
          <w:sz w:val="20"/>
          <w:szCs w:val="20"/>
        </w:rPr>
        <w:t>Supplementary Table S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7B08">
        <w:rPr>
          <w:rFonts w:ascii="Times New Roman" w:hAnsi="Times New Roman" w:cs="Times New Roman"/>
          <w:sz w:val="20"/>
          <w:szCs w:val="20"/>
        </w:rPr>
        <w:t xml:space="preserve">Number at Risk Over Time with Cox-Adjusted Cumulative Event-Free Rates for </w:t>
      </w:r>
      <w:r>
        <w:rPr>
          <w:rFonts w:ascii="Times New Roman" w:hAnsi="Times New Roman" w:cs="Times New Roman"/>
          <w:sz w:val="20"/>
          <w:szCs w:val="20"/>
        </w:rPr>
        <w:t>Hospitalization Due to Heart Failure</w:t>
      </w:r>
    </w:p>
    <w:p w:rsidR="003A7B08" w:rsidRDefault="003A7B08" w:rsidP="002019C0">
      <w:pPr>
        <w:spacing w:before="50" w:after="50"/>
        <w:rPr>
          <w:rFonts w:ascii="Times New Roman" w:hAnsi="Times New Roman" w:cs="Times New Roman"/>
          <w:b/>
          <w:bCs/>
          <w:sz w:val="20"/>
          <w:szCs w:val="20"/>
        </w:rPr>
      </w:pPr>
      <w:r w:rsidRPr="00860DCF">
        <w:rPr>
          <w:rFonts w:ascii="Times New Roman" w:hAnsi="Times New Roman" w:cs="Times New Roman"/>
          <w:b/>
          <w:bCs/>
          <w:sz w:val="20"/>
          <w:szCs w:val="20"/>
        </w:rPr>
        <w:t>Supplementary Table S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227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2756" w:rsidRPr="00322756">
        <w:rPr>
          <w:rFonts w:ascii="Times New Roman" w:hAnsi="Times New Roman" w:cs="Times New Roman"/>
          <w:sz w:val="20"/>
          <w:szCs w:val="20"/>
        </w:rPr>
        <w:t>Number at Risk Over Time with Cox-Adjusted Cumulative Event-Free Rates for All-cause Mortality</w:t>
      </w:r>
    </w:p>
    <w:p w:rsidR="003A7B08" w:rsidRPr="00860DCF" w:rsidRDefault="003A7B08" w:rsidP="002019C0">
      <w:pPr>
        <w:spacing w:before="50" w:after="50"/>
        <w:rPr>
          <w:rFonts w:ascii="Times New Roman" w:hAnsi="Times New Roman" w:cs="Times New Roman"/>
          <w:sz w:val="20"/>
          <w:szCs w:val="20"/>
        </w:rPr>
      </w:pPr>
    </w:p>
    <w:p w:rsidR="002019C0" w:rsidRPr="00860DCF" w:rsidRDefault="002019C0" w:rsidP="002019C0">
      <w:pPr>
        <w:spacing w:before="50" w:after="50"/>
        <w:rPr>
          <w:rFonts w:ascii="Times New Roman" w:hAnsi="Times New Roman" w:cs="Times New Roman"/>
          <w:b/>
          <w:bCs/>
          <w:sz w:val="20"/>
          <w:szCs w:val="20"/>
        </w:r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upplementary Figures</w:t>
      </w:r>
    </w:p>
    <w:p w:rsidR="002019C0" w:rsidRDefault="002019C0" w:rsidP="002019C0">
      <w:pPr>
        <w:spacing w:before="50" w:after="50"/>
        <w:rPr>
          <w:rFonts w:ascii="Times New Roman" w:hAnsi="Times New Roman" w:cs="Times New Roman"/>
          <w:sz w:val="20"/>
          <w:szCs w:val="20"/>
        </w:r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upplementary Figure S1.</w:t>
      </w:r>
      <w:r w:rsidRPr="00860DCF">
        <w:rPr>
          <w:rFonts w:ascii="Times New Roman" w:hAnsi="Times New Roman" w:cs="Times New Roman"/>
          <w:sz w:val="20"/>
          <w:szCs w:val="20"/>
        </w:rPr>
        <w:t xml:space="preserve"> </w:t>
      </w:r>
      <w:r w:rsidR="00B813E5" w:rsidRPr="00B813E5">
        <w:rPr>
          <w:rFonts w:ascii="Times New Roman" w:hAnsi="Times New Roman" w:cs="Times New Roman"/>
          <w:sz w:val="20"/>
          <w:szCs w:val="20"/>
        </w:rPr>
        <w:t>Cox-adjusted cumulative event-free rate</w:t>
      </w:r>
      <w:r w:rsidR="00B813E5" w:rsidRPr="00860DCF">
        <w:rPr>
          <w:rFonts w:ascii="Times New Roman" w:hAnsi="Times New Roman" w:cs="Times New Roman"/>
          <w:sz w:val="20"/>
          <w:szCs w:val="20"/>
        </w:rPr>
        <w:t xml:space="preserve"> </w:t>
      </w:r>
      <w:r w:rsidR="00B813E5">
        <w:rPr>
          <w:rFonts w:ascii="Times New Roman" w:hAnsi="Times New Roman" w:cs="Times New Roman"/>
          <w:sz w:val="20"/>
          <w:szCs w:val="20"/>
        </w:rPr>
        <w:t>of p</w:t>
      </w:r>
      <w:r w:rsidRPr="00860DCF">
        <w:rPr>
          <w:rFonts w:ascii="Times New Roman" w:hAnsi="Times New Roman" w:cs="Times New Roman"/>
          <w:sz w:val="20"/>
          <w:szCs w:val="20"/>
        </w:rPr>
        <w:t>rimary composite outcome with</w:t>
      </w:r>
      <w:r w:rsidRPr="00860DCF">
        <w:rPr>
          <w:rFonts w:ascii="Times New Roman" w:hAnsi="Times New Roman" w:cs="Times New Roman" w:hint="eastAsia"/>
          <w:sz w:val="20"/>
          <w:szCs w:val="20"/>
        </w:rPr>
        <w:t xml:space="preserve"> propensity score matching</w:t>
      </w:r>
      <w:r w:rsidRPr="00860DCF">
        <w:rPr>
          <w:rFonts w:ascii="Times New Roman" w:hAnsi="Times New Roman" w:cs="Times New Roman"/>
          <w:sz w:val="20"/>
          <w:szCs w:val="20"/>
        </w:rPr>
        <w:t>.</w:t>
      </w:r>
    </w:p>
    <w:p w:rsidR="00B813E5" w:rsidRPr="00860DCF" w:rsidRDefault="00B813E5" w:rsidP="002019C0">
      <w:pPr>
        <w:spacing w:before="50" w:after="50"/>
        <w:rPr>
          <w:rFonts w:ascii="Times New Roman" w:hAnsi="Times New Roman" w:cs="Times New Roman"/>
          <w:sz w:val="20"/>
          <w:szCs w:val="20"/>
        </w:r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upplementary Figure S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60DCF">
        <w:rPr>
          <w:rFonts w:ascii="Times New Roman" w:hAnsi="Times New Roman" w:cs="Times New Roman"/>
          <w:sz w:val="20"/>
          <w:szCs w:val="20"/>
        </w:rPr>
        <w:t xml:space="preserve"> </w:t>
      </w:r>
      <w:r w:rsidRPr="00B813E5">
        <w:rPr>
          <w:rFonts w:ascii="Times New Roman" w:hAnsi="Times New Roman" w:cs="Times New Roman"/>
          <w:sz w:val="20"/>
          <w:szCs w:val="20"/>
        </w:rPr>
        <w:t>Cox-adjusted cumulative event-free rate of primary composite outcome with patients initially excluded for prior outcome events</w:t>
      </w:r>
    </w:p>
    <w:p w:rsidR="002019C0" w:rsidRPr="00860DCF" w:rsidRDefault="002019C0" w:rsidP="002019C0">
      <w:pPr>
        <w:spacing w:before="50" w:after="50"/>
        <w:rPr>
          <w:rFonts w:ascii="Times New Roman" w:hAnsi="Times New Roman" w:cs="Times New Roman"/>
          <w:sz w:val="20"/>
          <w:szCs w:val="20"/>
        </w:rPr>
      </w:pPr>
    </w:p>
    <w:p w:rsidR="002019C0" w:rsidRPr="00860DCF" w:rsidRDefault="002019C0" w:rsidP="002019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upplementary Files</w:t>
      </w:r>
    </w:p>
    <w:p w:rsidR="002019C0" w:rsidRPr="00860DCF" w:rsidRDefault="002019C0" w:rsidP="002019C0">
      <w:pP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shd w:val="clear" w:color="auto" w:fill="FFFFFF"/>
          <w:lang w:val="en-GB"/>
        </w:rPr>
        <w:sectPr w:rsidR="002019C0" w:rsidRPr="00860DCF" w:rsidSect="00613C4F">
          <w:footerReference w:type="even" r:id="rId9"/>
          <w:footerReference w:type="default" r:id="rId10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860DCF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860DCF">
        <w:rPr>
          <w:rFonts w:ascii="Times New Roman" w:hAnsi="Times New Roman" w:cs="Times New Roman"/>
          <w:b/>
          <w:bCs/>
          <w:sz w:val="20"/>
          <w:szCs w:val="20"/>
        </w:rPr>
        <w:t>upplementary File S1.</w:t>
      </w:r>
      <w:r w:rsidRPr="00860DCF">
        <w:rPr>
          <w:rFonts w:ascii="Times New Roman" w:hAnsi="Times New Roman" w:cs="Times New Roman"/>
          <w:sz w:val="20"/>
          <w:szCs w:val="20"/>
        </w:rPr>
        <w:t xml:space="preserve"> ICD-9-CM and ICD-10-CM codes used to identify clinical conditions and outcomes.</w:t>
      </w:r>
      <w:r w:rsidRPr="00860DCF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431"/>
        <w:tblW w:w="141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1276"/>
        <w:gridCol w:w="807"/>
        <w:gridCol w:w="1319"/>
        <w:gridCol w:w="807"/>
        <w:gridCol w:w="1701"/>
        <w:gridCol w:w="1985"/>
        <w:gridCol w:w="2126"/>
        <w:gridCol w:w="894"/>
      </w:tblGrid>
      <w:tr w:rsidR="002019C0" w:rsidRPr="00CD50D0" w:rsidTr="00613C4F">
        <w:trPr>
          <w:trHeight w:val="20"/>
        </w:trPr>
        <w:tc>
          <w:tcPr>
            <w:tcW w:w="1417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lastRenderedPageBreak/>
              <w:t xml:space="preserve">Supplementary Table S1. All outcomes with bootstrap in the comparison between the ARNI and </w:t>
            </w:r>
            <w:r w:rsidRPr="00CD50D0">
              <w:rPr>
                <w:rFonts w:ascii="Arial" w:hAnsi="Arial" w:cs="Arial" w:hint="eastAsia"/>
                <w:b/>
                <w:bCs/>
                <w:snapToGrid w:val="0"/>
                <w:sz w:val="20"/>
                <w:szCs w:val="20"/>
              </w:rPr>
              <w:t xml:space="preserve">the ACEI/ARB </w:t>
            </w:r>
            <w:r w:rsidRPr="00CD50D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group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60" w:after="60" w:line="240" w:lineRule="exact"/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ARNI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 xml:space="preserve"> (n = 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42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Cs/>
                <w:i/>
                <w:i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 w:hint="eastAsia"/>
                <w:b/>
                <w:snapToGrid w:val="0"/>
                <w:sz w:val="20"/>
                <w:szCs w:val="20"/>
              </w:rPr>
              <w:t>ACEI/ARB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(n = 47)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Cs/>
                <w:i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ARNI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 xml:space="preserve"> (n = 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42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 w:hint="eastAsia"/>
                <w:b/>
                <w:snapToGrid w:val="0"/>
                <w:sz w:val="20"/>
                <w:szCs w:val="20"/>
              </w:rPr>
              <w:t>ACEI/ARB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(n = 47)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 w:hint="eastAsia"/>
                <w:b/>
                <w:bCs/>
                <w:snapToGrid w:val="0"/>
                <w:sz w:val="20"/>
                <w:szCs w:val="20"/>
                <w:lang w:eastAsia="en-GB"/>
              </w:rPr>
              <w:t>Adjusted</w:t>
            </w:r>
            <w:r w:rsidRPr="00CD50D0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en-GB"/>
              </w:rPr>
              <w:t xml:space="preserve"> HR </w:t>
            </w:r>
            <w:r w:rsidRPr="00CD50D0">
              <w:rPr>
                <w:rFonts w:ascii="Arial" w:eastAsia="MS Mincho" w:hAnsi="Arial" w:cs="Arial" w:hint="eastAsia"/>
                <w:b/>
                <w:bCs/>
                <w:snapToGrid w:val="0"/>
                <w:sz w:val="20"/>
                <w:szCs w:val="20"/>
                <w:lang w:eastAsia="en-GB"/>
              </w:rPr>
              <w:t xml:space="preserve"> </w:t>
            </w:r>
            <w:r w:rsidRPr="00CD50D0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en-GB"/>
              </w:rPr>
              <w:t xml:space="preserve">   (95% CI)</w:t>
            </w: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 value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Primary outcome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200" w:after="120" w:line="240" w:lineRule="exact"/>
              <w:jc w:val="both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31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 per 100 patient-year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 per 100 patient-year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ind w:left="17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val="en-GB" w:eastAsia="en-GB"/>
              </w:rPr>
              <w:t xml:space="preserve">HHF + all-cause </w:t>
            </w: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death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both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(14.3)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(21.3)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Pr="00CD50D0">
              <w:rPr>
                <w:rFonts w:ascii="Arial" w:hAnsi="Arial" w:cs="Arial" w:hint="eastAsia"/>
                <w:snapToGrid w:val="0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0.9</w:t>
            </w: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8 </w:t>
            </w: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(0.28-3.43)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0.97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Secondary outcomes</w:t>
            </w:r>
          </w:p>
        </w:tc>
        <w:tc>
          <w:tcPr>
            <w:tcW w:w="1091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ind w:left="17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</w:rPr>
              <w:t>HHF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line="25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(7.1)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line="25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(10.6)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1.24</w:t>
            </w:r>
            <w:r w:rsidRPr="00CD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</w:t>
            </w:r>
            <w:r w:rsidRPr="00CD50D0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0.22-6.91)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line="25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0.81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ind w:firstLineChars="100" w:firstLine="20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</w:rPr>
              <w:t>All-cause death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(7.1)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(10.6)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0.81 (</w:t>
            </w:r>
            <w:r w:rsidRPr="00CD50D0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0.13-5.22)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0.83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val="en-GB" w:eastAsia="en-GB"/>
              </w:rPr>
              <w:t>Safety outcomes</w:t>
            </w:r>
          </w:p>
        </w:tc>
        <w:tc>
          <w:tcPr>
            <w:tcW w:w="1091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ind w:firstLineChars="100" w:firstLine="200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val="en-GB" w:eastAsia="en-GB"/>
              </w:rPr>
              <w:t>Hypotension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13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kern w:val="2"/>
                <w:sz w:val="20"/>
                <w:szCs w:val="20"/>
                <w:lang w:val="en-GB" w:eastAsia="en-GB"/>
              </w:rPr>
              <w:t>(31.0)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26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kern w:val="2"/>
                <w:sz w:val="20"/>
                <w:szCs w:val="20"/>
                <w:lang w:val="en-GB" w:eastAsia="en-GB"/>
              </w:rPr>
              <w:t>(55.3)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44.</w:t>
            </w:r>
            <w:r w:rsidRPr="00CD50D0">
              <w:rPr>
                <w:rFonts w:ascii="Arial" w:hAnsi="Arial" w:cs="Arial" w:hint="eastAsia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67.7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0.70</w:t>
            </w:r>
            <w:r w:rsidRPr="00CD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(0.30-1.62)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0.40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200" w:line="240" w:lineRule="exact"/>
              <w:ind w:firstLineChars="100" w:firstLine="20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  <w:t>Hyperkalemia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20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kern w:val="2"/>
                <w:sz w:val="20"/>
                <w:szCs w:val="20"/>
                <w:lang w:val="en-GB" w:eastAsia="en-GB"/>
              </w:rPr>
              <w:t>(28.6</w:t>
            </w: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20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kern w:val="2"/>
                <w:sz w:val="20"/>
                <w:szCs w:val="20"/>
                <w:lang w:val="en-GB" w:eastAsia="en-GB"/>
              </w:rPr>
              <w:t>(55.3)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20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20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67.7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0.46 (0.19-1.09)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0.08</w:t>
            </w:r>
          </w:p>
        </w:tc>
      </w:tr>
      <w:tr w:rsidR="002019C0" w:rsidRPr="00CD50D0" w:rsidTr="00613C4F">
        <w:trPr>
          <w:trHeight w:val="227"/>
        </w:trPr>
        <w:tc>
          <w:tcPr>
            <w:tcW w:w="1417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line="360" w:lineRule="auto"/>
              <w:ind w:right="-454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>Hypotension, defined as systolic blood pressure less than 90mmHg</w:t>
            </w:r>
          </w:p>
          <w:p w:rsidR="002019C0" w:rsidRPr="00CD50D0" w:rsidRDefault="002019C0" w:rsidP="00613C4F">
            <w:pPr>
              <w:spacing w:before="120" w:line="360" w:lineRule="auto"/>
              <w:ind w:right="-454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 xml:space="preserve">Hyperkalemia, defined as serum potassium level more than </w:t>
            </w:r>
            <w:r w:rsidRPr="00CD50D0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  <w:t>5mmol/L</w:t>
            </w:r>
          </w:p>
          <w:p w:rsidR="002019C0" w:rsidRPr="00CD50D0" w:rsidRDefault="002019C0" w:rsidP="00613C4F">
            <w:pPr>
              <w:spacing w:before="120" w:line="360" w:lineRule="auto"/>
              <w:ind w:right="-454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ACEI, angiotensin converting enzyme inhibitor; ARB, angiotensin receptor blocker</w:t>
            </w:r>
            <w:r w:rsidRPr="00CD50D0">
              <w:rPr>
                <w:rFonts w:ascii="Arial" w:hAnsi="Arial" w:cs="Arial" w:hint="eastAsia"/>
                <w:snapToGrid w:val="0"/>
                <w:sz w:val="20"/>
                <w:szCs w:val="20"/>
              </w:rPr>
              <w:t xml:space="preserve">; </w:t>
            </w: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>ARNI, angiotensin receptor-</w:t>
            </w:r>
            <w:proofErr w:type="spellStart"/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>neprilysin</w:t>
            </w:r>
            <w:proofErr w:type="spellEnd"/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 xml:space="preserve"> inhibitor</w:t>
            </w:r>
            <w:r w:rsidRPr="00CD50D0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;</w:t>
            </w: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2019C0" w:rsidRPr="00CD50D0" w:rsidRDefault="002019C0" w:rsidP="00613C4F">
            <w:pPr>
              <w:spacing w:before="120" w:line="360" w:lineRule="auto"/>
              <w:ind w:right="-454"/>
              <w:rPr>
                <w:rFonts w:ascii="Arial" w:hAnsi="Arial" w:cs="Arial"/>
                <w:snapToGrid w:val="0"/>
                <w:kern w:val="2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>HHF, hospitalization for heart failure;</w:t>
            </w:r>
            <w:r w:rsidRPr="00CD50D0">
              <w:rPr>
                <w:rFonts w:ascii="Arial" w:hAnsi="Arial" w:cs="Arial" w:hint="eastAsia"/>
                <w:snapToGrid w:val="0"/>
                <w:sz w:val="20"/>
                <w:szCs w:val="20"/>
              </w:rPr>
              <w:t xml:space="preserve"> </w:t>
            </w:r>
            <w:r w:rsidRPr="00CD50D0">
              <w:rPr>
                <w:rFonts w:ascii="Arial" w:eastAsia="MS Mincho" w:hAnsi="Arial" w:cs="Arial" w:hint="eastAsia"/>
                <w:snapToGrid w:val="0"/>
                <w:sz w:val="20"/>
                <w:szCs w:val="20"/>
                <w:lang w:eastAsia="en-GB"/>
              </w:rPr>
              <w:t>HR</w:t>
            </w:r>
            <w:r w:rsidRPr="00CD50D0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, hazard ratio; CI, confidence interval</w:t>
            </w:r>
          </w:p>
        </w:tc>
      </w:tr>
    </w:tbl>
    <w:p w:rsidR="002019C0" w:rsidRDefault="002019C0" w:rsidP="002019C0">
      <w:pPr>
        <w:pStyle w:val="EndNoteBibliography"/>
        <w:spacing w:line="48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</w:pPr>
    </w:p>
    <w:tbl>
      <w:tblPr>
        <w:tblW w:w="141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276"/>
        <w:gridCol w:w="850"/>
        <w:gridCol w:w="1701"/>
        <w:gridCol w:w="1985"/>
        <w:gridCol w:w="1948"/>
        <w:gridCol w:w="1029"/>
      </w:tblGrid>
      <w:tr w:rsidR="002019C0" w:rsidRPr="00CD50D0" w:rsidTr="00613C4F">
        <w:trPr>
          <w:trHeight w:val="20"/>
        </w:trPr>
        <w:tc>
          <w:tcPr>
            <w:tcW w:w="1417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Supplementary Table S2. Primary and secondary outcomes (Duration until December 31, 2021) in the comparison between the ARNI and </w:t>
            </w:r>
            <w:r w:rsidRPr="00CD50D0">
              <w:rPr>
                <w:rFonts w:ascii="Arial" w:hAnsi="Arial" w:cs="Arial" w:hint="eastAsia"/>
                <w:b/>
                <w:bCs/>
                <w:snapToGrid w:val="0"/>
                <w:sz w:val="20"/>
                <w:szCs w:val="20"/>
              </w:rPr>
              <w:t xml:space="preserve">the ACEI/ARB </w:t>
            </w:r>
            <w:r w:rsidRPr="00CD50D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group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60" w:after="60" w:line="240" w:lineRule="exact"/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ARNI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 xml:space="preserve"> (n = 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42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Cs/>
                <w:i/>
                <w:i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 w:hint="eastAsia"/>
                <w:b/>
                <w:snapToGrid w:val="0"/>
                <w:sz w:val="20"/>
                <w:szCs w:val="20"/>
              </w:rPr>
              <w:t>ACEI/ARB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(n = 47)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Cs/>
                <w:i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ARNI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 xml:space="preserve"> (n = 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>42</w:t>
            </w:r>
            <w:r w:rsidRPr="00CD50D0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 w:hint="eastAsia"/>
                <w:b/>
                <w:snapToGrid w:val="0"/>
                <w:sz w:val="20"/>
                <w:szCs w:val="20"/>
              </w:rPr>
              <w:t>ACEI/ARB</w:t>
            </w:r>
            <w:r w:rsidRPr="00CD50D0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(n = 47)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 w:hint="eastAsia"/>
                <w:b/>
                <w:bCs/>
                <w:snapToGrid w:val="0"/>
                <w:sz w:val="20"/>
                <w:szCs w:val="20"/>
                <w:lang w:eastAsia="en-GB"/>
              </w:rPr>
              <w:t>Adjusted</w:t>
            </w:r>
            <w:r w:rsidRPr="00CD50D0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en-GB"/>
              </w:rPr>
              <w:t xml:space="preserve"> HR    (95% CI)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 value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Primary outcome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200" w:after="120" w:line="240" w:lineRule="exact"/>
              <w:jc w:val="both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 per 100 patient-year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Events per 100 patient-year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20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ind w:left="17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val="en-GB" w:eastAsia="en-GB"/>
              </w:rPr>
              <w:t xml:space="preserve">HHF + all-cause </w:t>
            </w: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death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widowControl w:val="0"/>
              <w:spacing w:before="120" w:after="120" w:line="240" w:lineRule="exact"/>
              <w:jc w:val="both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(</w:t>
            </w: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19.0</w:t>
            </w: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1</w:t>
            </w:r>
            <w:r w:rsidRPr="00CD50D0">
              <w:rPr>
                <w:rFonts w:ascii="Arial" w:eastAsia="細明體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(2</w:t>
            </w: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5.5</w:t>
            </w: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948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1.28 </w:t>
            </w: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(</w:t>
            </w: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0.43</w:t>
            </w: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-3.</w:t>
            </w: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84</w:t>
            </w: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  <w:t>0.</w:t>
            </w: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66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  <w:lang w:val="en-GB"/>
              </w:rPr>
              <w:t>Secondary outcomes</w:t>
            </w:r>
          </w:p>
        </w:tc>
        <w:tc>
          <w:tcPr>
            <w:tcW w:w="1091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ind w:left="17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</w:rPr>
              <w:t>HHF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line="25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</w:t>
            </w:r>
            <w:r w:rsidRPr="00CD50D0">
              <w:rPr>
                <w:rFonts w:ascii="Arial" w:hAnsi="Arial" w:cs="Arial"/>
                <w:bCs/>
                <w:snapToGrid w:val="0"/>
                <w:color w:val="000000"/>
                <w:kern w:val="2"/>
                <w:sz w:val="20"/>
                <w:szCs w:val="20"/>
              </w:rPr>
              <w:t>11.9</w:t>
            </w: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line="25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</w:t>
            </w:r>
            <w:r w:rsidRPr="00CD50D0">
              <w:rPr>
                <w:rFonts w:ascii="Arial" w:hAnsi="Arial" w:cs="Arial"/>
                <w:bCs/>
                <w:snapToGrid w:val="0"/>
                <w:color w:val="000000"/>
                <w:kern w:val="2"/>
                <w:sz w:val="20"/>
                <w:szCs w:val="20"/>
              </w:rPr>
              <w:t>12.8</w:t>
            </w: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948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2.32</w:t>
            </w:r>
            <w:r w:rsidRPr="00CD5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</w:t>
            </w:r>
            <w:r w:rsidRPr="00CD50D0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0.52-10.42)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line="25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0.27</w:t>
            </w:r>
          </w:p>
        </w:tc>
      </w:tr>
      <w:tr w:rsidR="002019C0" w:rsidRPr="00CD50D0" w:rsidTr="00613C4F">
        <w:trPr>
          <w:trHeight w:val="2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ind w:firstLineChars="100" w:firstLine="20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snapToGrid w:val="0"/>
                <w:sz w:val="20"/>
                <w:szCs w:val="20"/>
              </w:rPr>
              <w:t>All-cause death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(7.1)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both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eastAsia="en-GB"/>
              </w:rPr>
              <w:t>(10.6)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eastAsia="MS Mincho" w:hAnsi="Arial" w:cs="Arial"/>
                <w:snapToGrid w:val="0"/>
                <w:color w:val="00000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spacing w:before="120" w:after="120"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D50D0">
              <w:rPr>
                <w:rFonts w:ascii="Arial" w:hAnsi="Arial" w:cs="Arial" w:hint="eastAsia"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948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0.70 (</w:t>
            </w:r>
            <w:r w:rsidRPr="00CD50D0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0.11-4.45)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vAlign w:val="center"/>
          </w:tcPr>
          <w:p w:rsidR="002019C0" w:rsidRPr="00CD50D0" w:rsidRDefault="002019C0" w:rsidP="0061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D0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0.70</w:t>
            </w:r>
          </w:p>
        </w:tc>
      </w:tr>
      <w:tr w:rsidR="002019C0" w:rsidRPr="00CD50D0" w:rsidTr="00613C4F">
        <w:trPr>
          <w:trHeight w:val="227"/>
        </w:trPr>
        <w:tc>
          <w:tcPr>
            <w:tcW w:w="1417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2019C0" w:rsidRPr="00CD50D0" w:rsidRDefault="002019C0" w:rsidP="00613C4F">
            <w:pPr>
              <w:spacing w:before="120" w:line="360" w:lineRule="auto"/>
              <w:ind w:right="-454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>Hypotension, defined as systolic blood pressure less than 90mmHg</w:t>
            </w:r>
          </w:p>
          <w:p w:rsidR="002019C0" w:rsidRPr="00CD50D0" w:rsidRDefault="002019C0" w:rsidP="00613C4F">
            <w:pPr>
              <w:spacing w:before="120" w:line="360" w:lineRule="auto"/>
              <w:ind w:right="-454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 xml:space="preserve">Hyperkalemia, defined as serum potassium level more than </w:t>
            </w:r>
            <w:r w:rsidRPr="00CD50D0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en-GB"/>
              </w:rPr>
              <w:t>5mmol/L</w:t>
            </w:r>
          </w:p>
          <w:p w:rsidR="002019C0" w:rsidRPr="00CD50D0" w:rsidRDefault="002019C0" w:rsidP="00613C4F">
            <w:pPr>
              <w:spacing w:before="120" w:line="360" w:lineRule="auto"/>
              <w:ind w:right="-454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D50D0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ACEI, angiotensin converting enzyme inhibitor; ARB, angiotensin receptor blocker</w:t>
            </w:r>
            <w:r w:rsidRPr="00CD50D0">
              <w:rPr>
                <w:rFonts w:ascii="Arial" w:hAnsi="Arial" w:cs="Arial" w:hint="eastAsia"/>
                <w:snapToGrid w:val="0"/>
                <w:sz w:val="20"/>
                <w:szCs w:val="20"/>
              </w:rPr>
              <w:t xml:space="preserve">; </w:t>
            </w: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>ARNI, angiotensin receptor-</w:t>
            </w:r>
            <w:proofErr w:type="spellStart"/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>neprilysin</w:t>
            </w:r>
            <w:proofErr w:type="spellEnd"/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 xml:space="preserve"> inhibitor</w:t>
            </w:r>
            <w:r w:rsidRPr="00CD50D0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;</w:t>
            </w: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  <w:p w:rsidR="002019C0" w:rsidRDefault="002019C0" w:rsidP="00613C4F">
            <w:pPr>
              <w:spacing w:before="120" w:line="360" w:lineRule="auto"/>
              <w:ind w:right="-454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CD50D0">
              <w:rPr>
                <w:rFonts w:ascii="Arial" w:hAnsi="Arial" w:cs="Arial"/>
                <w:snapToGrid w:val="0"/>
                <w:sz w:val="20"/>
                <w:szCs w:val="20"/>
              </w:rPr>
              <w:t xml:space="preserve">HHF, hospitalization for heart failure; </w:t>
            </w:r>
            <w:r w:rsidRPr="00CD50D0">
              <w:rPr>
                <w:rFonts w:ascii="Arial" w:eastAsia="MS Mincho" w:hAnsi="Arial" w:cs="Arial" w:hint="eastAsia"/>
                <w:snapToGrid w:val="0"/>
                <w:sz w:val="20"/>
                <w:szCs w:val="20"/>
                <w:lang w:eastAsia="en-GB"/>
              </w:rPr>
              <w:t>HR</w:t>
            </w:r>
            <w:r w:rsidRPr="00CD50D0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, hazard ratio; CI, confidence interval</w:t>
            </w:r>
          </w:p>
          <w:p w:rsidR="00D31B65" w:rsidRPr="00D31B65" w:rsidRDefault="003A7B08" w:rsidP="00613C4F">
            <w:pPr>
              <w:spacing w:before="120" w:line="360" w:lineRule="auto"/>
              <w:ind w:right="-454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E28DE">
              <w:rPr>
                <w:rFonts w:ascii="Arial" w:hAnsi="Arial" w:cs="Arial"/>
                <w:color w:val="000000" w:themeColor="text1"/>
                <w:sz w:val="20"/>
                <w:szCs w:val="20"/>
              </w:rPr>
              <w:t>Adjusted factors: adjusted for age, gender, body mass index, dialysis duration, index date, comorbidities (coronary artery disease, stroke, diabetes</w:t>
            </w:r>
            <w:proofErr w:type="gramStart"/>
            <w:r w:rsidRPr="007E28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28DE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hypertension</w:t>
            </w:r>
            <w:proofErr w:type="gramEnd"/>
            <w:r w:rsidRPr="007E28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28DE">
              <w:rPr>
                <w:rFonts w:ascii="Arial" w:hAnsi="Arial" w:cs="Arial"/>
                <w:color w:val="000000" w:themeColor="text1"/>
                <w:sz w:val="20"/>
                <w:szCs w:val="20"/>
              </w:rPr>
              <w:t>and baseline medications (beta-blocker, mineralocorticoid receptor antagonist, ivabradine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and nitrate</w:t>
            </w:r>
            <w:r w:rsidRPr="007E28DE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</w:tbl>
    <w:p w:rsidR="002019C0" w:rsidRDefault="002019C0" w:rsidP="002019C0">
      <w:pPr>
        <w:pStyle w:val="EndNoteBibliography"/>
        <w:spacing w:line="48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sectPr w:rsidR="002019C0" w:rsidSect="00613C4F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60"/>
        </w:sectPr>
      </w:pPr>
    </w:p>
    <w:tbl>
      <w:tblPr>
        <w:tblpPr w:leftFromText="180" w:rightFromText="180" w:vertAnchor="text" w:horzAnchor="margin" w:tblpXSpec="center" w:tblpY="220"/>
        <w:tblW w:w="9455" w:type="dxa"/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3927"/>
        <w:gridCol w:w="850"/>
        <w:gridCol w:w="284"/>
        <w:gridCol w:w="1134"/>
        <w:gridCol w:w="851"/>
        <w:gridCol w:w="284"/>
        <w:gridCol w:w="1133"/>
        <w:gridCol w:w="708"/>
        <w:gridCol w:w="142"/>
        <w:gridCol w:w="76"/>
        <w:gridCol w:w="66"/>
      </w:tblGrid>
      <w:tr w:rsidR="002019C0" w:rsidRPr="00B50A0F" w:rsidTr="00613C4F">
        <w:trPr>
          <w:gridAfter w:val="2"/>
          <w:wAfter w:w="142" w:type="dxa"/>
          <w:trHeight w:val="283"/>
        </w:trPr>
        <w:tc>
          <w:tcPr>
            <w:tcW w:w="931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rPr>
                <w:rFonts w:ascii="Arial" w:eastAsia="細明體" w:hAnsi="Arial" w:cs="Arial"/>
                <w:b/>
                <w:bCs/>
                <w:snapToGrid w:val="0"/>
                <w:sz w:val="20"/>
                <w:szCs w:val="20"/>
              </w:rPr>
            </w:pPr>
            <w:r w:rsidRPr="00B50A0F">
              <w:rPr>
                <w:rFonts w:ascii="Arial" w:eastAsia="細明體" w:hAnsi="Arial" w:cs="Arial"/>
                <w:b/>
                <w:bCs/>
                <w:snapToGrid w:val="0"/>
                <w:sz w:val="20"/>
                <w:szCs w:val="20"/>
              </w:rPr>
              <w:lastRenderedPageBreak/>
              <w:t>Supplementary Table S3</w:t>
            </w:r>
            <w:r w:rsidRPr="00B50A0F">
              <w:rPr>
                <w:rFonts w:ascii="Arial" w:eastAsia="MS PGothic" w:hAnsi="Arial" w:cs="Arial"/>
                <w:b/>
                <w:bCs/>
                <w:snapToGrid w:val="0"/>
                <w:sz w:val="20"/>
                <w:szCs w:val="20"/>
                <w:lang w:eastAsia="en-GB"/>
              </w:rPr>
              <w:t xml:space="preserve">.  Baseline characteristics of </w:t>
            </w:r>
            <w:r w:rsidRPr="00B50A0F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the included subjects with propensity score matching</w:t>
            </w: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ind w:leftChars="-193" w:left="-463" w:firstLineChars="213" w:firstLine="426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50A0F">
              <w:rPr>
                <w:rFonts w:ascii="Arial" w:hAnsi="Arial" w:cs="Arial"/>
                <w:b/>
                <w:snapToGrid w:val="0"/>
                <w:sz w:val="20"/>
                <w:szCs w:val="20"/>
              </w:rPr>
              <w:t>ARNI</w:t>
            </w:r>
            <w:r w:rsidRPr="00B50A0F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 xml:space="preserve"> (n = </w:t>
            </w:r>
            <w:r w:rsidRPr="00B50A0F">
              <w:rPr>
                <w:rFonts w:ascii="Arial" w:hAnsi="Arial" w:cs="Arial"/>
                <w:b/>
                <w:snapToGrid w:val="0"/>
                <w:sz w:val="20"/>
                <w:szCs w:val="20"/>
              </w:rPr>
              <w:t>41</w:t>
            </w:r>
            <w:r w:rsidRPr="00B50A0F">
              <w:rPr>
                <w:rFonts w:ascii="Arial" w:eastAsia="MS PGothic" w:hAnsi="Arial" w:cs="Arial"/>
                <w:b/>
                <w:snapToGrid w:val="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50A0F">
              <w:rPr>
                <w:rFonts w:ascii="Arial" w:hAnsi="Arial" w:cs="Arial" w:hint="eastAsia"/>
                <w:b/>
                <w:snapToGrid w:val="0"/>
                <w:sz w:val="20"/>
                <w:szCs w:val="20"/>
              </w:rPr>
              <w:t>ACEI/ARB</w:t>
            </w:r>
            <w:r w:rsidRPr="00B50A0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(n = 41)</w:t>
            </w:r>
          </w:p>
        </w:tc>
        <w:tc>
          <w:tcPr>
            <w:tcW w:w="9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50A0F">
              <w:rPr>
                <w:rFonts w:ascii="Arial" w:hAnsi="Arial" w:cs="Arial"/>
                <w:b/>
                <w:snapToGrid w:val="0"/>
                <w:sz w:val="20"/>
                <w:szCs w:val="20"/>
              </w:rPr>
              <w:t>P value</w:t>
            </w: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ind w:leftChars="-193" w:left="-463" w:firstLineChars="213" w:firstLine="426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 xml:space="preserve">Demographics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9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ind w:left="170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B50A0F">
              <w:rPr>
                <w:rFonts w:ascii="Arial" w:hAnsi="Arial" w:cs="Arial"/>
                <w:snapToGrid w:val="0"/>
                <w:sz w:val="20"/>
                <w:szCs w:val="20"/>
              </w:rPr>
              <w:t>M</w:t>
            </w: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 xml:space="preserve">en, </w:t>
            </w:r>
            <w:proofErr w:type="gramStart"/>
            <w:r w:rsidRPr="00B50A0F">
              <w:rPr>
                <w:rFonts w:ascii="Arial" w:eastAsia="MS PGothic" w:hAnsi="Arial" w:cs="Arial"/>
                <w:snapToGrid w:val="0"/>
                <w:sz w:val="20"/>
                <w:szCs w:val="20"/>
                <w:lang w:eastAsia="en-GB"/>
              </w:rPr>
              <w:t>n(</w:t>
            </w:r>
            <w:proofErr w:type="gramEnd"/>
            <w:r w:rsidRPr="00B50A0F">
              <w:rPr>
                <w:rFonts w:ascii="Arial" w:eastAsia="MS PGothic" w:hAnsi="Arial" w:cs="Arial"/>
                <w:snapToGrid w:val="0"/>
                <w:sz w:val="20"/>
                <w:szCs w:val="20"/>
                <w:lang w:eastAsia="en-GB"/>
              </w:rPr>
              <w:t xml:space="preserve">%)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(65.9)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B50A0F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val="en-GB" w:eastAsia="en-GB"/>
              </w:rPr>
              <w:t>(</w:t>
            </w:r>
            <w:r w:rsidRPr="00B50A0F">
              <w:rPr>
                <w:rFonts w:ascii="Arial" w:hAnsi="Arial" w:cs="Arial"/>
                <w:bCs/>
                <w:snapToGrid w:val="0"/>
                <w:color w:val="000000"/>
                <w:kern w:val="2"/>
                <w:sz w:val="20"/>
                <w:szCs w:val="20"/>
                <w:lang w:val="en-GB"/>
              </w:rPr>
              <w:t>58.5</w:t>
            </w:r>
            <w:r w:rsidRPr="00B50A0F">
              <w:rPr>
                <w:rFonts w:ascii="Arial" w:eastAsia="MS Mincho" w:hAnsi="Arial" w:cs="Arial"/>
                <w:bCs/>
                <w:snapToGrid w:val="0"/>
                <w:color w:val="000000"/>
                <w:kern w:val="2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0.4</w:t>
            </w:r>
            <w:r w:rsidRPr="00B50A0F">
              <w:rPr>
                <w:rFonts w:ascii="Arial" w:hAnsi="Arial" w:cs="Arial"/>
                <w:snapToGrid w:val="0"/>
                <w:sz w:val="20"/>
                <w:szCs w:val="20"/>
              </w:rPr>
              <w:t>9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2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ind w:left="170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 xml:space="preserve">Age, 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59.8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65.1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0.04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vertAlign w:val="superscript"/>
                <w:lang w:val="en-GB"/>
              </w:rPr>
            </w:pPr>
            <w:r w:rsidRPr="00B50A0F">
              <w:rPr>
                <w:rFonts w:ascii="Arial" w:hAnsi="Arial" w:cs="Arial" w:hint="eastAsia"/>
                <w:bCs/>
                <w:color w:val="000000"/>
                <w:kern w:val="2"/>
                <w:szCs w:val="20"/>
                <w:vertAlign w:val="superscript"/>
                <w:lang w:val="en-GB"/>
              </w:rPr>
              <w:t>a</w:t>
            </w: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Clinical characteristics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center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center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right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ind w:left="170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>Body mass index, kg/m</w:t>
            </w:r>
            <w:r w:rsidRPr="00B50A0F">
              <w:rPr>
                <w:rFonts w:ascii="Arial" w:eastAsia="MS Mincho" w:hAnsi="Arial" w:cs="Arial"/>
                <w:snapToGrid w:val="0"/>
                <w:position w:val="4"/>
                <w:sz w:val="20"/>
                <w:szCs w:val="20"/>
                <w:vertAlign w:val="superscript"/>
                <w:lang w:eastAsia="en-GB"/>
              </w:rPr>
              <w:t>2</w:t>
            </w: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22.6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23.9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0.18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ind w:left="170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 xml:space="preserve">Office mean </w:t>
            </w:r>
            <w:r w:rsidRPr="00B50A0F">
              <w:rPr>
                <w:rFonts w:ascii="Arial" w:hAnsi="Arial" w:cs="Arial"/>
                <w:snapToGrid w:val="0"/>
                <w:sz w:val="20"/>
                <w:szCs w:val="20"/>
              </w:rPr>
              <w:t>systolic</w:t>
            </w:r>
            <w:r w:rsidRPr="00B50A0F"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  <w:t xml:space="preserve"> pressure, mmHg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139.6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136.8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0.47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ind w:left="17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0A0F">
              <w:rPr>
                <w:rFonts w:ascii="Arial" w:hAnsi="Arial" w:cs="Arial"/>
                <w:snapToGrid w:val="0"/>
                <w:sz w:val="20"/>
                <w:szCs w:val="20"/>
              </w:rPr>
              <w:t>Heart rate, beat per minute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85.3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84.3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0.75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Dialysis duration, 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4.9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4.5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0.58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LVEF,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30.1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30.8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0.61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B50A0F">
              <w:rPr>
                <w:rFonts w:ascii="Arial" w:eastAsia="細明體" w:hAnsi="Arial" w:cs="Arial"/>
                <w:bCs/>
                <w:snapToGrid w:val="0"/>
                <w:sz w:val="20"/>
                <w:szCs w:val="20"/>
              </w:rPr>
              <w:t>Medical history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center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center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right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Hypertension,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(78.6)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(87.2)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0.28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Diabetes,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(63.4)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(60.9)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0.82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Coronary artery disease,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(46.3)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(31.7)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0.17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Atrial fibrillation,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1.00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Hospitalization for heart failure,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(4.9)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(12.2)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0.24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Myocardial infarction,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(14.6)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(9.7)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0.50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Stroke,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(14.6)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(4.9)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0.14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Pulmonary diseases,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(22.0)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(26.8)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0.61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Liver diseases,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(24.4)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(17.1)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0.41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Cancer,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(9.7)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(14.6)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0.50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</w:rPr>
            </w:pPr>
            <w:r w:rsidRPr="00B50A0F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B50A0F">
              <w:rPr>
                <w:rFonts w:ascii="Arial" w:eastAsia="細明體" w:hAnsi="Arial" w:cs="Arial"/>
                <w:snapToGrid w:val="0"/>
                <w:sz w:val="20"/>
                <w:szCs w:val="20"/>
              </w:rPr>
              <w:t>Medications for comorbidities</w:t>
            </w:r>
          </w:p>
        </w:tc>
        <w:tc>
          <w:tcPr>
            <w:tcW w:w="54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widowControl w:val="0"/>
              <w:spacing w:before="40" w:after="40" w:line="240" w:lineRule="exact"/>
              <w:jc w:val="center"/>
              <w:rPr>
                <w:rFonts w:ascii="Arial" w:eastAsia="MS Mincho" w:hAnsi="Arial" w:cs="Arial"/>
                <w:snapToGrid w:val="0"/>
                <w:sz w:val="20"/>
                <w:szCs w:val="20"/>
                <w:lang w:eastAsia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Receiving ACEI/ARB duration within one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br/>
              <w:t xml:space="preserve">   year before index date, 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72.2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(0-115.0)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83.7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(0-143)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0.59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Diuretics,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(73.2)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(80.5)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0.43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Digitalis,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(14.6)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(26.8)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0.17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Beta-blocker,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(90.2)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(92.7)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0.69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ind w:left="200" w:hangingChars="100" w:hanging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M</w:t>
            </w:r>
            <w:proofErr w:type="spell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ineralocorticoid</w:t>
            </w:r>
            <w:proofErr w:type="spell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 receptor antagonist,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br/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(43.9)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(29.3)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0.17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Ivabradine,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(48.8)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(24.4)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0.02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vertAlign w:val="superscript"/>
                <w:lang w:val="en-GB"/>
              </w:rPr>
            </w:pPr>
            <w:r w:rsidRPr="00B50A0F">
              <w:rPr>
                <w:rFonts w:ascii="Arial" w:hAnsi="Arial" w:cs="Arial" w:hint="eastAsia"/>
                <w:bCs/>
                <w:color w:val="000000"/>
                <w:kern w:val="2"/>
                <w:szCs w:val="20"/>
                <w:vertAlign w:val="superscript"/>
                <w:lang w:val="en-GB"/>
              </w:rPr>
              <w:t>a</w:t>
            </w: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SGLT2-inhibitors,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(2.4)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(0.0%)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0.31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Nitrate,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(80.0)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(61.0)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0.05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Calcium polystyrene sulfonate </w:t>
            </w:r>
            <w:proofErr w:type="gram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n(</w:t>
            </w:r>
            <w:proofErr w:type="gram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1.00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>Mean laboratory data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Albumin, g/d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3.4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0.09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lastRenderedPageBreak/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Potassium, mmol/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4.0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0.76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Calcium, mg/d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8.9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8.9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0.83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Phosphates, mg/d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6.0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5.2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0.17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PTH-Intact, </w:t>
            </w:r>
            <w:proofErr w:type="spell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pg</w:t>
            </w:r>
            <w:proofErr w:type="spell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/m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442.0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(86.3-597.0)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447.1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(114.2-828.5)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0.79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proofErr w:type="spell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Hemoglobin</w:t>
            </w:r>
            <w:proofErr w:type="spell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, g/d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9.5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9.7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0.60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NT-</w:t>
            </w:r>
            <w:proofErr w:type="spell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proBNP</w:t>
            </w:r>
            <w:proofErr w:type="spell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pg</w:t>
            </w:r>
            <w:proofErr w:type="spellEnd"/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/m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22625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6047.9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23454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5030.4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0.63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2019C0" w:rsidRPr="00B50A0F" w:rsidTr="00613C4F">
        <w:trPr>
          <w:gridAfter w:val="1"/>
          <w:wAfter w:w="66" w:type="dxa"/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Iron, ug/d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61.1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57.6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24.5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0.59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2019C0" w:rsidRPr="00B50A0F" w:rsidTr="00613C4F">
        <w:trPr>
          <w:gridAfter w:val="1"/>
          <w:wAfter w:w="66" w:type="dxa"/>
          <w:cantSplit/>
          <w:trHeight w:val="324"/>
        </w:trPr>
        <w:tc>
          <w:tcPr>
            <w:tcW w:w="3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</w:rPr>
              <w:t xml:space="preserve">   </w:t>
            </w:r>
            <w:r w:rsidRPr="00B50A0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GB"/>
              </w:rPr>
              <w:t>Ferritin, ng/m</w:t>
            </w:r>
            <w:r w:rsidRPr="00B50A0F">
              <w:rPr>
                <w:rFonts w:ascii="Arial" w:hAnsi="Arial" w:cs="Arial" w:hint="eastAsia"/>
                <w:bCs/>
                <w:color w:val="000000"/>
                <w:kern w:val="2"/>
                <w:sz w:val="20"/>
                <w:szCs w:val="20"/>
                <w:lang w:val="en-GB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571.1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(251.2-574.2)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482.5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GB"/>
              </w:rPr>
              <w:t>(252.2-548.1)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0.54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0" w:rsidRPr="00B50A0F" w:rsidRDefault="002019C0" w:rsidP="00613C4F">
            <w:pPr>
              <w:spacing w:line="208" w:lineRule="atLeast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2019C0" w:rsidRPr="00B50A0F" w:rsidTr="00613C4F">
        <w:trPr>
          <w:trHeight w:val="283"/>
        </w:trPr>
        <w:tc>
          <w:tcPr>
            <w:tcW w:w="94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19C0" w:rsidRPr="00B50A0F" w:rsidRDefault="002019C0" w:rsidP="00613C4F">
            <w:pPr>
              <w:spacing w:line="208" w:lineRule="atLeas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 w:hint="eastAsia"/>
                <w:szCs w:val="20"/>
                <w:vertAlign w:val="superscript"/>
              </w:rPr>
              <w:t>a</w:t>
            </w:r>
            <w:r w:rsidRPr="00B50A0F">
              <w:rPr>
                <w:rFonts w:ascii="Arial" w:hAnsi="Arial" w:cs="Arial" w:hint="eastAsia"/>
                <w:i/>
                <w:sz w:val="20"/>
                <w:szCs w:val="20"/>
              </w:rPr>
              <w:t xml:space="preserve"> </w:t>
            </w:r>
            <w:r w:rsidRPr="00B50A0F">
              <w:rPr>
                <w:rFonts w:ascii="Arial" w:hAnsi="Arial" w:cs="Arial"/>
                <w:i/>
                <w:sz w:val="20"/>
                <w:szCs w:val="20"/>
              </w:rPr>
              <w:t xml:space="preserve">P </w:t>
            </w:r>
            <w:r w:rsidRPr="00B50A0F">
              <w:rPr>
                <w:rFonts w:ascii="Arial" w:hAnsi="Arial" w:cs="Arial"/>
                <w:sz w:val="20"/>
                <w:szCs w:val="20"/>
              </w:rPr>
              <w:t>&lt;</w:t>
            </w:r>
            <w:r w:rsidRPr="00B50A0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B50A0F">
              <w:rPr>
                <w:rFonts w:ascii="Arial" w:hAnsi="Arial" w:cs="Arial"/>
                <w:sz w:val="20"/>
                <w:szCs w:val="20"/>
              </w:rPr>
              <w:t>0.05 means reaching statistical significance</w:t>
            </w:r>
          </w:p>
          <w:p w:rsidR="002019C0" w:rsidRPr="00B50A0F" w:rsidRDefault="002019C0" w:rsidP="00613C4F">
            <w:pPr>
              <w:spacing w:line="208" w:lineRule="atLeas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sz w:val="20"/>
                <w:szCs w:val="20"/>
              </w:rPr>
              <w:t>Values are arithmetic mean ± SD or median (interquartile range)</w:t>
            </w:r>
          </w:p>
          <w:p w:rsidR="002019C0" w:rsidRPr="00B50A0F" w:rsidRDefault="002019C0" w:rsidP="00613C4F">
            <w:pPr>
              <w:spacing w:line="208" w:lineRule="atLeast"/>
              <w:rPr>
                <w:rFonts w:ascii="Arial" w:hAnsi="Arial" w:cs="Arial"/>
                <w:sz w:val="20"/>
                <w:szCs w:val="20"/>
              </w:rPr>
            </w:pPr>
            <w:r w:rsidRPr="00B50A0F">
              <w:rPr>
                <w:rFonts w:ascii="Arial" w:hAnsi="Arial" w:cs="Arial"/>
                <w:sz w:val="20"/>
                <w:szCs w:val="20"/>
              </w:rPr>
              <w:t>ARNI, angiotensin receptor-</w:t>
            </w:r>
            <w:proofErr w:type="spellStart"/>
            <w:r w:rsidRPr="00B50A0F">
              <w:rPr>
                <w:rFonts w:ascii="Arial" w:hAnsi="Arial" w:cs="Arial"/>
                <w:sz w:val="20"/>
                <w:szCs w:val="20"/>
              </w:rPr>
              <w:t>neprilysin</w:t>
            </w:r>
            <w:proofErr w:type="spellEnd"/>
            <w:r w:rsidRPr="00B50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0A0F"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Pr="00B50A0F">
              <w:rPr>
                <w:rFonts w:ascii="Arial" w:hAnsi="Arial" w:cs="Arial"/>
                <w:sz w:val="20"/>
                <w:szCs w:val="20"/>
              </w:rPr>
              <w:t xml:space="preserve">nhibitor; ACEI, angiotensin converting enzyme inhibitor; </w:t>
            </w:r>
            <w:r w:rsidRPr="00B50A0F">
              <w:rPr>
                <w:rFonts w:ascii="Arial" w:hAnsi="Arial" w:cs="Arial" w:hint="eastAsia"/>
                <w:sz w:val="20"/>
                <w:szCs w:val="20"/>
              </w:rPr>
              <w:br/>
            </w:r>
            <w:r w:rsidRPr="00B50A0F">
              <w:rPr>
                <w:rFonts w:ascii="Arial" w:hAnsi="Arial" w:cs="Arial"/>
                <w:sz w:val="20"/>
                <w:szCs w:val="20"/>
              </w:rPr>
              <w:t xml:space="preserve">ARB, angiotensin receptor blocker; </w:t>
            </w:r>
            <w:r w:rsidRPr="00B50A0F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LVEF, </w:t>
            </w:r>
            <w:r w:rsidRPr="00B50A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left ventricular ejection fraction; </w:t>
            </w:r>
            <w:r w:rsidRPr="00B50A0F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br/>
            </w:r>
            <w:r w:rsidRPr="00B50A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SGLT2, sodium-glucose cotransporter 2</w:t>
            </w:r>
            <w:r w:rsidRPr="00B50A0F">
              <w:rPr>
                <w:rFonts w:ascii="Arial" w:hAnsi="Arial" w:cs="Arial"/>
                <w:sz w:val="20"/>
                <w:szCs w:val="20"/>
              </w:rPr>
              <w:t xml:space="preserve">; PTH-Intact, parathyroid hormone-intact </w:t>
            </w:r>
          </w:p>
        </w:tc>
      </w:tr>
    </w:tbl>
    <w:p w:rsidR="00613C4F" w:rsidRDefault="00613C4F" w:rsidP="002019C0">
      <w:pPr>
        <w:rPr>
          <w:rFonts w:ascii="Arial" w:hAnsi="Arial" w:cs="Arial"/>
          <w:b/>
          <w:sz w:val="20"/>
          <w:szCs w:val="20"/>
        </w:rPr>
      </w:pPr>
    </w:p>
    <w:p w:rsidR="00613C4F" w:rsidRDefault="00613C4F">
      <w:pPr>
        <w:rPr>
          <w:rFonts w:ascii="Arial" w:hAnsi="Arial" w:cs="Arial"/>
          <w:b/>
          <w:sz w:val="20"/>
          <w:szCs w:val="20"/>
        </w:rPr>
        <w:sectPr w:rsidR="00613C4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94"/>
        <w:gridCol w:w="715"/>
        <w:gridCol w:w="1081"/>
        <w:gridCol w:w="1081"/>
        <w:gridCol w:w="879"/>
        <w:gridCol w:w="975"/>
        <w:gridCol w:w="975"/>
        <w:gridCol w:w="977"/>
        <w:gridCol w:w="977"/>
        <w:gridCol w:w="977"/>
        <w:gridCol w:w="977"/>
        <w:gridCol w:w="977"/>
        <w:gridCol w:w="977"/>
        <w:gridCol w:w="972"/>
      </w:tblGrid>
      <w:tr w:rsidR="00613C4F" w:rsidRPr="00613C4F" w:rsidTr="00613C4F">
        <w:trPr>
          <w:trHeight w:val="415"/>
        </w:trPr>
        <w:tc>
          <w:tcPr>
            <w:tcW w:w="14134" w:type="dxa"/>
            <w:gridSpan w:val="14"/>
            <w:tcBorders>
              <w:top w:val="nil"/>
              <w:left w:val="nil"/>
              <w:right w:val="nil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C4F">
              <w:rPr>
                <w:rFonts w:ascii="Arial" w:hAnsi="Arial" w:cs="Arial"/>
                <w:b/>
                <w:sz w:val="20"/>
                <w:szCs w:val="20"/>
              </w:rPr>
              <w:lastRenderedPageBreak/>
              <w:t>Supplementary Table S4. Number at Risk Over Time with Cox-Adjusted Cumulative Event-Free Rates for Primary Composite Outcomes</w:t>
            </w:r>
          </w:p>
        </w:tc>
      </w:tr>
      <w:tr w:rsidR="00613C4F" w:rsidRPr="00613C4F" w:rsidTr="00613C4F">
        <w:trPr>
          <w:trHeight w:val="390"/>
        </w:trPr>
        <w:tc>
          <w:tcPr>
            <w:tcW w:w="1594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71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1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7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7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72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613C4F" w:rsidRPr="00613C4F" w:rsidTr="00613C4F">
        <w:trPr>
          <w:trHeight w:val="404"/>
        </w:trPr>
        <w:tc>
          <w:tcPr>
            <w:tcW w:w="1594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AA, n (N)</w:t>
            </w:r>
          </w:p>
        </w:tc>
        <w:tc>
          <w:tcPr>
            <w:tcW w:w="71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(47)</w:t>
            </w:r>
          </w:p>
        </w:tc>
        <w:tc>
          <w:tcPr>
            <w:tcW w:w="1081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4 (43)</w:t>
            </w:r>
          </w:p>
        </w:tc>
        <w:tc>
          <w:tcPr>
            <w:tcW w:w="879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(42)</w:t>
            </w:r>
          </w:p>
        </w:tc>
        <w:tc>
          <w:tcPr>
            <w:tcW w:w="97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97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(41)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(39)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(38)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(38)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(37)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2 (34)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(32)</w:t>
            </w:r>
          </w:p>
        </w:tc>
        <w:tc>
          <w:tcPr>
            <w:tcW w:w="972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(31)</w:t>
            </w:r>
          </w:p>
        </w:tc>
      </w:tr>
      <w:tr w:rsidR="00613C4F" w:rsidRPr="00613C4F" w:rsidTr="00613C4F">
        <w:trPr>
          <w:trHeight w:val="390"/>
        </w:trPr>
        <w:tc>
          <w:tcPr>
            <w:tcW w:w="1594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ARNI, n (N)</w:t>
            </w:r>
          </w:p>
        </w:tc>
        <w:tc>
          <w:tcPr>
            <w:tcW w:w="71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3 (38)</w:t>
            </w:r>
          </w:p>
        </w:tc>
        <w:tc>
          <w:tcPr>
            <w:tcW w:w="1081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(36)</w:t>
            </w:r>
          </w:p>
        </w:tc>
        <w:tc>
          <w:tcPr>
            <w:tcW w:w="879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(36)</w:t>
            </w:r>
          </w:p>
        </w:tc>
        <w:tc>
          <w:tcPr>
            <w:tcW w:w="97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(34)</w:t>
            </w:r>
          </w:p>
        </w:tc>
        <w:tc>
          <w:tcPr>
            <w:tcW w:w="975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(32)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(31)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(28)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(25)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(23)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(23)</w:t>
            </w:r>
          </w:p>
        </w:tc>
        <w:tc>
          <w:tcPr>
            <w:tcW w:w="977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(23)</w:t>
            </w:r>
          </w:p>
        </w:tc>
        <w:tc>
          <w:tcPr>
            <w:tcW w:w="972" w:type="dxa"/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(22)</w:t>
            </w:r>
          </w:p>
        </w:tc>
      </w:tr>
      <w:tr w:rsidR="00613C4F" w:rsidRPr="00613C4F" w:rsidTr="00613C4F">
        <w:trPr>
          <w:trHeight w:val="390"/>
        </w:trPr>
        <w:tc>
          <w:tcPr>
            <w:tcW w:w="1594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Total, n (N)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4 (85)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4 (78)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(77)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(75)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(72)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(70)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(65)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(62)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(59)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2 (56)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1 (54)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0 (52)</w:t>
            </w:r>
          </w:p>
        </w:tc>
      </w:tr>
      <w:tr w:rsidR="00613C4F" w:rsidRPr="0059519A" w:rsidTr="00613C4F">
        <w:trPr>
          <w:trHeight w:val="390"/>
        </w:trPr>
        <w:tc>
          <w:tcPr>
            <w:tcW w:w="14134" w:type="dxa"/>
            <w:gridSpan w:val="14"/>
            <w:tcBorders>
              <w:left w:val="nil"/>
              <w:bottom w:val="nil"/>
              <w:right w:val="nil"/>
            </w:tcBorders>
          </w:tcPr>
          <w:p w:rsidR="00613C4F" w:rsidRPr="00613C4F" w:rsidRDefault="00613C4F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613C4F">
              <w:rPr>
                <w:rFonts w:ascii="Arial" w:hAnsi="Arial" w:cs="Arial"/>
                <w:sz w:val="20"/>
                <w:szCs w:val="20"/>
              </w:rPr>
              <w:t>n:</w:t>
            </w:r>
            <w:r w:rsidRPr="00613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3C4F">
              <w:rPr>
                <w:rFonts w:ascii="Arial" w:hAnsi="Arial" w:cs="Arial"/>
                <w:sz w:val="20"/>
                <w:szCs w:val="20"/>
              </w:rPr>
              <w:t>Number at risk at the start of each time point (i.e., those still being followed and who have not yet experienced the event)</w:t>
            </w:r>
            <w:r w:rsidRPr="00613C4F">
              <w:rPr>
                <w:rFonts w:ascii="Arial" w:hAnsi="Arial" w:cs="Arial"/>
                <w:sz w:val="20"/>
                <w:szCs w:val="20"/>
              </w:rPr>
              <w:br/>
              <w:t>N:</w:t>
            </w:r>
            <w:r w:rsidRPr="00613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3C4F">
              <w:rPr>
                <w:rFonts w:ascii="Arial" w:hAnsi="Arial" w:cs="Arial"/>
                <w:sz w:val="20"/>
                <w:szCs w:val="20"/>
              </w:rPr>
              <w:t>Number of events occurring at the time point (referring here to primary composite outcomes)</w:t>
            </w:r>
          </w:p>
        </w:tc>
      </w:tr>
    </w:tbl>
    <w:p w:rsidR="00613C4F" w:rsidRDefault="00613C4F" w:rsidP="002019C0">
      <w:pPr>
        <w:rPr>
          <w:rFonts w:ascii="Arial" w:hAnsi="Arial" w:cs="Arial" w:hint="eastAsia"/>
          <w:b/>
          <w:sz w:val="20"/>
          <w:szCs w:val="20"/>
        </w:rPr>
      </w:pPr>
    </w:p>
    <w:p w:rsidR="0059519A" w:rsidRDefault="0059519A" w:rsidP="002019C0">
      <w:pPr>
        <w:rPr>
          <w:rFonts w:ascii="Arial" w:hAnsi="Arial" w:cs="Arial" w:hint="eastAsia"/>
          <w:b/>
          <w:sz w:val="20"/>
          <w:szCs w:val="20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1844"/>
        <w:gridCol w:w="667"/>
        <w:gridCol w:w="875"/>
        <w:gridCol w:w="873"/>
        <w:gridCol w:w="873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973"/>
      </w:tblGrid>
      <w:tr w:rsidR="0059519A" w:rsidRPr="0059519A" w:rsidTr="003D6AFD">
        <w:trPr>
          <w:trHeight w:val="498"/>
        </w:trPr>
        <w:tc>
          <w:tcPr>
            <w:tcW w:w="14233" w:type="dxa"/>
            <w:gridSpan w:val="14"/>
            <w:tcBorders>
              <w:top w:val="nil"/>
              <w:left w:val="nil"/>
              <w:right w:val="nil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19A">
              <w:rPr>
                <w:rFonts w:ascii="Arial" w:hAnsi="Arial" w:cs="Arial"/>
                <w:b/>
                <w:sz w:val="20"/>
                <w:szCs w:val="20"/>
              </w:rPr>
              <w:t>Supplementary Table S5</w:t>
            </w:r>
            <w:r w:rsidRPr="0059519A">
              <w:rPr>
                <w:rFonts w:ascii="Arial" w:hAnsi="Arial" w:cs="Arial"/>
                <w:b/>
                <w:sz w:val="20"/>
                <w:szCs w:val="20"/>
              </w:rPr>
              <w:t>. Number at Risk Over Time with Cox-Adjusted Cumulative Event-Free Rates for Hospitalization Due to Heart Failure</w:t>
            </w:r>
            <w:r w:rsidRPr="0059519A">
              <w:rPr>
                <w:rFonts w:ascii="Arial" w:eastAsia="KaiT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519A" w:rsidRPr="0059519A" w:rsidTr="003D6AFD">
        <w:trPr>
          <w:trHeight w:val="370"/>
        </w:trPr>
        <w:tc>
          <w:tcPr>
            <w:tcW w:w="1844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667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59519A" w:rsidRPr="0059519A" w:rsidTr="003D6AFD">
        <w:trPr>
          <w:trHeight w:val="383"/>
        </w:trPr>
        <w:tc>
          <w:tcPr>
            <w:tcW w:w="1844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AA, n (N)</w:t>
            </w:r>
          </w:p>
        </w:tc>
        <w:tc>
          <w:tcPr>
            <w:tcW w:w="667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(47)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 (43)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(41)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(39)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(38)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(38)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(37)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(34)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(32)</w:t>
            </w:r>
          </w:p>
        </w:tc>
        <w:tc>
          <w:tcPr>
            <w:tcW w:w="9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(31)</w:t>
            </w:r>
          </w:p>
        </w:tc>
      </w:tr>
      <w:tr w:rsidR="0059519A" w:rsidRPr="0059519A" w:rsidTr="003D6AFD">
        <w:trPr>
          <w:trHeight w:val="370"/>
        </w:trPr>
        <w:tc>
          <w:tcPr>
            <w:tcW w:w="1844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ARNI, n (N)</w:t>
            </w:r>
          </w:p>
        </w:tc>
        <w:tc>
          <w:tcPr>
            <w:tcW w:w="667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 (38)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(36)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(34)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(31)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(28)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(25)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(23)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(23)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(23)</w:t>
            </w:r>
          </w:p>
        </w:tc>
        <w:tc>
          <w:tcPr>
            <w:tcW w:w="9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(22)</w:t>
            </w:r>
          </w:p>
        </w:tc>
      </w:tr>
      <w:tr w:rsidR="0059519A" w:rsidRPr="0059519A" w:rsidTr="003D6AFD">
        <w:trPr>
          <w:trHeight w:val="370"/>
        </w:trPr>
        <w:tc>
          <w:tcPr>
            <w:tcW w:w="1844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Total, n (N)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 (85)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 (78)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(77)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(75)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(72)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(70)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(65)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(62)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(59)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(56)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(54)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(52)</w:t>
            </w:r>
          </w:p>
        </w:tc>
      </w:tr>
      <w:tr w:rsidR="0059519A" w:rsidRPr="0059519A" w:rsidTr="003D6AFD">
        <w:trPr>
          <w:trHeight w:val="370"/>
        </w:trPr>
        <w:tc>
          <w:tcPr>
            <w:tcW w:w="14233" w:type="dxa"/>
            <w:gridSpan w:val="14"/>
            <w:tcBorders>
              <w:left w:val="nil"/>
              <w:bottom w:val="nil"/>
              <w:right w:val="nil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n:</w:t>
            </w:r>
            <w:r w:rsidRPr="00595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519A">
              <w:rPr>
                <w:rFonts w:ascii="Arial" w:hAnsi="Arial" w:cs="Arial"/>
                <w:sz w:val="20"/>
                <w:szCs w:val="20"/>
              </w:rPr>
              <w:t>Number at risk at the start of each time point (i.e., those still being followed and who have not yet experienced the event)</w:t>
            </w:r>
            <w:r w:rsidRPr="0059519A">
              <w:rPr>
                <w:rFonts w:ascii="Arial" w:hAnsi="Arial" w:cs="Arial"/>
                <w:sz w:val="20"/>
                <w:szCs w:val="20"/>
              </w:rPr>
              <w:br/>
              <w:t>N:</w:t>
            </w:r>
            <w:r w:rsidRPr="00595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519A">
              <w:rPr>
                <w:rFonts w:ascii="Arial" w:hAnsi="Arial" w:cs="Arial"/>
                <w:sz w:val="20"/>
                <w:szCs w:val="20"/>
              </w:rPr>
              <w:t>Number of events occurring at the time point (referring here to hospitalization for heart failure)</w:t>
            </w:r>
          </w:p>
        </w:tc>
      </w:tr>
    </w:tbl>
    <w:p w:rsidR="0059519A" w:rsidRDefault="0059519A" w:rsidP="002019C0">
      <w:pPr>
        <w:rPr>
          <w:rFonts w:ascii="Arial" w:hAnsi="Arial" w:cs="Arial" w:hint="eastAsia"/>
          <w:b/>
          <w:sz w:val="20"/>
          <w:szCs w:val="20"/>
        </w:rPr>
      </w:pPr>
    </w:p>
    <w:p w:rsidR="0059519A" w:rsidRDefault="005951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1844"/>
        <w:gridCol w:w="667"/>
        <w:gridCol w:w="875"/>
        <w:gridCol w:w="873"/>
        <w:gridCol w:w="873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973"/>
      </w:tblGrid>
      <w:tr w:rsidR="0059519A" w:rsidRPr="0059519A" w:rsidTr="003D6AFD">
        <w:trPr>
          <w:trHeight w:val="498"/>
        </w:trPr>
        <w:tc>
          <w:tcPr>
            <w:tcW w:w="14233" w:type="dxa"/>
            <w:gridSpan w:val="14"/>
            <w:tcBorders>
              <w:top w:val="nil"/>
              <w:left w:val="nil"/>
              <w:right w:val="nil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19A">
              <w:rPr>
                <w:rFonts w:ascii="Arial" w:hAnsi="Arial" w:cs="Arial"/>
                <w:b/>
                <w:sz w:val="20"/>
                <w:szCs w:val="20"/>
              </w:rPr>
              <w:lastRenderedPageBreak/>
              <w:t>Supplementary Table S</w:t>
            </w:r>
            <w:r w:rsidRPr="0059519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9519A">
              <w:rPr>
                <w:rFonts w:ascii="Arial" w:hAnsi="Arial" w:cs="Arial"/>
                <w:b/>
                <w:sz w:val="20"/>
                <w:szCs w:val="20"/>
              </w:rPr>
              <w:t>. Number at Risk Over Time with Cox-Adjusted Cumulative Event-Free Rates for All-cause Mortality</w:t>
            </w:r>
            <w:r w:rsidRPr="0059519A">
              <w:rPr>
                <w:rFonts w:ascii="Arial" w:eastAsia="KaiT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519A" w:rsidRPr="0059519A" w:rsidTr="003D6AFD">
        <w:trPr>
          <w:trHeight w:val="370"/>
        </w:trPr>
        <w:tc>
          <w:tcPr>
            <w:tcW w:w="1844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667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59519A" w:rsidRPr="0059519A" w:rsidTr="003D6AFD">
        <w:trPr>
          <w:trHeight w:val="383"/>
        </w:trPr>
        <w:tc>
          <w:tcPr>
            <w:tcW w:w="1844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AA, n (N)</w:t>
            </w:r>
          </w:p>
        </w:tc>
        <w:tc>
          <w:tcPr>
            <w:tcW w:w="667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(47)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(46)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(46)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 (44)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(43)</w:t>
            </w:r>
          </w:p>
        </w:tc>
        <w:tc>
          <w:tcPr>
            <w:tcW w:w="9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(43)</w:t>
            </w:r>
          </w:p>
        </w:tc>
      </w:tr>
      <w:tr w:rsidR="0059519A" w:rsidRPr="0059519A" w:rsidTr="003D6AFD">
        <w:trPr>
          <w:trHeight w:val="370"/>
        </w:trPr>
        <w:tc>
          <w:tcPr>
            <w:tcW w:w="1844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ARNI, n (N)</w:t>
            </w:r>
          </w:p>
        </w:tc>
        <w:tc>
          <w:tcPr>
            <w:tcW w:w="667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8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1016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  <w:tc>
          <w:tcPr>
            <w:tcW w:w="973" w:type="dxa"/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(42)</w:t>
            </w:r>
          </w:p>
        </w:tc>
      </w:tr>
      <w:tr w:rsidR="0059519A" w:rsidRPr="0059519A" w:rsidTr="003D6AFD">
        <w:trPr>
          <w:trHeight w:val="370"/>
        </w:trPr>
        <w:tc>
          <w:tcPr>
            <w:tcW w:w="1844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Total, n (N)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(89)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(88)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(88)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(88)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(88)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(88)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(88)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(87)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(87)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2 (85)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1 (84)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0 (84)</w:t>
            </w:r>
          </w:p>
        </w:tc>
      </w:tr>
      <w:tr w:rsidR="0059519A" w:rsidRPr="0059519A" w:rsidTr="003D6AFD">
        <w:trPr>
          <w:trHeight w:val="370"/>
        </w:trPr>
        <w:tc>
          <w:tcPr>
            <w:tcW w:w="14233" w:type="dxa"/>
            <w:gridSpan w:val="14"/>
            <w:tcBorders>
              <w:left w:val="nil"/>
              <w:bottom w:val="nil"/>
              <w:right w:val="nil"/>
            </w:tcBorders>
          </w:tcPr>
          <w:p w:rsidR="0059519A" w:rsidRPr="0059519A" w:rsidRDefault="0059519A" w:rsidP="003D6AFD">
            <w:pPr>
              <w:rPr>
                <w:rFonts w:ascii="Arial" w:hAnsi="Arial" w:cs="Arial"/>
                <w:sz w:val="20"/>
                <w:szCs w:val="20"/>
              </w:rPr>
            </w:pPr>
            <w:r w:rsidRPr="0059519A">
              <w:rPr>
                <w:rFonts w:ascii="Arial" w:hAnsi="Arial" w:cs="Arial"/>
                <w:sz w:val="20"/>
                <w:szCs w:val="20"/>
              </w:rPr>
              <w:t>n:</w:t>
            </w:r>
            <w:r w:rsidRPr="00595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519A">
              <w:rPr>
                <w:rFonts w:ascii="Arial" w:hAnsi="Arial" w:cs="Arial"/>
                <w:sz w:val="20"/>
                <w:szCs w:val="20"/>
              </w:rPr>
              <w:t>Number at risk at the start of each time point (i.e., those still being followed and who have not yet experienced the event)</w:t>
            </w:r>
            <w:r w:rsidRPr="0059519A">
              <w:rPr>
                <w:rFonts w:ascii="Arial" w:hAnsi="Arial" w:cs="Arial"/>
                <w:sz w:val="20"/>
                <w:szCs w:val="20"/>
              </w:rPr>
              <w:br/>
              <w:t>N:</w:t>
            </w:r>
            <w:r w:rsidRPr="00595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519A">
              <w:rPr>
                <w:rFonts w:ascii="Arial" w:hAnsi="Arial" w:cs="Arial"/>
                <w:sz w:val="20"/>
                <w:szCs w:val="20"/>
              </w:rPr>
              <w:t>Number of events occurring at the time point (referring here to all-cause mortality)</w:t>
            </w:r>
          </w:p>
        </w:tc>
      </w:tr>
    </w:tbl>
    <w:p w:rsidR="0059519A" w:rsidRPr="0059519A" w:rsidRDefault="0059519A" w:rsidP="002019C0">
      <w:pPr>
        <w:rPr>
          <w:rFonts w:ascii="Arial" w:hAnsi="Arial" w:cs="Arial"/>
          <w:b/>
          <w:sz w:val="20"/>
          <w:szCs w:val="20"/>
        </w:rPr>
        <w:sectPr w:rsidR="0059519A" w:rsidRPr="0059519A" w:rsidSect="00613C4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</w:p>
    <w:p w:rsidR="002019C0" w:rsidRPr="00EC0861" w:rsidRDefault="002019C0" w:rsidP="002019C0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proofErr w:type="gramStart"/>
      <w:r w:rsidRPr="00EC0861">
        <w:rPr>
          <w:rFonts w:ascii="Arial" w:hAnsi="Arial" w:cs="Arial"/>
          <w:b/>
          <w:sz w:val="20"/>
          <w:szCs w:val="20"/>
        </w:rPr>
        <w:lastRenderedPageBreak/>
        <w:t xml:space="preserve">Supplementary </w:t>
      </w:r>
      <w:r w:rsidRPr="00EC0861">
        <w:rPr>
          <w:rFonts w:ascii="Arial" w:eastAsia="KaiTi" w:hAnsi="Arial" w:cs="Arial"/>
          <w:b/>
          <w:sz w:val="20"/>
          <w:szCs w:val="20"/>
        </w:rPr>
        <w:t>Figure S</w:t>
      </w:r>
      <w:r w:rsidRPr="00EC0861">
        <w:rPr>
          <w:rFonts w:ascii="Arial" w:hAnsi="Arial" w:cs="Arial"/>
          <w:b/>
          <w:sz w:val="20"/>
          <w:szCs w:val="20"/>
        </w:rPr>
        <w:t>1</w:t>
      </w:r>
      <w:r w:rsidRPr="00EC0861">
        <w:rPr>
          <w:rFonts w:ascii="Arial" w:eastAsia="KaiTi" w:hAnsi="Arial" w:cs="Arial"/>
          <w:b/>
          <w:sz w:val="20"/>
          <w:szCs w:val="20"/>
        </w:rPr>
        <w:t>.</w:t>
      </w:r>
      <w:proofErr w:type="gramEnd"/>
      <w:r w:rsidRPr="00EC0861">
        <w:rPr>
          <w:rFonts w:ascii="Arial" w:eastAsia="KaiTi" w:hAnsi="Arial" w:cs="Arial"/>
          <w:b/>
          <w:sz w:val="20"/>
          <w:szCs w:val="20"/>
        </w:rPr>
        <w:t xml:space="preserve">  </w:t>
      </w:r>
      <w:r w:rsidR="00D31B65" w:rsidRPr="00322756">
        <w:rPr>
          <w:rFonts w:ascii="Arial" w:eastAsia="KaiTi" w:hAnsi="Arial" w:cs="Arial"/>
          <w:b/>
          <w:color w:val="000000" w:themeColor="text1"/>
          <w:sz w:val="20"/>
          <w:szCs w:val="20"/>
        </w:rPr>
        <w:t xml:space="preserve">Cox-adjusted </w:t>
      </w:r>
      <w:r w:rsidR="00BC524A" w:rsidRPr="00322756">
        <w:rPr>
          <w:rFonts w:ascii="Arial" w:eastAsia="KaiTi" w:hAnsi="Arial" w:cs="Arial"/>
          <w:b/>
          <w:color w:val="000000" w:themeColor="text1"/>
          <w:sz w:val="20"/>
          <w:szCs w:val="20"/>
        </w:rPr>
        <w:t>cumulative event-free rate</w:t>
      </w:r>
      <w:r w:rsidR="00D31B65">
        <w:rPr>
          <w:rFonts w:ascii="Arial" w:eastAsia="KaiTi" w:hAnsi="Arial" w:cs="Arial"/>
          <w:b/>
          <w:sz w:val="20"/>
          <w:szCs w:val="20"/>
        </w:rPr>
        <w:t xml:space="preserve"> of p</w:t>
      </w:r>
      <w:r w:rsidRPr="00EC0861">
        <w:rPr>
          <w:rFonts w:ascii="Arial" w:eastAsia="KaiTi" w:hAnsi="Arial" w:cs="Arial"/>
          <w:b/>
          <w:sz w:val="20"/>
          <w:szCs w:val="20"/>
        </w:rPr>
        <w:t xml:space="preserve">rimary </w:t>
      </w:r>
      <w:r w:rsidR="00BC524A">
        <w:rPr>
          <w:rFonts w:ascii="Arial" w:eastAsia="KaiTi" w:hAnsi="Arial" w:cs="Arial"/>
          <w:b/>
          <w:sz w:val="20"/>
          <w:szCs w:val="20"/>
        </w:rPr>
        <w:t>c</w:t>
      </w:r>
      <w:r w:rsidRPr="00EC0861">
        <w:rPr>
          <w:rFonts w:ascii="Arial" w:eastAsia="KaiTi" w:hAnsi="Arial" w:cs="Arial"/>
          <w:b/>
          <w:sz w:val="20"/>
          <w:szCs w:val="20"/>
        </w:rPr>
        <w:t xml:space="preserve">omposite outcome </w:t>
      </w:r>
      <w:r w:rsidRPr="00EC0861">
        <w:rPr>
          <w:rFonts w:ascii="Arial" w:hAnsi="Arial" w:cs="Arial"/>
          <w:b/>
          <w:sz w:val="20"/>
          <w:szCs w:val="20"/>
        </w:rPr>
        <w:t>with propensity score matching</w:t>
      </w:r>
    </w:p>
    <w:p w:rsidR="002019C0" w:rsidRDefault="002019C0" w:rsidP="002019C0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48FB5B6A" wp14:editId="6DEEC833">
            <wp:extent cx="5759450" cy="3365500"/>
            <wp:effectExtent l="0" t="0" r="0" b="63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S1 for ESCHF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27" w:rsidRDefault="00297727" w:rsidP="002019C0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297727" w:rsidRDefault="00297727" w:rsidP="002019C0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proofErr w:type="gramStart"/>
      <w:r w:rsidRPr="00EC0861">
        <w:rPr>
          <w:rFonts w:ascii="Arial" w:hAnsi="Arial" w:cs="Arial"/>
          <w:b/>
          <w:sz w:val="20"/>
          <w:szCs w:val="20"/>
        </w:rPr>
        <w:t xml:space="preserve">Supplementary </w:t>
      </w:r>
      <w:r w:rsidRPr="00EC0861">
        <w:rPr>
          <w:rFonts w:ascii="Arial" w:eastAsia="KaiTi" w:hAnsi="Arial" w:cs="Arial"/>
          <w:b/>
          <w:sz w:val="20"/>
          <w:szCs w:val="20"/>
        </w:rPr>
        <w:t>Figure S</w:t>
      </w:r>
      <w:r>
        <w:rPr>
          <w:rFonts w:ascii="Arial" w:hAnsi="Arial" w:cs="Arial"/>
          <w:b/>
          <w:sz w:val="20"/>
          <w:szCs w:val="20"/>
        </w:rPr>
        <w:t>2</w:t>
      </w:r>
      <w:r w:rsidRPr="00EC0861">
        <w:rPr>
          <w:rFonts w:ascii="Arial" w:eastAsia="KaiTi" w:hAnsi="Arial" w:cs="Arial"/>
          <w:b/>
          <w:sz w:val="20"/>
          <w:szCs w:val="20"/>
        </w:rPr>
        <w:t>.</w:t>
      </w:r>
      <w:proofErr w:type="gramEnd"/>
      <w:r w:rsidRPr="00EC0861">
        <w:rPr>
          <w:rFonts w:ascii="Arial" w:eastAsia="KaiTi" w:hAnsi="Arial" w:cs="Arial"/>
          <w:b/>
          <w:sz w:val="20"/>
          <w:szCs w:val="20"/>
        </w:rPr>
        <w:t xml:space="preserve">  </w:t>
      </w:r>
      <w:r w:rsidRPr="00322756">
        <w:rPr>
          <w:rFonts w:ascii="Arial" w:eastAsia="KaiTi" w:hAnsi="Arial" w:cs="Arial"/>
          <w:b/>
          <w:color w:val="000000" w:themeColor="text1"/>
          <w:sz w:val="20"/>
          <w:szCs w:val="20"/>
        </w:rPr>
        <w:t xml:space="preserve">Cox-adjusted </w:t>
      </w:r>
      <w:r w:rsidR="00BC524A" w:rsidRPr="00322756">
        <w:rPr>
          <w:rFonts w:ascii="Arial" w:eastAsia="KaiTi" w:hAnsi="Arial" w:cs="Arial"/>
          <w:b/>
          <w:color w:val="000000" w:themeColor="text1"/>
          <w:sz w:val="20"/>
          <w:szCs w:val="20"/>
        </w:rPr>
        <w:t>cumulative event-free rate</w:t>
      </w:r>
      <w:r w:rsidRPr="00322756">
        <w:rPr>
          <w:rFonts w:ascii="Arial" w:eastAsia="KaiTi" w:hAnsi="Arial" w:cs="Arial"/>
          <w:b/>
          <w:color w:val="000000" w:themeColor="text1"/>
          <w:sz w:val="20"/>
          <w:szCs w:val="20"/>
        </w:rPr>
        <w:t xml:space="preserve"> of primar</w:t>
      </w:r>
      <w:r w:rsidRPr="00EC0861">
        <w:rPr>
          <w:rFonts w:ascii="Arial" w:eastAsia="KaiTi" w:hAnsi="Arial" w:cs="Arial"/>
          <w:b/>
          <w:sz w:val="20"/>
          <w:szCs w:val="20"/>
        </w:rPr>
        <w:t xml:space="preserve">y composite outcome </w:t>
      </w:r>
      <w:r w:rsidRPr="00EC0861">
        <w:rPr>
          <w:rFonts w:ascii="Arial" w:hAnsi="Arial" w:cs="Arial"/>
          <w:b/>
          <w:sz w:val="20"/>
          <w:szCs w:val="20"/>
        </w:rPr>
        <w:t xml:space="preserve">with </w:t>
      </w:r>
      <w:r>
        <w:rPr>
          <w:rFonts w:ascii="Arial" w:hAnsi="Arial" w:cs="Arial"/>
          <w:b/>
          <w:sz w:val="20"/>
          <w:szCs w:val="20"/>
        </w:rPr>
        <w:t xml:space="preserve">patients initially excluded for </w:t>
      </w:r>
      <w:r w:rsidR="008A500D">
        <w:rPr>
          <w:rFonts w:ascii="Arial" w:hAnsi="Arial" w:cs="Arial"/>
          <w:b/>
          <w:sz w:val="20"/>
          <w:szCs w:val="20"/>
        </w:rPr>
        <w:t>prior</w:t>
      </w:r>
      <w:r>
        <w:rPr>
          <w:rFonts w:ascii="Arial" w:hAnsi="Arial" w:cs="Arial"/>
          <w:b/>
          <w:sz w:val="20"/>
          <w:szCs w:val="20"/>
        </w:rPr>
        <w:t xml:space="preserve"> outcome events</w:t>
      </w:r>
      <w:r w:rsidR="002E7784">
        <w:rPr>
          <w:rFonts w:ascii="Arial" w:hAnsi="Arial" w:cs="Arial"/>
          <w:b/>
          <w:sz w:val="20"/>
          <w:szCs w:val="20"/>
        </w:rPr>
        <w:t xml:space="preserve"> </w:t>
      </w:r>
    </w:p>
    <w:p w:rsidR="00297727" w:rsidRDefault="00297727" w:rsidP="002019C0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7C832C6F" wp14:editId="4F4C8B58">
            <wp:extent cx="5274310" cy="3100782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19C0" w:rsidRDefault="002019C0" w:rsidP="002019C0">
      <w:pPr>
        <w:rPr>
          <w:rFonts w:ascii="Times New Roman" w:hAnsi="Times New Roman" w:cs="Times New Roman"/>
          <w:b/>
          <w:bCs/>
          <w:noProof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hd w:val="clear" w:color="auto" w:fill="FFFFFF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916"/>
        <w:gridCol w:w="2833"/>
      </w:tblGrid>
      <w:tr w:rsidR="002019C0" w:rsidRPr="00583A3D" w:rsidTr="00613C4F"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Supplementary File S1. ICD-9-CM and ICD-10-CM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diagnosis </w:t>
            </w:r>
            <w:r w:rsidRPr="00583A3D">
              <w:rPr>
                <w:rFonts w:ascii="Arial" w:hAnsi="Arial" w:cs="Arial"/>
                <w:b/>
                <w:bCs/>
                <w:sz w:val="20"/>
                <w:szCs w:val="20"/>
              </w:rPr>
              <w:t>codes used to identify clinical conditions and outcomes</w:t>
            </w:r>
          </w:p>
        </w:tc>
      </w:tr>
      <w:tr w:rsidR="002019C0" w:rsidRPr="00583A3D" w:rsidTr="00613C4F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3D">
              <w:rPr>
                <w:rFonts w:ascii="Arial" w:hAnsi="Arial" w:cs="Arial"/>
                <w:b/>
                <w:bCs/>
                <w:sz w:val="20"/>
                <w:szCs w:val="20"/>
              </w:rPr>
              <w:t>Conditions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3D">
              <w:rPr>
                <w:rFonts w:ascii="Arial" w:hAnsi="Arial" w:cs="Arial"/>
                <w:b/>
                <w:bCs/>
                <w:sz w:val="20"/>
                <w:szCs w:val="20"/>
              </w:rPr>
              <w:t>ICD-9-CM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A3D">
              <w:rPr>
                <w:rFonts w:ascii="Arial" w:hAnsi="Arial" w:cs="Arial"/>
                <w:b/>
                <w:bCs/>
                <w:sz w:val="20"/>
                <w:szCs w:val="20"/>
              </w:rPr>
              <w:t>ICD-10-CM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401-405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I10, I15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250, 357.2, 362.0, 366.41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E08, E10, E11, E13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Coronary artery disease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410-414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I25.1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Atrial fibrillation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427.3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I48.0, I48.1, I48.2, I48.9, I48.91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Hospitalization for heart failure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398.91, 428, 402.11. 402.91</w:t>
            </w:r>
          </w:p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I50.1, I50.2, I50.3, I50.4, I50.8, I50.9, I09.81, I11, I13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Myocardial infarction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410, 411, 412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I21, I22, I23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Stroke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430-438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G46.3, G46.4, I62.9, I63.01, I63.03, I63.2, I63.3, I63.4, I63.5, I63.8, I63.9, I69.3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Pulmonary diseases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color w:val="000000"/>
                <w:sz w:val="20"/>
                <w:szCs w:val="20"/>
              </w:rPr>
              <w:t>491-494, 496, 510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J44.1, J44.9, J45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Liver diseases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color w:val="000000"/>
                <w:sz w:val="20"/>
                <w:szCs w:val="20"/>
              </w:rPr>
              <w:t>570, 571, 572.1, 572.4, 573.1-573.3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color w:val="000000"/>
                <w:sz w:val="20"/>
                <w:szCs w:val="20"/>
              </w:rPr>
              <w:t>B15-19, K70, K72-76</w:t>
            </w:r>
          </w:p>
        </w:tc>
      </w:tr>
      <w:tr w:rsidR="002019C0" w:rsidRPr="00583A3D" w:rsidTr="00613C4F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color w:val="000000"/>
                <w:sz w:val="20"/>
                <w:szCs w:val="20"/>
              </w:rPr>
              <w:t>140-172; 174-208; 230-231; 233-234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C00-D49</w:t>
            </w:r>
          </w:p>
        </w:tc>
      </w:tr>
      <w:tr w:rsidR="002019C0" w:rsidRPr="00583A3D" w:rsidTr="00613C4F">
        <w:tc>
          <w:tcPr>
            <w:tcW w:w="8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0" w:rsidRPr="00583A3D" w:rsidRDefault="002019C0" w:rsidP="00613C4F">
            <w:pPr>
              <w:rPr>
                <w:rFonts w:ascii="Arial" w:hAnsi="Arial" w:cs="Arial"/>
                <w:sz w:val="20"/>
                <w:szCs w:val="20"/>
              </w:rPr>
            </w:pPr>
            <w:r w:rsidRPr="00583A3D">
              <w:rPr>
                <w:rFonts w:ascii="Arial" w:hAnsi="Arial" w:cs="Arial"/>
                <w:sz w:val="20"/>
                <w:szCs w:val="20"/>
              </w:rPr>
              <w:t>ICD-9-CM, International Classification of Diseases, 9</w:t>
            </w:r>
            <w:r w:rsidRPr="00583A3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83A3D">
              <w:rPr>
                <w:rFonts w:ascii="Arial" w:hAnsi="Arial" w:cs="Arial"/>
                <w:sz w:val="20"/>
                <w:szCs w:val="20"/>
              </w:rPr>
              <w:t xml:space="preserve"> Revision, Clinical Modification; ICD-10-CM, International Classification of Diseases, 10</w:t>
            </w:r>
            <w:r w:rsidRPr="00583A3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83A3D">
              <w:rPr>
                <w:rFonts w:ascii="Arial" w:hAnsi="Arial" w:cs="Arial"/>
                <w:sz w:val="20"/>
                <w:szCs w:val="20"/>
              </w:rPr>
              <w:t xml:space="preserve"> Revision, Clinical Modification</w:t>
            </w:r>
          </w:p>
        </w:tc>
      </w:tr>
    </w:tbl>
    <w:p w:rsidR="00551FD1" w:rsidRPr="002019C0" w:rsidRDefault="00551FD1"/>
    <w:sectPr w:rsidR="00551FD1" w:rsidRPr="002019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EC" w:rsidRDefault="00C54DEC">
      <w:r>
        <w:separator/>
      </w:r>
    </w:p>
  </w:endnote>
  <w:endnote w:type="continuationSeparator" w:id="0">
    <w:p w:rsidR="00C54DEC" w:rsidRDefault="00C5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2115736558"/>
      <w:docPartObj>
        <w:docPartGallery w:val="Page Numbers (Bottom of Page)"/>
        <w:docPartUnique/>
      </w:docPartObj>
    </w:sdtPr>
    <w:sdtContent>
      <w:p w:rsidR="00613C4F" w:rsidRDefault="00613C4F" w:rsidP="00613C4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13C4F" w:rsidRDefault="00613C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344128874"/>
      <w:docPartObj>
        <w:docPartGallery w:val="Page Numbers (Bottom of Page)"/>
        <w:docPartUnique/>
      </w:docPartObj>
    </w:sdtPr>
    <w:sdtContent>
      <w:p w:rsidR="00613C4F" w:rsidRDefault="00613C4F" w:rsidP="00613C4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146D4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613C4F" w:rsidRDefault="00613C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EC" w:rsidRDefault="00C54DEC">
      <w:r>
        <w:separator/>
      </w:r>
    </w:p>
  </w:footnote>
  <w:footnote w:type="continuationSeparator" w:id="0">
    <w:p w:rsidR="00C54DEC" w:rsidRDefault="00C54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C0"/>
    <w:rsid w:val="000146D4"/>
    <w:rsid w:val="00025AE7"/>
    <w:rsid w:val="000763FF"/>
    <w:rsid w:val="00086776"/>
    <w:rsid w:val="000936E4"/>
    <w:rsid w:val="000E3183"/>
    <w:rsid w:val="000F20CA"/>
    <w:rsid w:val="00102468"/>
    <w:rsid w:val="001066FB"/>
    <w:rsid w:val="001D5C5A"/>
    <w:rsid w:val="001E00B6"/>
    <w:rsid w:val="002019C0"/>
    <w:rsid w:val="00210608"/>
    <w:rsid w:val="002279A7"/>
    <w:rsid w:val="00241C1C"/>
    <w:rsid w:val="00265AB4"/>
    <w:rsid w:val="002841A1"/>
    <w:rsid w:val="00297727"/>
    <w:rsid w:val="002A1A2A"/>
    <w:rsid w:val="002B511F"/>
    <w:rsid w:val="002D62DB"/>
    <w:rsid w:val="002E7784"/>
    <w:rsid w:val="00322756"/>
    <w:rsid w:val="0032469F"/>
    <w:rsid w:val="003271A2"/>
    <w:rsid w:val="00354C2E"/>
    <w:rsid w:val="00380172"/>
    <w:rsid w:val="00392479"/>
    <w:rsid w:val="00397594"/>
    <w:rsid w:val="003A7B08"/>
    <w:rsid w:val="003B2433"/>
    <w:rsid w:val="003F25B6"/>
    <w:rsid w:val="00406D55"/>
    <w:rsid w:val="0042550D"/>
    <w:rsid w:val="0043779F"/>
    <w:rsid w:val="00442EC6"/>
    <w:rsid w:val="00446C8E"/>
    <w:rsid w:val="00452DD5"/>
    <w:rsid w:val="0048584B"/>
    <w:rsid w:val="004D2D1D"/>
    <w:rsid w:val="004D6B63"/>
    <w:rsid w:val="00501A4D"/>
    <w:rsid w:val="0052712C"/>
    <w:rsid w:val="00535E19"/>
    <w:rsid w:val="005474AA"/>
    <w:rsid w:val="00551FD1"/>
    <w:rsid w:val="00561C4A"/>
    <w:rsid w:val="00575DE7"/>
    <w:rsid w:val="0059071E"/>
    <w:rsid w:val="0059519A"/>
    <w:rsid w:val="005D6F3B"/>
    <w:rsid w:val="00613C4F"/>
    <w:rsid w:val="00626916"/>
    <w:rsid w:val="00630451"/>
    <w:rsid w:val="00632C00"/>
    <w:rsid w:val="00632DFC"/>
    <w:rsid w:val="0063623E"/>
    <w:rsid w:val="00663129"/>
    <w:rsid w:val="00676428"/>
    <w:rsid w:val="006825E2"/>
    <w:rsid w:val="006915DF"/>
    <w:rsid w:val="00691FFB"/>
    <w:rsid w:val="006B636C"/>
    <w:rsid w:val="006C4A8E"/>
    <w:rsid w:val="006C6FA7"/>
    <w:rsid w:val="006E1F4F"/>
    <w:rsid w:val="00773FD0"/>
    <w:rsid w:val="0077596C"/>
    <w:rsid w:val="00780F0F"/>
    <w:rsid w:val="00787D0E"/>
    <w:rsid w:val="007F68FA"/>
    <w:rsid w:val="0087172A"/>
    <w:rsid w:val="0087599E"/>
    <w:rsid w:val="008A500D"/>
    <w:rsid w:val="008C1D52"/>
    <w:rsid w:val="008C4D41"/>
    <w:rsid w:val="008F245A"/>
    <w:rsid w:val="00926C30"/>
    <w:rsid w:val="00930C13"/>
    <w:rsid w:val="009A1F50"/>
    <w:rsid w:val="009A6DA5"/>
    <w:rsid w:val="009E1D37"/>
    <w:rsid w:val="009E79B5"/>
    <w:rsid w:val="009F0DAB"/>
    <w:rsid w:val="00A11E2A"/>
    <w:rsid w:val="00A27709"/>
    <w:rsid w:val="00A620EE"/>
    <w:rsid w:val="00A87B84"/>
    <w:rsid w:val="00AC1502"/>
    <w:rsid w:val="00AE2940"/>
    <w:rsid w:val="00AE72D4"/>
    <w:rsid w:val="00AF4F0A"/>
    <w:rsid w:val="00B07385"/>
    <w:rsid w:val="00B10DA0"/>
    <w:rsid w:val="00B15DCE"/>
    <w:rsid w:val="00B45A29"/>
    <w:rsid w:val="00B47B43"/>
    <w:rsid w:val="00B5614B"/>
    <w:rsid w:val="00B80DC6"/>
    <w:rsid w:val="00B813E5"/>
    <w:rsid w:val="00B95120"/>
    <w:rsid w:val="00BA02D4"/>
    <w:rsid w:val="00BA6B5C"/>
    <w:rsid w:val="00BB0562"/>
    <w:rsid w:val="00BB640E"/>
    <w:rsid w:val="00BB6864"/>
    <w:rsid w:val="00BC524A"/>
    <w:rsid w:val="00BC7A3B"/>
    <w:rsid w:val="00BD3579"/>
    <w:rsid w:val="00BD7690"/>
    <w:rsid w:val="00BE2929"/>
    <w:rsid w:val="00BF3757"/>
    <w:rsid w:val="00C51E67"/>
    <w:rsid w:val="00C54DEC"/>
    <w:rsid w:val="00C707DE"/>
    <w:rsid w:val="00CC6CFF"/>
    <w:rsid w:val="00D11726"/>
    <w:rsid w:val="00D141FC"/>
    <w:rsid w:val="00D21932"/>
    <w:rsid w:val="00D31B65"/>
    <w:rsid w:val="00D73866"/>
    <w:rsid w:val="00D8203D"/>
    <w:rsid w:val="00D872CE"/>
    <w:rsid w:val="00D903C1"/>
    <w:rsid w:val="00DB726C"/>
    <w:rsid w:val="00DD273D"/>
    <w:rsid w:val="00DF0CA7"/>
    <w:rsid w:val="00E0444A"/>
    <w:rsid w:val="00E17A38"/>
    <w:rsid w:val="00E30077"/>
    <w:rsid w:val="00E36173"/>
    <w:rsid w:val="00E367B6"/>
    <w:rsid w:val="00E4272D"/>
    <w:rsid w:val="00E53813"/>
    <w:rsid w:val="00E85090"/>
    <w:rsid w:val="00EC346E"/>
    <w:rsid w:val="00EF074C"/>
    <w:rsid w:val="00F13B59"/>
    <w:rsid w:val="00F1727E"/>
    <w:rsid w:val="00F217BC"/>
    <w:rsid w:val="00F54616"/>
    <w:rsid w:val="00F6484A"/>
    <w:rsid w:val="00F65185"/>
    <w:rsid w:val="00F67BBE"/>
    <w:rsid w:val="00F7044C"/>
    <w:rsid w:val="00F86EC3"/>
    <w:rsid w:val="00F86FE4"/>
    <w:rsid w:val="00F87A25"/>
    <w:rsid w:val="00FA36EB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C0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019C0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EndNoteBibliography">
    <w:name w:val="EndNote Bibliography"/>
    <w:basedOn w:val="a"/>
    <w:link w:val="EndNoteBibliography0"/>
    <w:rsid w:val="002019C0"/>
    <w:rPr>
      <w:noProof/>
      <w:lang w:val="en-GB"/>
    </w:rPr>
  </w:style>
  <w:style w:type="character" w:customStyle="1" w:styleId="EndNoteBibliography0">
    <w:name w:val="EndNote Bibliography 字元"/>
    <w:basedOn w:val="a0"/>
    <w:link w:val="EndNoteBibliography"/>
    <w:rsid w:val="002019C0"/>
    <w:rPr>
      <w:rFonts w:ascii="新細明體" w:eastAsia="新細明體" w:hAnsi="新細明體" w:cs="新細明體"/>
      <w:noProof/>
      <w:kern w:val="0"/>
      <w:lang w:val="en-GB"/>
    </w:rPr>
  </w:style>
  <w:style w:type="character" w:styleId="a5">
    <w:name w:val="page number"/>
    <w:basedOn w:val="a0"/>
    <w:uiPriority w:val="99"/>
    <w:semiHidden/>
    <w:unhideWhenUsed/>
    <w:rsid w:val="002019C0"/>
  </w:style>
  <w:style w:type="character" w:styleId="a6">
    <w:name w:val="Hyperlink"/>
    <w:basedOn w:val="a0"/>
    <w:uiPriority w:val="99"/>
    <w:unhideWhenUsed/>
    <w:rsid w:val="002019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0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3C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C0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1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019C0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EndNoteBibliography">
    <w:name w:val="EndNote Bibliography"/>
    <w:basedOn w:val="a"/>
    <w:link w:val="EndNoteBibliography0"/>
    <w:rsid w:val="002019C0"/>
    <w:rPr>
      <w:noProof/>
      <w:lang w:val="en-GB"/>
    </w:rPr>
  </w:style>
  <w:style w:type="character" w:customStyle="1" w:styleId="EndNoteBibliography0">
    <w:name w:val="EndNote Bibliography 字元"/>
    <w:basedOn w:val="a0"/>
    <w:link w:val="EndNoteBibliography"/>
    <w:rsid w:val="002019C0"/>
    <w:rPr>
      <w:rFonts w:ascii="新細明體" w:eastAsia="新細明體" w:hAnsi="新細明體" w:cs="新細明體"/>
      <w:noProof/>
      <w:kern w:val="0"/>
      <w:lang w:val="en-GB"/>
    </w:rPr>
  </w:style>
  <w:style w:type="character" w:styleId="a5">
    <w:name w:val="page number"/>
    <w:basedOn w:val="a0"/>
    <w:uiPriority w:val="99"/>
    <w:semiHidden/>
    <w:unhideWhenUsed/>
    <w:rsid w:val="002019C0"/>
  </w:style>
  <w:style w:type="character" w:styleId="a6">
    <w:name w:val="Hyperlink"/>
    <w:basedOn w:val="a0"/>
    <w:uiPriority w:val="99"/>
    <w:unhideWhenUsed/>
    <w:rsid w:val="002019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0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3C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yang5036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ctliao@gmail.com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tif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1463</Words>
  <Characters>8342</Characters>
  <Application>Microsoft Office Word</Application>
  <DocSecurity>0</DocSecurity>
  <Lines>69</Lines>
  <Paragraphs>19</Paragraphs>
  <ScaleCrop>false</ScaleCrop>
  <Company>Microsoft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2024-06-02T03:04:00Z</dcterms:created>
  <dcterms:modified xsi:type="dcterms:W3CDTF">2024-06-02T04:38:00Z</dcterms:modified>
</cp:coreProperties>
</file>