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1A26B8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7D19EA79" w:rsidR="00817DD6" w:rsidRPr="00210C7C" w:rsidRDefault="001A26B8" w:rsidP="00210C7C">
      <w:pPr>
        <w:pStyle w:val="afd"/>
        <w:rPr>
          <w:bCs/>
        </w:rPr>
      </w:pPr>
      <w:r w:rsidRPr="00210C7C">
        <w:rPr>
          <w:bCs/>
        </w:rPr>
        <w:t>Prevalence of High-Risk Group for Obstructive Sleep Apnea Using the STOP-Bang Questionnaire and its Association with Cardiovascular Morbidity</w:t>
      </w:r>
    </w:p>
    <w:p w14:paraId="25D2C293" w14:textId="00835617" w:rsidR="002868E2" w:rsidRPr="00480B90" w:rsidRDefault="001A26B8" w:rsidP="0001436A">
      <w:pPr>
        <w:pStyle w:val="AuthorList"/>
      </w:pPr>
      <w:r w:rsidRPr="00480B90">
        <w:rPr>
          <w:rFonts w:eastAsia="Times New Roman"/>
          <w:color w:val="000000" w:themeColor="text1"/>
          <w:sz w:val="22"/>
          <w:lang w:val="fr-FR"/>
        </w:rPr>
        <w:t>Jieun Kang*, Hyeon-Kyoung Koo, Hyung Koo Kang, Woo Jung Seo, Jiyeon Kang</w:t>
      </w:r>
    </w:p>
    <w:p w14:paraId="217F3AE0" w14:textId="136BCC41" w:rsidR="002868E2" w:rsidRDefault="001A26B8" w:rsidP="00994A3D">
      <w:pPr>
        <w:spacing w:before="240" w:after="0"/>
        <w:rPr>
          <w:rFonts w:cs="Times New Roman"/>
          <w:szCs w:val="24"/>
          <w:lang w:val="fr-FR"/>
        </w:rPr>
      </w:pPr>
      <w:r w:rsidRPr="00210C7C">
        <w:rPr>
          <w:rFonts w:cs="Times New Roman"/>
          <w:b/>
          <w:lang w:val="fr-FR"/>
        </w:rPr>
        <w:t xml:space="preserve">* Correspondence: </w:t>
      </w:r>
      <w:r w:rsidR="00210C7C" w:rsidRPr="00210C7C">
        <w:rPr>
          <w:rFonts w:cs="Times New Roman"/>
          <w:lang w:val="fr-FR"/>
        </w:rPr>
        <w:t xml:space="preserve">Jieun Kang: </w:t>
      </w:r>
      <w:r w:rsidR="00210C7C">
        <w:rPr>
          <w:rFonts w:cs="Times New Roman"/>
          <w:szCs w:val="24"/>
          <w:lang w:val="fr-FR"/>
        </w:rPr>
        <w:fldChar w:fldCharType="begin"/>
      </w:r>
      <w:r w:rsidR="00210C7C">
        <w:rPr>
          <w:rFonts w:cs="Times New Roman"/>
          <w:szCs w:val="24"/>
          <w:lang w:val="fr-FR"/>
        </w:rPr>
        <w:instrText>HYPERLINK "mailto:</w:instrText>
      </w:r>
      <w:r w:rsidR="00210C7C" w:rsidRPr="00FB5359">
        <w:rPr>
          <w:rFonts w:cs="Times New Roman"/>
          <w:szCs w:val="24"/>
          <w:lang w:val="fr-FR"/>
        </w:rPr>
        <w:instrText>realodette@gmail.com</w:instrText>
      </w:r>
      <w:r w:rsidR="00210C7C">
        <w:rPr>
          <w:rFonts w:cs="Times New Roman"/>
          <w:szCs w:val="24"/>
          <w:lang w:val="fr-FR"/>
        </w:rPr>
        <w:instrText>"</w:instrText>
      </w:r>
      <w:r w:rsidR="00210C7C">
        <w:rPr>
          <w:rFonts w:cs="Times New Roman"/>
          <w:szCs w:val="24"/>
          <w:lang w:val="fr-FR"/>
        </w:rPr>
        <w:fldChar w:fldCharType="separate"/>
      </w:r>
      <w:r w:rsidR="00210C7C" w:rsidRPr="001B23ED">
        <w:rPr>
          <w:rStyle w:val="af4"/>
          <w:rFonts w:cs="Times New Roman"/>
          <w:szCs w:val="24"/>
          <w:lang w:val="fr-FR"/>
        </w:rPr>
        <w:t>realodette@gmail.com</w:t>
      </w:r>
      <w:r w:rsidR="00210C7C">
        <w:rPr>
          <w:rFonts w:cs="Times New Roman"/>
          <w:szCs w:val="24"/>
          <w:lang w:val="fr-FR"/>
        </w:rPr>
        <w:fldChar w:fldCharType="end"/>
      </w:r>
    </w:p>
    <w:p w14:paraId="261BFC5F" w14:textId="77777777" w:rsidR="00210C7C" w:rsidRPr="00210C7C" w:rsidRDefault="00210C7C" w:rsidP="00994A3D">
      <w:pPr>
        <w:spacing w:before="240" w:after="0"/>
        <w:rPr>
          <w:rFonts w:cs="Times New Roman"/>
          <w:lang w:val="fr-FR"/>
        </w:rPr>
      </w:pPr>
    </w:p>
    <w:p w14:paraId="183E8503" w14:textId="77777777" w:rsidR="00210C7C" w:rsidRPr="00162029" w:rsidRDefault="001A26B8" w:rsidP="00210C7C">
      <w:pPr>
        <w:pStyle w:val="1"/>
      </w:pPr>
      <w:r w:rsidRPr="0E7A2489">
        <w:t>Supplementary Table 1. Distribution of STOP-Bang scores in the study population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2917"/>
        <w:gridCol w:w="3050"/>
      </w:tblGrid>
      <w:tr w:rsidR="001A4BAC" w14:paraId="7C795490" w14:textId="77777777" w:rsidTr="00E31691">
        <w:trPr>
          <w:trHeight w:val="432"/>
        </w:trPr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14:paraId="318175C5" w14:textId="77777777" w:rsidR="00210C7C" w:rsidRPr="00162029" w:rsidRDefault="001A26B8" w:rsidP="00E31691">
            <w:pPr>
              <w:jc w:val="center"/>
              <w:rPr>
                <w:rFonts w:cs="Times New Roman"/>
                <w:sz w:val="22"/>
              </w:rPr>
            </w:pPr>
            <w:r w:rsidRPr="0E7A2489">
              <w:rPr>
                <w:rFonts w:cs="Times New Roman"/>
                <w:sz w:val="22"/>
              </w:rPr>
              <w:t>STOP-Bang score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14:paraId="4E8FCA73" w14:textId="77777777" w:rsidR="00210C7C" w:rsidRPr="00162029" w:rsidRDefault="001A26B8" w:rsidP="00E31691">
            <w:pPr>
              <w:jc w:val="center"/>
              <w:rPr>
                <w:rFonts w:cs="Times New Roman"/>
                <w:sz w:val="22"/>
              </w:rPr>
            </w:pPr>
            <w:r w:rsidRPr="00162029">
              <w:rPr>
                <w:rFonts w:cs="Times New Roman"/>
                <w:sz w:val="22"/>
              </w:rPr>
              <w:t>N</w:t>
            </w:r>
            <w:r>
              <w:rPr>
                <w:rFonts w:cs="Times New Roman"/>
                <w:sz w:val="22"/>
              </w:rPr>
              <w:t>umber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14:paraId="7D568D58" w14:textId="52BC6DB3" w:rsidR="00210C7C" w:rsidRPr="00162029" w:rsidRDefault="001A26B8" w:rsidP="00E31691">
            <w:pPr>
              <w:jc w:val="center"/>
              <w:rPr>
                <w:rFonts w:cs="Times New Roman"/>
                <w:sz w:val="22"/>
              </w:rPr>
            </w:pPr>
            <w:r w:rsidRPr="00162029">
              <w:rPr>
                <w:rFonts w:cs="Times New Roman"/>
                <w:sz w:val="22"/>
              </w:rPr>
              <w:t>Percent</w:t>
            </w:r>
          </w:p>
        </w:tc>
      </w:tr>
      <w:tr w:rsidR="001A4BAC" w14:paraId="43C2EF09" w14:textId="77777777" w:rsidTr="00E31691">
        <w:trPr>
          <w:trHeight w:val="419"/>
        </w:trPr>
        <w:tc>
          <w:tcPr>
            <w:tcW w:w="2954" w:type="dxa"/>
            <w:tcBorders>
              <w:top w:val="single" w:sz="4" w:space="0" w:color="auto"/>
            </w:tcBorders>
          </w:tcPr>
          <w:p w14:paraId="55AE1238" w14:textId="77777777" w:rsidR="00210C7C" w:rsidRPr="00162029" w:rsidRDefault="001A26B8" w:rsidP="00E31691">
            <w:pPr>
              <w:jc w:val="center"/>
              <w:rPr>
                <w:rFonts w:cs="Times New Roman"/>
                <w:sz w:val="22"/>
              </w:rPr>
            </w:pPr>
            <w:r w:rsidRPr="00162029">
              <w:rPr>
                <w:rFonts w:cs="Times New Roman"/>
                <w:sz w:val="22"/>
              </w:rPr>
              <w:t>0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11FDDC91" w14:textId="0970979E" w:rsidR="00210C7C" w:rsidRPr="00162029" w:rsidRDefault="00A966AA" w:rsidP="00E316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610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53036192" w14:textId="21FB7E09" w:rsidR="00210C7C" w:rsidRPr="00162029" w:rsidRDefault="00A966AA" w:rsidP="00E31691">
            <w:pPr>
              <w:jc w:val="center"/>
              <w:rPr>
                <w:rFonts w:cs="Times New Roman" w:hint="eastAsia"/>
                <w:sz w:val="22"/>
                <w:lang w:eastAsia="ko-KR"/>
              </w:rPr>
            </w:pPr>
            <w:r>
              <w:rPr>
                <w:rFonts w:cs="Times New Roman" w:hint="eastAsia"/>
                <w:sz w:val="22"/>
                <w:lang w:eastAsia="ko-KR"/>
              </w:rPr>
              <w:t>9</w:t>
            </w:r>
            <w:r>
              <w:rPr>
                <w:rFonts w:cs="Times New Roman"/>
                <w:sz w:val="22"/>
                <w:lang w:eastAsia="ko-KR"/>
              </w:rPr>
              <w:t>.8</w:t>
            </w:r>
          </w:p>
        </w:tc>
      </w:tr>
      <w:tr w:rsidR="001A4BAC" w14:paraId="5AB8EEFF" w14:textId="77777777" w:rsidTr="00E31691">
        <w:trPr>
          <w:trHeight w:val="432"/>
        </w:trPr>
        <w:tc>
          <w:tcPr>
            <w:tcW w:w="2954" w:type="dxa"/>
          </w:tcPr>
          <w:p w14:paraId="285913AC" w14:textId="77777777" w:rsidR="00210C7C" w:rsidRPr="00162029" w:rsidRDefault="001A26B8" w:rsidP="00E31691">
            <w:pPr>
              <w:jc w:val="center"/>
              <w:rPr>
                <w:rFonts w:cs="Times New Roman"/>
                <w:sz w:val="22"/>
              </w:rPr>
            </w:pPr>
            <w:r w:rsidRPr="00162029">
              <w:rPr>
                <w:rFonts w:cs="Times New Roman"/>
                <w:sz w:val="22"/>
              </w:rPr>
              <w:t>1</w:t>
            </w:r>
          </w:p>
        </w:tc>
        <w:tc>
          <w:tcPr>
            <w:tcW w:w="2917" w:type="dxa"/>
          </w:tcPr>
          <w:p w14:paraId="7C547A6F" w14:textId="56D9D62F" w:rsidR="00210C7C" w:rsidRPr="00162029" w:rsidRDefault="00A966AA" w:rsidP="00E316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1404</w:t>
            </w:r>
          </w:p>
        </w:tc>
        <w:tc>
          <w:tcPr>
            <w:tcW w:w="3050" w:type="dxa"/>
          </w:tcPr>
          <w:p w14:paraId="4FE9E311" w14:textId="2E07B36F" w:rsidR="00210C7C" w:rsidRPr="00162029" w:rsidRDefault="00A966AA" w:rsidP="00E31691">
            <w:pPr>
              <w:jc w:val="center"/>
              <w:rPr>
                <w:rFonts w:cs="Times New Roman" w:hint="eastAsia"/>
                <w:sz w:val="22"/>
                <w:lang w:eastAsia="ko-KR"/>
              </w:rPr>
            </w:pPr>
            <w:r>
              <w:rPr>
                <w:rFonts w:cs="Times New Roman" w:hint="eastAsia"/>
                <w:sz w:val="22"/>
                <w:lang w:eastAsia="ko-KR"/>
              </w:rPr>
              <w:t>2</w:t>
            </w:r>
            <w:r>
              <w:rPr>
                <w:rFonts w:cs="Times New Roman"/>
                <w:sz w:val="22"/>
                <w:lang w:eastAsia="ko-KR"/>
              </w:rPr>
              <w:t>1.7</w:t>
            </w:r>
          </w:p>
        </w:tc>
      </w:tr>
      <w:tr w:rsidR="001A4BAC" w14:paraId="4B774386" w14:textId="77777777" w:rsidTr="00E31691">
        <w:trPr>
          <w:trHeight w:val="419"/>
        </w:trPr>
        <w:tc>
          <w:tcPr>
            <w:tcW w:w="2954" w:type="dxa"/>
          </w:tcPr>
          <w:p w14:paraId="03B59517" w14:textId="77777777" w:rsidR="00210C7C" w:rsidRPr="00162029" w:rsidRDefault="001A26B8" w:rsidP="00E31691">
            <w:pPr>
              <w:jc w:val="center"/>
              <w:rPr>
                <w:rFonts w:cs="Times New Roman"/>
                <w:sz w:val="22"/>
              </w:rPr>
            </w:pPr>
            <w:r w:rsidRPr="00162029">
              <w:rPr>
                <w:rFonts w:cs="Times New Roman"/>
                <w:sz w:val="22"/>
              </w:rPr>
              <w:t>2</w:t>
            </w:r>
          </w:p>
        </w:tc>
        <w:tc>
          <w:tcPr>
            <w:tcW w:w="2917" w:type="dxa"/>
          </w:tcPr>
          <w:p w14:paraId="68254EC5" w14:textId="427B2682" w:rsidR="00210C7C" w:rsidRPr="00162029" w:rsidRDefault="00A966AA" w:rsidP="00E3169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1935</w:t>
            </w:r>
          </w:p>
        </w:tc>
        <w:tc>
          <w:tcPr>
            <w:tcW w:w="3050" w:type="dxa"/>
          </w:tcPr>
          <w:p w14:paraId="7A4BDD57" w14:textId="53F69D01" w:rsidR="00210C7C" w:rsidRPr="00162029" w:rsidRDefault="00A966AA" w:rsidP="00E31691">
            <w:pPr>
              <w:jc w:val="center"/>
              <w:rPr>
                <w:rFonts w:cs="Times New Roman" w:hint="eastAsia"/>
                <w:sz w:val="22"/>
                <w:lang w:eastAsia="ko-KR"/>
              </w:rPr>
            </w:pPr>
            <w:r>
              <w:rPr>
                <w:rFonts w:cs="Times New Roman" w:hint="eastAsia"/>
                <w:sz w:val="22"/>
                <w:lang w:eastAsia="ko-KR"/>
              </w:rPr>
              <w:t>2</w:t>
            </w:r>
            <w:r>
              <w:rPr>
                <w:rFonts w:cs="Times New Roman"/>
                <w:sz w:val="22"/>
                <w:lang w:eastAsia="ko-KR"/>
              </w:rPr>
              <w:t>8.5</w:t>
            </w:r>
          </w:p>
        </w:tc>
      </w:tr>
      <w:tr w:rsidR="001A4BAC" w14:paraId="2390E3A0" w14:textId="77777777" w:rsidTr="00E31691">
        <w:trPr>
          <w:trHeight w:val="432"/>
        </w:trPr>
        <w:tc>
          <w:tcPr>
            <w:tcW w:w="2954" w:type="dxa"/>
          </w:tcPr>
          <w:p w14:paraId="39663B54" w14:textId="77777777" w:rsidR="00210C7C" w:rsidRPr="00162029" w:rsidRDefault="001A26B8" w:rsidP="00E31691">
            <w:pPr>
              <w:jc w:val="center"/>
              <w:rPr>
                <w:rFonts w:cs="Times New Roman"/>
                <w:sz w:val="22"/>
              </w:rPr>
            </w:pPr>
            <w:r w:rsidRPr="00162029">
              <w:rPr>
                <w:rFonts w:cs="Times New Roman"/>
                <w:sz w:val="22"/>
              </w:rPr>
              <w:t>3</w:t>
            </w:r>
          </w:p>
        </w:tc>
        <w:tc>
          <w:tcPr>
            <w:tcW w:w="2917" w:type="dxa"/>
          </w:tcPr>
          <w:p w14:paraId="21FEE294" w14:textId="7037F11F" w:rsidR="00210C7C" w:rsidRPr="00162029" w:rsidRDefault="00A966AA" w:rsidP="00E31691">
            <w:pPr>
              <w:jc w:val="center"/>
              <w:rPr>
                <w:rFonts w:cs="Times New Roman" w:hint="eastAsia"/>
                <w:sz w:val="22"/>
                <w:lang w:eastAsia="ko-KR"/>
              </w:rPr>
            </w:pPr>
            <w:r>
              <w:rPr>
                <w:rFonts w:cs="Times New Roman" w:hint="eastAsia"/>
                <w:sz w:val="22"/>
                <w:lang w:eastAsia="ko-KR"/>
              </w:rPr>
              <w:t>1</w:t>
            </w:r>
            <w:r>
              <w:rPr>
                <w:rFonts w:cs="Times New Roman"/>
                <w:sz w:val="22"/>
                <w:lang w:eastAsia="ko-KR"/>
              </w:rPr>
              <w:t>525</w:t>
            </w:r>
          </w:p>
        </w:tc>
        <w:tc>
          <w:tcPr>
            <w:tcW w:w="3050" w:type="dxa"/>
          </w:tcPr>
          <w:p w14:paraId="4A47122B" w14:textId="2D5C9363" w:rsidR="00210C7C" w:rsidRPr="00162029" w:rsidRDefault="00A966AA" w:rsidP="00E31691">
            <w:pPr>
              <w:jc w:val="center"/>
              <w:rPr>
                <w:rFonts w:cs="Times New Roman" w:hint="eastAsia"/>
                <w:sz w:val="22"/>
                <w:lang w:eastAsia="ko-KR"/>
              </w:rPr>
            </w:pPr>
            <w:r>
              <w:rPr>
                <w:rFonts w:cs="Times New Roman" w:hint="eastAsia"/>
                <w:sz w:val="22"/>
                <w:lang w:eastAsia="ko-KR"/>
              </w:rPr>
              <w:t>2</w:t>
            </w:r>
            <w:r>
              <w:rPr>
                <w:rFonts w:cs="Times New Roman"/>
                <w:sz w:val="22"/>
                <w:lang w:eastAsia="ko-KR"/>
              </w:rPr>
              <w:t>1.9</w:t>
            </w:r>
          </w:p>
        </w:tc>
      </w:tr>
      <w:tr w:rsidR="001A4BAC" w14:paraId="4DF40EC6" w14:textId="77777777" w:rsidTr="00E31691">
        <w:trPr>
          <w:trHeight w:val="432"/>
        </w:trPr>
        <w:tc>
          <w:tcPr>
            <w:tcW w:w="2954" w:type="dxa"/>
          </w:tcPr>
          <w:p w14:paraId="0879291A" w14:textId="77777777" w:rsidR="00210C7C" w:rsidRPr="00162029" w:rsidRDefault="001A26B8" w:rsidP="00E31691">
            <w:pPr>
              <w:jc w:val="center"/>
              <w:rPr>
                <w:rFonts w:cs="Times New Roman"/>
                <w:sz w:val="22"/>
              </w:rPr>
            </w:pPr>
            <w:r w:rsidRPr="00162029">
              <w:rPr>
                <w:rFonts w:cs="Times New Roman"/>
                <w:sz w:val="22"/>
              </w:rPr>
              <w:t>4</w:t>
            </w:r>
          </w:p>
        </w:tc>
        <w:tc>
          <w:tcPr>
            <w:tcW w:w="2917" w:type="dxa"/>
          </w:tcPr>
          <w:p w14:paraId="2B2A71DC" w14:textId="5DCCC6AA" w:rsidR="00210C7C" w:rsidRPr="00162029" w:rsidRDefault="00A966AA" w:rsidP="00E31691">
            <w:pPr>
              <w:jc w:val="center"/>
              <w:rPr>
                <w:rFonts w:cs="Times New Roman" w:hint="eastAsia"/>
                <w:sz w:val="22"/>
                <w:lang w:eastAsia="ko-KR"/>
              </w:rPr>
            </w:pPr>
            <w:r>
              <w:rPr>
                <w:rFonts w:cs="Times New Roman" w:hint="eastAsia"/>
                <w:sz w:val="22"/>
                <w:lang w:eastAsia="ko-KR"/>
              </w:rPr>
              <w:t>7</w:t>
            </w:r>
            <w:r>
              <w:rPr>
                <w:rFonts w:cs="Times New Roman"/>
                <w:sz w:val="22"/>
                <w:lang w:eastAsia="ko-KR"/>
              </w:rPr>
              <w:t>33</w:t>
            </w:r>
          </w:p>
        </w:tc>
        <w:tc>
          <w:tcPr>
            <w:tcW w:w="3050" w:type="dxa"/>
          </w:tcPr>
          <w:p w14:paraId="165ECD3B" w14:textId="59DB0FDA" w:rsidR="00210C7C" w:rsidRPr="00162029" w:rsidRDefault="00A966AA" w:rsidP="00E31691">
            <w:pPr>
              <w:jc w:val="center"/>
              <w:rPr>
                <w:rFonts w:cs="Times New Roman" w:hint="eastAsia"/>
                <w:sz w:val="22"/>
                <w:lang w:eastAsia="ko-KR"/>
              </w:rPr>
            </w:pPr>
            <w:r>
              <w:rPr>
                <w:rFonts w:cs="Times New Roman" w:hint="eastAsia"/>
                <w:sz w:val="22"/>
                <w:lang w:eastAsia="ko-KR"/>
              </w:rPr>
              <w:t>1</w:t>
            </w:r>
            <w:r>
              <w:rPr>
                <w:rFonts w:cs="Times New Roman"/>
                <w:sz w:val="22"/>
                <w:lang w:eastAsia="ko-KR"/>
              </w:rPr>
              <w:t>1.3</w:t>
            </w:r>
          </w:p>
        </w:tc>
      </w:tr>
      <w:tr w:rsidR="001A4BAC" w14:paraId="7CD83B6C" w14:textId="77777777" w:rsidTr="00E31691">
        <w:trPr>
          <w:trHeight w:val="419"/>
        </w:trPr>
        <w:tc>
          <w:tcPr>
            <w:tcW w:w="2954" w:type="dxa"/>
          </w:tcPr>
          <w:p w14:paraId="26E7A091" w14:textId="77777777" w:rsidR="00210C7C" w:rsidRPr="00162029" w:rsidRDefault="001A26B8" w:rsidP="00E31691">
            <w:pPr>
              <w:jc w:val="center"/>
              <w:rPr>
                <w:rFonts w:cs="Times New Roman"/>
                <w:sz w:val="22"/>
              </w:rPr>
            </w:pPr>
            <w:r w:rsidRPr="00162029">
              <w:rPr>
                <w:rFonts w:cs="Times New Roman"/>
                <w:sz w:val="22"/>
              </w:rPr>
              <w:t>5</w:t>
            </w:r>
          </w:p>
        </w:tc>
        <w:tc>
          <w:tcPr>
            <w:tcW w:w="2917" w:type="dxa"/>
          </w:tcPr>
          <w:p w14:paraId="1F079DF7" w14:textId="41F3A37D" w:rsidR="00210C7C" w:rsidRPr="00162029" w:rsidRDefault="00A966AA" w:rsidP="00E31691">
            <w:pPr>
              <w:jc w:val="center"/>
              <w:rPr>
                <w:rFonts w:cs="Times New Roman" w:hint="eastAsia"/>
                <w:sz w:val="22"/>
                <w:lang w:eastAsia="ko-KR"/>
              </w:rPr>
            </w:pPr>
            <w:r>
              <w:rPr>
                <w:rFonts w:cs="Times New Roman" w:hint="eastAsia"/>
                <w:sz w:val="22"/>
                <w:lang w:eastAsia="ko-KR"/>
              </w:rPr>
              <w:t>2</w:t>
            </w:r>
            <w:r>
              <w:rPr>
                <w:rFonts w:cs="Times New Roman"/>
                <w:sz w:val="22"/>
                <w:lang w:eastAsia="ko-KR"/>
              </w:rPr>
              <w:t>89</w:t>
            </w:r>
          </w:p>
        </w:tc>
        <w:tc>
          <w:tcPr>
            <w:tcW w:w="3050" w:type="dxa"/>
          </w:tcPr>
          <w:p w14:paraId="0243C48E" w14:textId="623DE40F" w:rsidR="00210C7C" w:rsidRPr="00162029" w:rsidRDefault="00A966AA" w:rsidP="00E31691">
            <w:pPr>
              <w:jc w:val="center"/>
              <w:rPr>
                <w:rFonts w:cs="Times New Roman" w:hint="eastAsia"/>
                <w:sz w:val="22"/>
                <w:lang w:eastAsia="ko-KR"/>
              </w:rPr>
            </w:pPr>
            <w:r>
              <w:rPr>
                <w:rFonts w:cs="Times New Roman" w:hint="eastAsia"/>
                <w:sz w:val="22"/>
                <w:lang w:eastAsia="ko-KR"/>
              </w:rPr>
              <w:t>4</w:t>
            </w:r>
            <w:r>
              <w:rPr>
                <w:rFonts w:cs="Times New Roman"/>
                <w:sz w:val="22"/>
                <w:lang w:eastAsia="ko-KR"/>
              </w:rPr>
              <w:t>.5</w:t>
            </w:r>
          </w:p>
        </w:tc>
      </w:tr>
      <w:tr w:rsidR="001A4BAC" w14:paraId="75DDF713" w14:textId="77777777" w:rsidTr="00E31691">
        <w:trPr>
          <w:trHeight w:val="432"/>
        </w:trPr>
        <w:tc>
          <w:tcPr>
            <w:tcW w:w="2954" w:type="dxa"/>
          </w:tcPr>
          <w:p w14:paraId="0E6C9527" w14:textId="77777777" w:rsidR="00210C7C" w:rsidRPr="00162029" w:rsidRDefault="001A26B8" w:rsidP="00E31691">
            <w:pPr>
              <w:jc w:val="center"/>
              <w:rPr>
                <w:rFonts w:cs="Times New Roman"/>
                <w:sz w:val="22"/>
              </w:rPr>
            </w:pPr>
            <w:r w:rsidRPr="00162029">
              <w:rPr>
                <w:rFonts w:cs="Times New Roman"/>
                <w:sz w:val="22"/>
              </w:rPr>
              <w:t>6</w:t>
            </w:r>
          </w:p>
        </w:tc>
        <w:tc>
          <w:tcPr>
            <w:tcW w:w="2917" w:type="dxa"/>
          </w:tcPr>
          <w:p w14:paraId="76A2A765" w14:textId="4715106A" w:rsidR="00210C7C" w:rsidRPr="00162029" w:rsidRDefault="00A966AA" w:rsidP="00E31691">
            <w:pPr>
              <w:jc w:val="center"/>
              <w:rPr>
                <w:rFonts w:cs="Times New Roman" w:hint="eastAsia"/>
                <w:sz w:val="22"/>
                <w:lang w:eastAsia="ko-KR"/>
              </w:rPr>
            </w:pPr>
            <w:r>
              <w:rPr>
                <w:rFonts w:cs="Times New Roman" w:hint="eastAsia"/>
                <w:sz w:val="22"/>
                <w:lang w:eastAsia="ko-KR"/>
              </w:rPr>
              <w:t>1</w:t>
            </w:r>
            <w:r>
              <w:rPr>
                <w:rFonts w:cs="Times New Roman"/>
                <w:sz w:val="22"/>
                <w:lang w:eastAsia="ko-KR"/>
              </w:rPr>
              <w:t>09</w:t>
            </w:r>
          </w:p>
        </w:tc>
        <w:tc>
          <w:tcPr>
            <w:tcW w:w="3050" w:type="dxa"/>
          </w:tcPr>
          <w:p w14:paraId="58FCD0AA" w14:textId="6E5290A3" w:rsidR="00210C7C" w:rsidRPr="00162029" w:rsidRDefault="00A966AA" w:rsidP="00E31691">
            <w:pPr>
              <w:jc w:val="center"/>
              <w:rPr>
                <w:rFonts w:cs="Times New Roman" w:hint="eastAsia"/>
                <w:sz w:val="22"/>
                <w:lang w:eastAsia="ko-KR"/>
              </w:rPr>
            </w:pPr>
            <w:r>
              <w:rPr>
                <w:rFonts w:cs="Times New Roman" w:hint="eastAsia"/>
                <w:sz w:val="22"/>
                <w:lang w:eastAsia="ko-KR"/>
              </w:rPr>
              <w:t>1</w:t>
            </w:r>
            <w:r>
              <w:rPr>
                <w:rFonts w:cs="Times New Roman"/>
                <w:sz w:val="22"/>
                <w:lang w:eastAsia="ko-KR"/>
              </w:rPr>
              <w:t>.8</w:t>
            </w:r>
          </w:p>
        </w:tc>
      </w:tr>
      <w:tr w:rsidR="001A4BAC" w14:paraId="50953D7A" w14:textId="77777777" w:rsidTr="00E31691">
        <w:trPr>
          <w:trHeight w:val="419"/>
        </w:trPr>
        <w:tc>
          <w:tcPr>
            <w:tcW w:w="2954" w:type="dxa"/>
          </w:tcPr>
          <w:p w14:paraId="5F5C94A1" w14:textId="77777777" w:rsidR="00210C7C" w:rsidRPr="00162029" w:rsidRDefault="001A26B8" w:rsidP="00E31691">
            <w:pPr>
              <w:jc w:val="center"/>
              <w:rPr>
                <w:rFonts w:cs="Times New Roman"/>
                <w:sz w:val="22"/>
              </w:rPr>
            </w:pPr>
            <w:r w:rsidRPr="00162029">
              <w:rPr>
                <w:rFonts w:cs="Times New Roman"/>
                <w:sz w:val="22"/>
              </w:rPr>
              <w:t>7</w:t>
            </w:r>
          </w:p>
        </w:tc>
        <w:tc>
          <w:tcPr>
            <w:tcW w:w="2917" w:type="dxa"/>
          </w:tcPr>
          <w:p w14:paraId="7DBEC0B9" w14:textId="02989D5B" w:rsidR="00210C7C" w:rsidRPr="00162029" w:rsidRDefault="00A966AA" w:rsidP="00E31691">
            <w:pPr>
              <w:jc w:val="center"/>
              <w:rPr>
                <w:rFonts w:cs="Times New Roman" w:hint="eastAsia"/>
                <w:sz w:val="22"/>
                <w:lang w:eastAsia="ko-KR"/>
              </w:rPr>
            </w:pPr>
            <w:r>
              <w:rPr>
                <w:rFonts w:cs="Times New Roman" w:hint="eastAsia"/>
                <w:sz w:val="22"/>
                <w:lang w:eastAsia="ko-KR"/>
              </w:rPr>
              <w:t>2</w:t>
            </w:r>
            <w:r>
              <w:rPr>
                <w:rFonts w:cs="Times New Roman"/>
                <w:sz w:val="22"/>
                <w:lang w:eastAsia="ko-KR"/>
              </w:rPr>
              <w:t>4</w:t>
            </w:r>
          </w:p>
        </w:tc>
        <w:tc>
          <w:tcPr>
            <w:tcW w:w="3050" w:type="dxa"/>
          </w:tcPr>
          <w:p w14:paraId="19F46A0D" w14:textId="7D4B13CF" w:rsidR="00210C7C" w:rsidRPr="00162029" w:rsidRDefault="00A966AA" w:rsidP="00E31691">
            <w:pPr>
              <w:jc w:val="center"/>
              <w:rPr>
                <w:rFonts w:cs="Times New Roman" w:hint="eastAsia"/>
                <w:sz w:val="22"/>
                <w:lang w:eastAsia="ko-KR"/>
              </w:rPr>
            </w:pPr>
            <w:r>
              <w:rPr>
                <w:rFonts w:cs="Times New Roman" w:hint="eastAsia"/>
                <w:sz w:val="22"/>
                <w:lang w:eastAsia="ko-KR"/>
              </w:rPr>
              <w:t>0</w:t>
            </w:r>
            <w:r>
              <w:rPr>
                <w:rFonts w:cs="Times New Roman"/>
                <w:sz w:val="22"/>
                <w:lang w:eastAsia="ko-KR"/>
              </w:rPr>
              <w:t>.4</w:t>
            </w:r>
          </w:p>
        </w:tc>
      </w:tr>
      <w:tr w:rsidR="001A4BAC" w14:paraId="2F959221" w14:textId="77777777" w:rsidTr="00E31691">
        <w:trPr>
          <w:trHeight w:val="432"/>
        </w:trPr>
        <w:tc>
          <w:tcPr>
            <w:tcW w:w="2954" w:type="dxa"/>
            <w:tcBorders>
              <w:bottom w:val="single" w:sz="4" w:space="0" w:color="auto"/>
            </w:tcBorders>
          </w:tcPr>
          <w:p w14:paraId="08645979" w14:textId="77777777" w:rsidR="00210C7C" w:rsidRPr="00162029" w:rsidRDefault="001A26B8" w:rsidP="00E31691">
            <w:pPr>
              <w:jc w:val="center"/>
              <w:rPr>
                <w:rFonts w:cs="Times New Roman"/>
                <w:sz w:val="22"/>
              </w:rPr>
            </w:pPr>
            <w:r w:rsidRPr="00162029">
              <w:rPr>
                <w:rFonts w:cs="Times New Roman"/>
                <w:sz w:val="22"/>
              </w:rPr>
              <w:t>8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0CC93CDE" w14:textId="33D9612F" w:rsidR="00210C7C" w:rsidRPr="00162029" w:rsidRDefault="00A966AA" w:rsidP="00E31691">
            <w:pPr>
              <w:jc w:val="center"/>
              <w:rPr>
                <w:rFonts w:cs="Times New Roman" w:hint="eastAsia"/>
                <w:sz w:val="22"/>
                <w:lang w:eastAsia="ko-KR"/>
              </w:rPr>
            </w:pPr>
            <w:r>
              <w:rPr>
                <w:rFonts w:cs="Times New Roman" w:hint="eastAsia"/>
                <w:sz w:val="22"/>
                <w:lang w:eastAsia="ko-KR"/>
              </w:rPr>
              <w:t>1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14:paraId="1F30D62F" w14:textId="11E51ADB" w:rsidR="00210C7C" w:rsidRPr="00162029" w:rsidRDefault="00A966AA" w:rsidP="00E31691">
            <w:pPr>
              <w:jc w:val="center"/>
              <w:rPr>
                <w:rFonts w:cs="Times New Roman" w:hint="eastAsia"/>
                <w:sz w:val="22"/>
                <w:lang w:eastAsia="ko-KR"/>
              </w:rPr>
            </w:pPr>
            <w:r>
              <w:rPr>
                <w:rFonts w:cs="Times New Roman" w:hint="eastAsia"/>
                <w:sz w:val="22"/>
                <w:lang w:eastAsia="ko-KR"/>
              </w:rPr>
              <w:t>0</w:t>
            </w:r>
            <w:r>
              <w:rPr>
                <w:rFonts w:cs="Times New Roman"/>
                <w:sz w:val="22"/>
                <w:lang w:eastAsia="ko-KR"/>
              </w:rPr>
              <w:t>.0</w:t>
            </w:r>
          </w:p>
        </w:tc>
      </w:tr>
    </w:tbl>
    <w:p w14:paraId="1813D9A7" w14:textId="44084A9C" w:rsidR="00210C7C" w:rsidRDefault="001A26B8" w:rsidP="00210C7C">
      <w:pPr>
        <w:rPr>
          <w:rFonts w:cs="Times New Roman"/>
          <w:sz w:val="22"/>
        </w:rPr>
      </w:pPr>
      <w:r w:rsidRPr="0E7A2489">
        <w:rPr>
          <w:rFonts w:cs="Times New Roman"/>
          <w:sz w:val="22"/>
        </w:rPr>
        <w:t xml:space="preserve">Abbreviation: </w:t>
      </w:r>
      <w:bookmarkStart w:id="0" w:name="_Hlk140136836"/>
      <w:r w:rsidRPr="0E7A2489">
        <w:rPr>
          <w:rFonts w:cs="Times New Roman"/>
          <w:sz w:val="22"/>
        </w:rPr>
        <w:t>STOP-Bang, snoring, tiredness, observed apnea, hypertension, body mass index, age, neck circumference, and gender</w:t>
      </w:r>
      <w:bookmarkEnd w:id="0"/>
      <w:r w:rsidR="00A966AA">
        <w:rPr>
          <w:rFonts w:cs="Times New Roman"/>
          <w:sz w:val="22"/>
        </w:rPr>
        <w:t>.</w:t>
      </w:r>
    </w:p>
    <w:p w14:paraId="4C919117" w14:textId="77777777" w:rsidR="00210C7C" w:rsidRDefault="001A26B8" w:rsidP="00210C7C">
      <w:pPr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14:paraId="07780CC1" w14:textId="77777777" w:rsidR="00210C7C" w:rsidRPr="00613BE9" w:rsidRDefault="001A26B8" w:rsidP="00210C7C">
      <w:pPr>
        <w:pStyle w:val="1"/>
      </w:pPr>
      <w:r w:rsidRPr="00613BE9">
        <w:lastRenderedPageBreak/>
        <w:t xml:space="preserve">Supplementary Table </w:t>
      </w:r>
      <w:r>
        <w:t>2</w:t>
      </w:r>
      <w:r w:rsidRPr="00613BE9">
        <w:t>.</w:t>
      </w:r>
      <w:r>
        <w:t xml:space="preserve"> Risk classification according to the STOP-Bang, STOP, alternative scoring model, and modified version of the STOP-Bang for Koreans</w:t>
      </w:r>
    </w:p>
    <w:tbl>
      <w:tblPr>
        <w:tblStyle w:val="afc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1680"/>
        <w:gridCol w:w="1676"/>
        <w:gridCol w:w="1532"/>
        <w:gridCol w:w="1453"/>
      </w:tblGrid>
      <w:tr w:rsidR="00A966AA" w14:paraId="44AC96E0" w14:textId="7F029966" w:rsidTr="00A966AA">
        <w:trPr>
          <w:trHeight w:val="371"/>
        </w:trPr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E0315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91499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>Total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7EE80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>Men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571D4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>Women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3D7BE" w14:textId="5D478285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  <w:lang w:eastAsia="ko-KR"/>
              </w:rPr>
            </w:pPr>
            <w:r w:rsidRPr="00A966AA">
              <w:rPr>
                <w:rFonts w:cs="Times New Roman"/>
                <w:sz w:val="22"/>
                <w:lang w:eastAsia="ko-KR"/>
              </w:rPr>
              <w:t>P-value</w:t>
            </w:r>
          </w:p>
        </w:tc>
      </w:tr>
      <w:tr w:rsidR="00A966AA" w14:paraId="796CB4F2" w14:textId="2E1AE166" w:rsidTr="00A966AA">
        <w:trPr>
          <w:trHeight w:val="371"/>
        </w:trPr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14:paraId="2C24E671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>STOP-Bang questionnaire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1EA95971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61D8F61A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5B662A2C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14:paraId="5845DF38" w14:textId="5751170F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  <w:lang w:eastAsia="ko-KR"/>
              </w:rPr>
            </w:pPr>
            <w:r w:rsidRPr="00A966AA">
              <w:rPr>
                <w:rFonts w:cs="Times New Roman"/>
                <w:sz w:val="22"/>
                <w:lang w:eastAsia="ko-KR"/>
              </w:rPr>
              <w:t>&lt;0.001</w:t>
            </w:r>
          </w:p>
        </w:tc>
      </w:tr>
      <w:tr w:rsidR="00A966AA" w14:paraId="28C19F38" w14:textId="4E85B13F" w:rsidTr="00A966AA">
        <w:trPr>
          <w:trHeight w:val="371"/>
        </w:trPr>
        <w:tc>
          <w:tcPr>
            <w:tcW w:w="3436" w:type="dxa"/>
            <w:vAlign w:val="center"/>
          </w:tcPr>
          <w:p w14:paraId="5A669562" w14:textId="5B733784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  </w:t>
            </w:r>
            <w:r w:rsidRPr="00A966AA">
              <w:rPr>
                <w:rFonts w:cs="Times New Roman"/>
                <w:sz w:val="22"/>
              </w:rPr>
              <w:t xml:space="preserve"> Low-risk</w:t>
            </w:r>
          </w:p>
        </w:tc>
        <w:tc>
          <w:tcPr>
            <w:tcW w:w="1680" w:type="dxa"/>
            <w:vAlign w:val="center"/>
          </w:tcPr>
          <w:p w14:paraId="2C7DB8FA" w14:textId="2804A0DE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3949 (60.1) </w:t>
            </w:r>
          </w:p>
        </w:tc>
        <w:tc>
          <w:tcPr>
            <w:tcW w:w="1676" w:type="dxa"/>
            <w:vAlign w:val="center"/>
          </w:tcPr>
          <w:p w14:paraId="6E2E29A2" w14:textId="07588722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1088 (38.0) </w:t>
            </w:r>
          </w:p>
        </w:tc>
        <w:tc>
          <w:tcPr>
            <w:tcW w:w="1532" w:type="dxa"/>
            <w:vAlign w:val="center"/>
          </w:tcPr>
          <w:p w14:paraId="7C000B62" w14:textId="6BDE8C9C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2861 (83.9) </w:t>
            </w:r>
          </w:p>
        </w:tc>
        <w:tc>
          <w:tcPr>
            <w:tcW w:w="1453" w:type="dxa"/>
            <w:vAlign w:val="center"/>
          </w:tcPr>
          <w:p w14:paraId="79EDA955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</w:tr>
      <w:tr w:rsidR="00A966AA" w14:paraId="26988C8C" w14:textId="23B901C1" w:rsidTr="00A966AA">
        <w:trPr>
          <w:trHeight w:val="371"/>
        </w:trPr>
        <w:tc>
          <w:tcPr>
            <w:tcW w:w="3436" w:type="dxa"/>
            <w:tcBorders>
              <w:bottom w:val="nil"/>
            </w:tcBorders>
            <w:vAlign w:val="center"/>
          </w:tcPr>
          <w:p w14:paraId="2706017C" w14:textId="6E259CA4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  </w:t>
            </w:r>
            <w:r>
              <w:rPr>
                <w:rFonts w:cs="Times New Roman"/>
                <w:sz w:val="22"/>
              </w:rPr>
              <w:t xml:space="preserve">  </w:t>
            </w:r>
            <w:r w:rsidRPr="00A966AA">
              <w:rPr>
                <w:rFonts w:cs="Times New Roman"/>
                <w:sz w:val="22"/>
              </w:rPr>
              <w:t>Intermediate-risk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2C73B93B" w14:textId="4FF1183A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2258 (33.3) </w:t>
            </w:r>
          </w:p>
        </w:tc>
        <w:tc>
          <w:tcPr>
            <w:tcW w:w="1676" w:type="dxa"/>
            <w:tcBorders>
              <w:bottom w:val="nil"/>
            </w:tcBorders>
            <w:vAlign w:val="center"/>
          </w:tcPr>
          <w:p w14:paraId="6E95D556" w14:textId="530C2D94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1660 (49.6) 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14:paraId="05263A55" w14:textId="166B2CF4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598 (15.5) </w:t>
            </w:r>
          </w:p>
        </w:tc>
        <w:tc>
          <w:tcPr>
            <w:tcW w:w="1453" w:type="dxa"/>
            <w:tcBorders>
              <w:bottom w:val="nil"/>
            </w:tcBorders>
            <w:vAlign w:val="center"/>
          </w:tcPr>
          <w:p w14:paraId="0B852128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</w:tr>
      <w:tr w:rsidR="00A966AA" w14:paraId="43750287" w14:textId="030A0581" w:rsidTr="00A966AA">
        <w:trPr>
          <w:trHeight w:val="371"/>
        </w:trPr>
        <w:tc>
          <w:tcPr>
            <w:tcW w:w="3436" w:type="dxa"/>
            <w:tcBorders>
              <w:top w:val="nil"/>
              <w:bottom w:val="single" w:sz="4" w:space="0" w:color="auto"/>
            </w:tcBorders>
            <w:vAlign w:val="center"/>
          </w:tcPr>
          <w:p w14:paraId="45549D24" w14:textId="33F729AD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  </w:t>
            </w:r>
            <w:r w:rsidRPr="00A966AA">
              <w:rPr>
                <w:rFonts w:cs="Times New Roman"/>
                <w:sz w:val="22"/>
              </w:rPr>
              <w:t xml:space="preserve"> High-risk</w:t>
            </w: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  <w:vAlign w:val="center"/>
          </w:tcPr>
          <w:p w14:paraId="5A1D5674" w14:textId="173CC42E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423 (6.7) </w:t>
            </w:r>
          </w:p>
        </w:tc>
        <w:tc>
          <w:tcPr>
            <w:tcW w:w="1676" w:type="dxa"/>
            <w:tcBorders>
              <w:top w:val="nil"/>
              <w:bottom w:val="single" w:sz="4" w:space="0" w:color="auto"/>
            </w:tcBorders>
            <w:vAlign w:val="center"/>
          </w:tcPr>
          <w:p w14:paraId="328A7AF4" w14:textId="113EDA6D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404 (12.4) </w:t>
            </w:r>
          </w:p>
        </w:tc>
        <w:tc>
          <w:tcPr>
            <w:tcW w:w="1532" w:type="dxa"/>
            <w:tcBorders>
              <w:top w:val="nil"/>
              <w:bottom w:val="single" w:sz="4" w:space="0" w:color="auto"/>
            </w:tcBorders>
            <w:vAlign w:val="center"/>
          </w:tcPr>
          <w:p w14:paraId="059BC22E" w14:textId="28A83E05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19 (0.5) 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vAlign w:val="center"/>
          </w:tcPr>
          <w:p w14:paraId="3281D30C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</w:tr>
      <w:tr w:rsidR="00A966AA" w14:paraId="3B3C6BFF" w14:textId="699F9990" w:rsidTr="00A966AA">
        <w:trPr>
          <w:trHeight w:val="371"/>
        </w:trPr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14:paraId="7AEEC823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Style w:val="normaltextrun"/>
                <w:rFonts w:cs="Times New Roman"/>
                <w:color w:val="000000"/>
                <w:sz w:val="22"/>
              </w:rPr>
              <w:t xml:space="preserve">STOP </w:t>
            </w:r>
            <w:r w:rsidRPr="00A966AA">
              <w:rPr>
                <w:rStyle w:val="normaltextrun"/>
                <w:rFonts w:cs="Times New Roman"/>
                <w:sz w:val="22"/>
              </w:rPr>
              <w:t>questionnaire</w:t>
            </w:r>
            <w:r w:rsidRPr="00A966AA">
              <w:rPr>
                <w:rStyle w:val="eop"/>
                <w:rFonts w:cs="Times New Roman"/>
                <w:color w:val="000000"/>
                <w:sz w:val="22"/>
              </w:rPr>
              <w:t>​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3580D16A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29EE9C29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41E9A3C4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14:paraId="2AD3112A" w14:textId="49638C66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  <w:lang w:eastAsia="ko-KR"/>
              </w:rPr>
            </w:pPr>
            <w:r w:rsidRPr="00A966AA">
              <w:rPr>
                <w:rFonts w:cs="Times New Roman"/>
                <w:sz w:val="22"/>
                <w:lang w:eastAsia="ko-KR"/>
              </w:rPr>
              <w:t>&lt;0.001</w:t>
            </w:r>
          </w:p>
        </w:tc>
      </w:tr>
      <w:tr w:rsidR="00A966AA" w14:paraId="437FA63E" w14:textId="5CA65947" w:rsidTr="00A966AA">
        <w:trPr>
          <w:trHeight w:val="371"/>
        </w:trPr>
        <w:tc>
          <w:tcPr>
            <w:tcW w:w="3436" w:type="dxa"/>
            <w:tcBorders>
              <w:bottom w:val="nil"/>
            </w:tcBorders>
            <w:vAlign w:val="center"/>
          </w:tcPr>
          <w:p w14:paraId="1807EEA7" w14:textId="1820432A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Style w:val="normaltextrun"/>
                <w:rFonts w:cs="Times New Roman"/>
                <w:color w:val="000000"/>
                <w:sz w:val="22"/>
              </w:rPr>
              <w:t xml:space="preserve">  </w:t>
            </w:r>
            <w:r>
              <w:rPr>
                <w:rStyle w:val="normaltextrun"/>
                <w:rFonts w:cs="Times New Roman"/>
                <w:color w:val="000000"/>
                <w:sz w:val="22"/>
              </w:rPr>
              <w:t xml:space="preserve">  </w:t>
            </w:r>
            <w:r w:rsidRPr="00A966AA">
              <w:rPr>
                <w:rStyle w:val="normaltextrun"/>
                <w:rFonts w:cs="Times New Roman"/>
                <w:color w:val="000000"/>
                <w:sz w:val="22"/>
              </w:rPr>
              <w:t>Low-risk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35B4E6B" w14:textId="5F4E4145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4947 (74.5) </w:t>
            </w:r>
          </w:p>
        </w:tc>
        <w:tc>
          <w:tcPr>
            <w:tcW w:w="1676" w:type="dxa"/>
            <w:tcBorders>
              <w:bottom w:val="nil"/>
            </w:tcBorders>
            <w:vAlign w:val="center"/>
          </w:tcPr>
          <w:p w14:paraId="60DC18DD" w14:textId="582AEFB2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2152 (67.9) 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14:paraId="76B2C6C0" w14:textId="023A74A2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2795 (81.7) </w:t>
            </w:r>
          </w:p>
        </w:tc>
        <w:tc>
          <w:tcPr>
            <w:tcW w:w="1453" w:type="dxa"/>
            <w:tcBorders>
              <w:bottom w:val="nil"/>
            </w:tcBorders>
            <w:vAlign w:val="center"/>
          </w:tcPr>
          <w:p w14:paraId="74BBE489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</w:tr>
      <w:tr w:rsidR="00A966AA" w14:paraId="257AEA05" w14:textId="222EA919" w:rsidTr="00A966AA">
        <w:trPr>
          <w:trHeight w:val="371"/>
        </w:trPr>
        <w:tc>
          <w:tcPr>
            <w:tcW w:w="3436" w:type="dxa"/>
            <w:tcBorders>
              <w:top w:val="nil"/>
              <w:bottom w:val="single" w:sz="4" w:space="0" w:color="auto"/>
            </w:tcBorders>
            <w:vAlign w:val="center"/>
          </w:tcPr>
          <w:p w14:paraId="131960FB" w14:textId="4031C7C3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Style w:val="normaltextrun"/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Style w:val="normaltextrun"/>
                <w:rFonts w:cs="Times New Roman"/>
                <w:color w:val="000000"/>
                <w:sz w:val="22"/>
              </w:rPr>
              <w:t xml:space="preserve"> </w:t>
            </w:r>
            <w:r w:rsidRPr="00A966AA">
              <w:rPr>
                <w:rStyle w:val="normaltextrun"/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Style w:val="normaltextrun"/>
                <w:rFonts w:cs="Times New Roman"/>
                <w:color w:val="000000"/>
                <w:sz w:val="22"/>
              </w:rPr>
              <w:t xml:space="preserve"> </w:t>
            </w:r>
            <w:r w:rsidRPr="00A966AA">
              <w:rPr>
                <w:rStyle w:val="normaltextrun"/>
                <w:rFonts w:cs="Times New Roman"/>
                <w:color w:val="000000"/>
                <w:sz w:val="22"/>
              </w:rPr>
              <w:t>High-risk</w:t>
            </w: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  <w:vAlign w:val="center"/>
          </w:tcPr>
          <w:p w14:paraId="4FAA4976" w14:textId="17990CB9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1683 (25.5) </w:t>
            </w:r>
          </w:p>
        </w:tc>
        <w:tc>
          <w:tcPr>
            <w:tcW w:w="1676" w:type="dxa"/>
            <w:tcBorders>
              <w:top w:val="nil"/>
              <w:bottom w:val="single" w:sz="4" w:space="0" w:color="auto"/>
            </w:tcBorders>
            <w:vAlign w:val="center"/>
          </w:tcPr>
          <w:p w14:paraId="52D10A42" w14:textId="6589CC94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1000 (32.1) </w:t>
            </w:r>
          </w:p>
        </w:tc>
        <w:tc>
          <w:tcPr>
            <w:tcW w:w="1532" w:type="dxa"/>
            <w:tcBorders>
              <w:top w:val="nil"/>
              <w:bottom w:val="single" w:sz="4" w:space="0" w:color="auto"/>
            </w:tcBorders>
            <w:vAlign w:val="center"/>
          </w:tcPr>
          <w:p w14:paraId="38837060" w14:textId="19D9A7DF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683 (18.3) 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vAlign w:val="center"/>
          </w:tcPr>
          <w:p w14:paraId="7319EE09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</w:tr>
      <w:tr w:rsidR="00A966AA" w14:paraId="71467FAE" w14:textId="0266E5F8" w:rsidTr="00A966AA">
        <w:trPr>
          <w:trHeight w:val="371"/>
        </w:trPr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14:paraId="77707ECE" w14:textId="50C95536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Style w:val="normaltextrun"/>
                <w:rFonts w:cs="Times New Roman"/>
                <w:color w:val="000000" w:themeColor="text1"/>
                <w:sz w:val="22"/>
              </w:rPr>
              <w:t>Alternative STOP-Bang scoring</w:t>
            </w:r>
            <w:r w:rsidRPr="00A966AA">
              <w:rPr>
                <w:rStyle w:val="eop"/>
                <w:rFonts w:cs="Times New Roman"/>
                <w:color w:val="000000" w:themeColor="text1"/>
                <w:sz w:val="22"/>
                <w:vertAlign w:val="superscript"/>
              </w:rPr>
              <w:t>​a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31BD9F7F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529C8BF3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5AB1C7B0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14:paraId="409109ED" w14:textId="326F7E6C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  <w:lang w:eastAsia="ko-KR"/>
              </w:rPr>
              <w:t>&lt;0.001</w:t>
            </w:r>
          </w:p>
        </w:tc>
      </w:tr>
      <w:tr w:rsidR="00A966AA" w14:paraId="16DD9FBF" w14:textId="7DB1A02C" w:rsidTr="00A966AA">
        <w:trPr>
          <w:trHeight w:val="371"/>
        </w:trPr>
        <w:tc>
          <w:tcPr>
            <w:tcW w:w="3436" w:type="dxa"/>
            <w:vAlign w:val="center"/>
          </w:tcPr>
          <w:p w14:paraId="389D20C2" w14:textId="0D8D9F10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Style w:val="normaltextrun"/>
                <w:rFonts w:cs="Times New Roman"/>
                <w:color w:val="000000" w:themeColor="text1"/>
                <w:sz w:val="22"/>
              </w:rPr>
              <w:t xml:space="preserve"> </w:t>
            </w:r>
            <w:r>
              <w:rPr>
                <w:rStyle w:val="normaltextrun"/>
                <w:rFonts w:cs="Times New Roman"/>
                <w:color w:val="000000" w:themeColor="text1"/>
                <w:sz w:val="22"/>
              </w:rPr>
              <w:t xml:space="preserve">  </w:t>
            </w:r>
            <w:r w:rsidRPr="00A966AA">
              <w:rPr>
                <w:rStyle w:val="normaltextrun"/>
                <w:rFonts w:cs="Times New Roman"/>
                <w:color w:val="000000" w:themeColor="text1"/>
                <w:sz w:val="22"/>
              </w:rPr>
              <w:t xml:space="preserve"> </w:t>
            </w:r>
            <w:r w:rsidRPr="00A966AA">
              <w:rPr>
                <w:rStyle w:val="normaltextrun"/>
                <w:rFonts w:cs="Times New Roman"/>
                <w:sz w:val="22"/>
              </w:rPr>
              <w:t>Low-risk</w:t>
            </w:r>
          </w:p>
        </w:tc>
        <w:tc>
          <w:tcPr>
            <w:tcW w:w="1680" w:type="dxa"/>
            <w:vAlign w:val="center"/>
          </w:tcPr>
          <w:p w14:paraId="7EFE97B3" w14:textId="77A2730E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3949 (60.1) </w:t>
            </w:r>
          </w:p>
        </w:tc>
        <w:tc>
          <w:tcPr>
            <w:tcW w:w="1676" w:type="dxa"/>
            <w:vAlign w:val="center"/>
          </w:tcPr>
          <w:p w14:paraId="080EBD72" w14:textId="2E24E4B6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1088 (38.0) </w:t>
            </w:r>
          </w:p>
        </w:tc>
        <w:tc>
          <w:tcPr>
            <w:tcW w:w="1532" w:type="dxa"/>
            <w:vAlign w:val="center"/>
          </w:tcPr>
          <w:p w14:paraId="38866501" w14:textId="5866E113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2861 (83.9) </w:t>
            </w:r>
          </w:p>
        </w:tc>
        <w:tc>
          <w:tcPr>
            <w:tcW w:w="1453" w:type="dxa"/>
            <w:vAlign w:val="center"/>
          </w:tcPr>
          <w:p w14:paraId="225AC573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</w:tr>
      <w:tr w:rsidR="00A966AA" w14:paraId="17004D19" w14:textId="392BC86E" w:rsidTr="00A966AA">
        <w:trPr>
          <w:trHeight w:val="371"/>
        </w:trPr>
        <w:tc>
          <w:tcPr>
            <w:tcW w:w="3436" w:type="dxa"/>
            <w:tcBorders>
              <w:bottom w:val="nil"/>
            </w:tcBorders>
            <w:vAlign w:val="center"/>
          </w:tcPr>
          <w:p w14:paraId="4F4627B2" w14:textId="01C7AA15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Style w:val="normaltextrun"/>
                <w:rFonts w:cs="Times New Roman"/>
                <w:color w:val="000000" w:themeColor="text1"/>
                <w:sz w:val="22"/>
              </w:rPr>
              <w:t xml:space="preserve"> </w:t>
            </w:r>
            <w:r>
              <w:rPr>
                <w:rStyle w:val="normaltextrun"/>
                <w:rFonts w:cs="Times New Roman"/>
                <w:color w:val="000000" w:themeColor="text1"/>
                <w:sz w:val="22"/>
              </w:rPr>
              <w:t xml:space="preserve">  </w:t>
            </w:r>
            <w:r w:rsidRPr="00A966AA">
              <w:rPr>
                <w:rStyle w:val="normaltextrun"/>
                <w:rFonts w:cs="Times New Roman"/>
                <w:color w:val="000000" w:themeColor="text1"/>
                <w:sz w:val="22"/>
              </w:rPr>
              <w:t xml:space="preserve"> I</w:t>
            </w:r>
            <w:r w:rsidRPr="00A966AA">
              <w:rPr>
                <w:rStyle w:val="normaltextrun"/>
                <w:rFonts w:cs="Times New Roman"/>
                <w:sz w:val="22"/>
              </w:rPr>
              <w:t>ntermediate-risk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516DB22D" w14:textId="7DD57043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1657 (23.0) </w:t>
            </w:r>
          </w:p>
        </w:tc>
        <w:tc>
          <w:tcPr>
            <w:tcW w:w="1676" w:type="dxa"/>
            <w:tcBorders>
              <w:bottom w:val="nil"/>
            </w:tcBorders>
            <w:vAlign w:val="center"/>
          </w:tcPr>
          <w:p w14:paraId="7859525E" w14:textId="0040BCCB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1064 (29.9) 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14:paraId="15B9E12E" w14:textId="4473643F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593 (15.4) </w:t>
            </w:r>
          </w:p>
        </w:tc>
        <w:tc>
          <w:tcPr>
            <w:tcW w:w="1453" w:type="dxa"/>
            <w:tcBorders>
              <w:bottom w:val="nil"/>
            </w:tcBorders>
            <w:vAlign w:val="center"/>
          </w:tcPr>
          <w:p w14:paraId="5FB4E632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</w:tr>
      <w:tr w:rsidR="00A966AA" w14:paraId="746F14B1" w14:textId="580EA8BB" w:rsidTr="00A966AA">
        <w:trPr>
          <w:trHeight w:val="371"/>
        </w:trPr>
        <w:tc>
          <w:tcPr>
            <w:tcW w:w="3436" w:type="dxa"/>
            <w:tcBorders>
              <w:top w:val="nil"/>
              <w:bottom w:val="single" w:sz="4" w:space="0" w:color="auto"/>
            </w:tcBorders>
            <w:vAlign w:val="center"/>
          </w:tcPr>
          <w:p w14:paraId="019A7215" w14:textId="63D4A61E" w:rsidR="00A966AA" w:rsidRPr="00A966AA" w:rsidRDefault="00A966AA" w:rsidP="00A966AA">
            <w:pPr>
              <w:ind w:firstLineChars="100" w:firstLine="220"/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>High-risk</w:t>
            </w: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  <w:vAlign w:val="center"/>
          </w:tcPr>
          <w:p w14:paraId="1D17335F" w14:textId="2357EB9B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1024 (17.0) </w:t>
            </w:r>
          </w:p>
        </w:tc>
        <w:tc>
          <w:tcPr>
            <w:tcW w:w="1676" w:type="dxa"/>
            <w:tcBorders>
              <w:top w:val="nil"/>
              <w:bottom w:val="single" w:sz="4" w:space="0" w:color="auto"/>
            </w:tcBorders>
            <w:vAlign w:val="center"/>
          </w:tcPr>
          <w:p w14:paraId="1E1A8FA4" w14:textId="7EF656AC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1000 (32.1) </w:t>
            </w:r>
          </w:p>
        </w:tc>
        <w:tc>
          <w:tcPr>
            <w:tcW w:w="1532" w:type="dxa"/>
            <w:tcBorders>
              <w:top w:val="nil"/>
              <w:bottom w:val="single" w:sz="4" w:space="0" w:color="auto"/>
            </w:tcBorders>
            <w:vAlign w:val="center"/>
          </w:tcPr>
          <w:p w14:paraId="7C055A88" w14:textId="59601431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24 (0.6) 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vAlign w:val="center"/>
          </w:tcPr>
          <w:p w14:paraId="456BFCD4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</w:tr>
      <w:tr w:rsidR="00A966AA" w14:paraId="4B073275" w14:textId="6D517B71" w:rsidTr="00A966AA">
        <w:trPr>
          <w:trHeight w:val="371"/>
        </w:trPr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14:paraId="6479C781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Style w:val="normaltextrun"/>
                <w:rFonts w:cs="Times New Roman"/>
                <w:color w:val="000000" w:themeColor="text1"/>
                <w:sz w:val="22"/>
              </w:rPr>
              <w:t xml:space="preserve">Modified STOP-Bang for </w:t>
            </w:r>
            <w:proofErr w:type="spellStart"/>
            <w:r w:rsidRPr="00A966AA">
              <w:rPr>
                <w:rStyle w:val="normaltextrun"/>
                <w:rFonts w:cs="Times New Roman"/>
                <w:color w:val="000000" w:themeColor="text1"/>
                <w:sz w:val="22"/>
              </w:rPr>
              <w:t>Koreans</w:t>
            </w:r>
            <w:r w:rsidRPr="00A966AA">
              <w:rPr>
                <w:rStyle w:val="normaltextrun"/>
                <w:rFonts w:cs="Times New Roman"/>
                <w:color w:val="000000" w:themeColor="text1"/>
                <w:sz w:val="22"/>
                <w:vertAlign w:val="superscript"/>
              </w:rPr>
              <w:t>b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2EE78DC9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04371D68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516FD9E6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14:paraId="69F99808" w14:textId="7A51CD7F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  <w:lang w:eastAsia="ko-KR"/>
              </w:rPr>
              <w:t>&lt;0.001</w:t>
            </w:r>
          </w:p>
        </w:tc>
      </w:tr>
      <w:tr w:rsidR="00A966AA" w14:paraId="35B27419" w14:textId="55851A0A" w:rsidTr="00A966AA">
        <w:trPr>
          <w:trHeight w:val="371"/>
        </w:trPr>
        <w:tc>
          <w:tcPr>
            <w:tcW w:w="3436" w:type="dxa"/>
            <w:vAlign w:val="center"/>
          </w:tcPr>
          <w:p w14:paraId="6E278D8A" w14:textId="6606E14E" w:rsidR="00A966AA" w:rsidRPr="00A966AA" w:rsidRDefault="00A966AA" w:rsidP="00A966AA">
            <w:pPr>
              <w:ind w:firstLineChars="100" w:firstLine="220"/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Style w:val="normaltextrun"/>
                <w:rFonts w:cs="Times New Roman"/>
                <w:sz w:val="22"/>
              </w:rPr>
              <w:t>Low-risk</w:t>
            </w:r>
          </w:p>
        </w:tc>
        <w:tc>
          <w:tcPr>
            <w:tcW w:w="1680" w:type="dxa"/>
            <w:vAlign w:val="center"/>
          </w:tcPr>
          <w:p w14:paraId="7E6DDB91" w14:textId="788A25C8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3258 (48.3) </w:t>
            </w:r>
          </w:p>
        </w:tc>
        <w:tc>
          <w:tcPr>
            <w:tcW w:w="1676" w:type="dxa"/>
            <w:vAlign w:val="center"/>
          </w:tcPr>
          <w:p w14:paraId="578D545E" w14:textId="2CA52ADC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505 (18.0) </w:t>
            </w:r>
          </w:p>
        </w:tc>
        <w:tc>
          <w:tcPr>
            <w:tcW w:w="1532" w:type="dxa"/>
            <w:vAlign w:val="center"/>
          </w:tcPr>
          <w:p w14:paraId="63EA7C61" w14:textId="15A74296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2753 (81.1) </w:t>
            </w:r>
          </w:p>
        </w:tc>
        <w:tc>
          <w:tcPr>
            <w:tcW w:w="1453" w:type="dxa"/>
            <w:vAlign w:val="center"/>
          </w:tcPr>
          <w:p w14:paraId="6E44D536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</w:tr>
      <w:tr w:rsidR="00A966AA" w14:paraId="237AFD41" w14:textId="49F77753" w:rsidTr="00A966AA">
        <w:trPr>
          <w:trHeight w:val="371"/>
        </w:trPr>
        <w:tc>
          <w:tcPr>
            <w:tcW w:w="3436" w:type="dxa"/>
            <w:vAlign w:val="center"/>
          </w:tcPr>
          <w:p w14:paraId="1A1CBB46" w14:textId="27F46464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Style w:val="normaltextrun"/>
                <w:rFonts w:cs="Times New Roman"/>
                <w:color w:val="000000" w:themeColor="text1"/>
                <w:sz w:val="22"/>
              </w:rPr>
              <w:t xml:space="preserve"> </w:t>
            </w:r>
            <w:r>
              <w:rPr>
                <w:rStyle w:val="normaltextrun"/>
                <w:rFonts w:cs="Times New Roman"/>
                <w:color w:val="000000" w:themeColor="text1"/>
                <w:sz w:val="22"/>
              </w:rPr>
              <w:t xml:space="preserve">  </w:t>
            </w:r>
            <w:r w:rsidRPr="00A966AA">
              <w:rPr>
                <w:rStyle w:val="normaltextrun"/>
                <w:rFonts w:cs="Times New Roman"/>
                <w:color w:val="000000" w:themeColor="text1"/>
                <w:sz w:val="22"/>
              </w:rPr>
              <w:t xml:space="preserve"> I</w:t>
            </w:r>
            <w:r w:rsidRPr="00A966AA">
              <w:rPr>
                <w:rStyle w:val="normaltextrun"/>
                <w:rFonts w:cs="Times New Roman"/>
                <w:sz w:val="22"/>
              </w:rPr>
              <w:t>ntermediate-risk</w:t>
            </w:r>
          </w:p>
        </w:tc>
        <w:tc>
          <w:tcPr>
            <w:tcW w:w="1680" w:type="dxa"/>
            <w:vAlign w:val="center"/>
          </w:tcPr>
          <w:p w14:paraId="5B493E40" w14:textId="4CB24351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2523 (38.3) </w:t>
            </w:r>
          </w:p>
        </w:tc>
        <w:tc>
          <w:tcPr>
            <w:tcW w:w="1676" w:type="dxa"/>
            <w:vAlign w:val="center"/>
          </w:tcPr>
          <w:p w14:paraId="23E60494" w14:textId="6DCD578F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1858 (57.7) </w:t>
            </w:r>
          </w:p>
        </w:tc>
        <w:tc>
          <w:tcPr>
            <w:tcW w:w="1532" w:type="dxa"/>
            <w:vAlign w:val="center"/>
          </w:tcPr>
          <w:p w14:paraId="4A4A67C0" w14:textId="55F3757D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665 (17.2) </w:t>
            </w:r>
          </w:p>
        </w:tc>
        <w:tc>
          <w:tcPr>
            <w:tcW w:w="1453" w:type="dxa"/>
            <w:vAlign w:val="center"/>
          </w:tcPr>
          <w:p w14:paraId="35A97974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</w:tr>
      <w:tr w:rsidR="00A966AA" w14:paraId="44932174" w14:textId="5BD50555" w:rsidTr="00A966AA">
        <w:trPr>
          <w:trHeight w:val="371"/>
        </w:trPr>
        <w:tc>
          <w:tcPr>
            <w:tcW w:w="3436" w:type="dxa"/>
            <w:vAlign w:val="center"/>
          </w:tcPr>
          <w:p w14:paraId="40526B8C" w14:textId="65BC0B12" w:rsidR="00A966AA" w:rsidRPr="00A966AA" w:rsidRDefault="00A966AA" w:rsidP="00A966AA">
            <w:pPr>
              <w:ind w:firstLineChars="100" w:firstLine="220"/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Style w:val="normaltextrun"/>
                <w:rFonts w:cs="Times New Roman"/>
                <w:color w:val="000000" w:themeColor="text1"/>
                <w:sz w:val="22"/>
              </w:rPr>
              <w:t>High-risk</w:t>
            </w:r>
          </w:p>
        </w:tc>
        <w:tc>
          <w:tcPr>
            <w:tcW w:w="1680" w:type="dxa"/>
            <w:vAlign w:val="center"/>
          </w:tcPr>
          <w:p w14:paraId="34F4B7E5" w14:textId="6EF66A95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849 (13.5) </w:t>
            </w:r>
          </w:p>
        </w:tc>
        <w:tc>
          <w:tcPr>
            <w:tcW w:w="1676" w:type="dxa"/>
            <w:vAlign w:val="center"/>
          </w:tcPr>
          <w:p w14:paraId="2B3FA475" w14:textId="7E63C159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789 (24.3) </w:t>
            </w:r>
          </w:p>
        </w:tc>
        <w:tc>
          <w:tcPr>
            <w:tcW w:w="1532" w:type="dxa"/>
            <w:vAlign w:val="center"/>
          </w:tcPr>
          <w:p w14:paraId="4394F54B" w14:textId="77EF2681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  <w:r w:rsidRPr="00A966AA">
              <w:rPr>
                <w:rFonts w:cs="Times New Roman"/>
                <w:sz w:val="22"/>
              </w:rPr>
              <w:t xml:space="preserve">60 (1.7) </w:t>
            </w:r>
          </w:p>
        </w:tc>
        <w:tc>
          <w:tcPr>
            <w:tcW w:w="1453" w:type="dxa"/>
            <w:vAlign w:val="center"/>
          </w:tcPr>
          <w:p w14:paraId="163A8564" w14:textId="77777777" w:rsidR="00A966AA" w:rsidRPr="00A966AA" w:rsidRDefault="00A966AA" w:rsidP="00A966AA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</w:tr>
    </w:tbl>
    <w:p w14:paraId="5B77257F" w14:textId="77777777" w:rsidR="00210C7C" w:rsidRPr="00012846" w:rsidRDefault="001A26B8" w:rsidP="00210C7C">
      <w:pPr>
        <w:contextualSpacing/>
        <w:rPr>
          <w:rFonts w:cs="Times New Roman"/>
          <w:sz w:val="22"/>
        </w:rPr>
      </w:pPr>
      <w:proofErr w:type="spellStart"/>
      <w:r w:rsidRPr="00012846">
        <w:rPr>
          <w:rFonts w:cs="Times New Roman"/>
          <w:sz w:val="22"/>
          <w:vertAlign w:val="superscript"/>
        </w:rPr>
        <w:t>a</w:t>
      </w:r>
      <w:r w:rsidRPr="00012846">
        <w:rPr>
          <w:rFonts w:cs="Times New Roman"/>
          <w:sz w:val="22"/>
        </w:rPr>
        <w:t>Individuals</w:t>
      </w:r>
      <w:proofErr w:type="spellEnd"/>
      <w:r w:rsidRPr="00012846">
        <w:rPr>
          <w:rFonts w:cs="Times New Roman"/>
          <w:sz w:val="22"/>
        </w:rPr>
        <w:t xml:space="preserve"> with an intermediate risk of OSA (STOP-Bang score of 3–4) are classified as high-ris</w:t>
      </w:r>
      <w:bookmarkStart w:id="1" w:name="_GoBack"/>
      <w:bookmarkEnd w:id="1"/>
      <w:r w:rsidRPr="00012846">
        <w:rPr>
          <w:rFonts w:cs="Times New Roman"/>
          <w:sz w:val="22"/>
        </w:rPr>
        <w:t>k if they meet any of the following three combinations: (1) a STOP score ≥2 and a BMI &gt;35 kg/m</w:t>
      </w:r>
      <w:r w:rsidRPr="00012846">
        <w:rPr>
          <w:rFonts w:cs="Times New Roman"/>
          <w:sz w:val="22"/>
          <w:vertAlign w:val="superscript"/>
        </w:rPr>
        <w:t>2</w:t>
      </w:r>
      <w:r w:rsidRPr="00012846">
        <w:rPr>
          <w:rFonts w:cs="Times New Roman"/>
          <w:sz w:val="22"/>
        </w:rPr>
        <w:t xml:space="preserve">, (2) a STOP score ≥2 and a neck circumference &gt;40 cm, and (3) a STOP score ≥2 and male sex. </w:t>
      </w:r>
    </w:p>
    <w:p w14:paraId="04E6687C" w14:textId="77777777" w:rsidR="00210C7C" w:rsidRDefault="001A26B8" w:rsidP="00210C7C">
      <w:pPr>
        <w:contextualSpacing/>
        <w:rPr>
          <w:rFonts w:cs="Times New Roman"/>
          <w:sz w:val="22"/>
        </w:rPr>
      </w:pPr>
      <w:proofErr w:type="spellStart"/>
      <w:r w:rsidRPr="00012846">
        <w:rPr>
          <w:rFonts w:cs="Times New Roman"/>
          <w:sz w:val="22"/>
          <w:vertAlign w:val="superscript"/>
        </w:rPr>
        <w:t>b</w:t>
      </w:r>
      <w:r w:rsidRPr="00012846">
        <w:rPr>
          <w:rFonts w:cs="Times New Roman"/>
          <w:sz w:val="22"/>
        </w:rPr>
        <w:t>Modified</w:t>
      </w:r>
      <w:proofErr w:type="spellEnd"/>
      <w:r w:rsidRPr="00012846">
        <w:rPr>
          <w:rFonts w:cs="Times New Roman"/>
          <w:sz w:val="22"/>
        </w:rPr>
        <w:t xml:space="preserve"> cut-off for BMI (&gt;30 kg/m</w:t>
      </w:r>
      <w:r w:rsidRPr="00012846">
        <w:rPr>
          <w:rFonts w:cs="Times New Roman"/>
          <w:sz w:val="22"/>
          <w:vertAlign w:val="superscript"/>
        </w:rPr>
        <w:t>2</w:t>
      </w:r>
      <w:r w:rsidRPr="00012846">
        <w:rPr>
          <w:rFonts w:cs="Times New Roman"/>
          <w:sz w:val="22"/>
        </w:rPr>
        <w:t>) and neck circumference (&gt;36.3 cm) are used.</w:t>
      </w:r>
    </w:p>
    <w:p w14:paraId="16430D61" w14:textId="77777777" w:rsidR="00210C7C" w:rsidRPr="00012846" w:rsidRDefault="001A26B8" w:rsidP="00210C7C">
      <w:pPr>
        <w:contextualSpacing/>
        <w:rPr>
          <w:rFonts w:cs="Times New Roman"/>
          <w:sz w:val="22"/>
        </w:rPr>
      </w:pPr>
      <w:r w:rsidRPr="0E7A2489">
        <w:rPr>
          <w:rFonts w:cs="Times New Roman"/>
          <w:sz w:val="22"/>
        </w:rPr>
        <w:t>Abbreviation: STOP-Bang, snoring, tiredness, observed apnea, hypertension, body mass index, age, neck circumference, and gender</w:t>
      </w:r>
      <w:r>
        <w:rPr>
          <w:rFonts w:cs="Times New Roman"/>
          <w:sz w:val="22"/>
        </w:rPr>
        <w:t xml:space="preserve">; </w:t>
      </w:r>
      <w:r w:rsidRPr="00012846">
        <w:rPr>
          <w:rFonts w:cs="Times New Roman"/>
          <w:sz w:val="22"/>
        </w:rPr>
        <w:t>STOP, snoring, tiredness, observed apnea, hypertension</w:t>
      </w:r>
      <w:r>
        <w:rPr>
          <w:rFonts w:cs="Times New Roman"/>
          <w:sz w:val="22"/>
        </w:rPr>
        <w:t xml:space="preserve">; </w:t>
      </w:r>
      <w:r w:rsidRPr="006B3D29">
        <w:rPr>
          <w:rFonts w:cs="Times New Roman"/>
          <w:sz w:val="22"/>
        </w:rPr>
        <w:t xml:space="preserve">OSA, obstructive sleep apnea; </w:t>
      </w:r>
      <w:r>
        <w:rPr>
          <w:rFonts w:cs="Times New Roman"/>
          <w:sz w:val="22"/>
        </w:rPr>
        <w:t>BMI, body mass index.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6cex:commentExtensible w16cex:durableId="25B03B04" w16cex:dateUtc="2024-01-11T07:18:00Z"/>
  <w16cex:commentExtensible w16cex:durableId="26E2D5E6" w16cex:dateUtc="2024-01-10T11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C13BC" w14:textId="77777777" w:rsidR="001A26B8" w:rsidRDefault="001A26B8">
      <w:pPr>
        <w:spacing w:before="0" w:after="0"/>
      </w:pPr>
      <w:r>
        <w:separator/>
      </w:r>
    </w:p>
  </w:endnote>
  <w:endnote w:type="continuationSeparator" w:id="0">
    <w:p w14:paraId="42380510" w14:textId="77777777" w:rsidR="001A26B8" w:rsidRDefault="001A26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F64F4B" w:rsidRPr="00577C4C" w:rsidRDefault="001A26B8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6A0779" wp14:editId="19AD86B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149B09" w14:textId="77777777" w:rsidR="00F64F4B" w:rsidRPr="00577C4C" w:rsidRDefault="001A26B8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33149B09" w14:textId="77777777" w:rsidR="00F64F4B" w:rsidRPr="00577C4C" w:rsidRDefault="001A26B8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F64F4B" w:rsidRPr="00577C4C" w:rsidRDefault="001A26B8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1631E9" wp14:editId="3B85952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AFF72E" w14:textId="77777777" w:rsidR="00F64F4B" w:rsidRPr="00577C4C" w:rsidRDefault="001A26B8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8AFF72E" w14:textId="77777777" w:rsidR="00F64F4B" w:rsidRPr="00577C4C" w:rsidRDefault="001A26B8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D522A" w14:textId="77777777" w:rsidR="001A26B8" w:rsidRDefault="001A26B8">
      <w:pPr>
        <w:spacing w:before="0" w:after="0"/>
      </w:pPr>
      <w:r>
        <w:separator/>
      </w:r>
    </w:p>
  </w:footnote>
  <w:footnote w:type="continuationSeparator" w:id="0">
    <w:p w14:paraId="5C37F3BB" w14:textId="77777777" w:rsidR="001A26B8" w:rsidRDefault="001A26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F64F4B" w:rsidRPr="009151AA" w:rsidRDefault="001A26B8">
    <w:pPr>
      <w:rPr>
        <w:rFonts w:cs="Times New Roman"/>
      </w:rPr>
    </w:pPr>
    <w:r>
      <w:ptab w:relativeTo="margin" w:alignment="center" w:leader="none"/>
    </w:r>
    <w: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F64F4B" w:rsidRDefault="001A26B8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EB7ED63" wp14:editId="411A97E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F1760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A0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07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CD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CE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86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AF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628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0F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0EDA041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4B050B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B308D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EA78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3FC06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9AFA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7210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943A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190C2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AE3A6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48BAE" w:tentative="1">
      <w:start w:val="1"/>
      <w:numFmt w:val="lowerLetter"/>
      <w:lvlText w:val="%2."/>
      <w:lvlJc w:val="left"/>
      <w:pPr>
        <w:ind w:left="1440" w:hanging="360"/>
      </w:pPr>
    </w:lvl>
    <w:lvl w:ilvl="2" w:tplc="10CEF95C" w:tentative="1">
      <w:start w:val="1"/>
      <w:numFmt w:val="lowerRoman"/>
      <w:lvlText w:val="%3."/>
      <w:lvlJc w:val="right"/>
      <w:pPr>
        <w:ind w:left="2160" w:hanging="180"/>
      </w:pPr>
    </w:lvl>
    <w:lvl w:ilvl="3" w:tplc="05BC576A" w:tentative="1">
      <w:start w:val="1"/>
      <w:numFmt w:val="decimal"/>
      <w:lvlText w:val="%4."/>
      <w:lvlJc w:val="left"/>
      <w:pPr>
        <w:ind w:left="2880" w:hanging="360"/>
      </w:pPr>
    </w:lvl>
    <w:lvl w:ilvl="4" w:tplc="EB74455A" w:tentative="1">
      <w:start w:val="1"/>
      <w:numFmt w:val="lowerLetter"/>
      <w:lvlText w:val="%5."/>
      <w:lvlJc w:val="left"/>
      <w:pPr>
        <w:ind w:left="3600" w:hanging="360"/>
      </w:pPr>
    </w:lvl>
    <w:lvl w:ilvl="5" w:tplc="F61EA146" w:tentative="1">
      <w:start w:val="1"/>
      <w:numFmt w:val="lowerRoman"/>
      <w:lvlText w:val="%6."/>
      <w:lvlJc w:val="right"/>
      <w:pPr>
        <w:ind w:left="4320" w:hanging="180"/>
      </w:pPr>
    </w:lvl>
    <w:lvl w:ilvl="6" w:tplc="9274E9F4" w:tentative="1">
      <w:start w:val="1"/>
      <w:numFmt w:val="decimal"/>
      <w:lvlText w:val="%7."/>
      <w:lvlJc w:val="left"/>
      <w:pPr>
        <w:ind w:left="5040" w:hanging="360"/>
      </w:pPr>
    </w:lvl>
    <w:lvl w:ilvl="7" w:tplc="FB86F3EE" w:tentative="1">
      <w:start w:val="1"/>
      <w:numFmt w:val="lowerLetter"/>
      <w:lvlText w:val="%8."/>
      <w:lvlJc w:val="left"/>
      <w:pPr>
        <w:ind w:left="5760" w:hanging="360"/>
      </w:pPr>
    </w:lvl>
    <w:lvl w:ilvl="8" w:tplc="B9208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63BA3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86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109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08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E7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5C0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CC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6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61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2846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62029"/>
    <w:rsid w:val="00177D84"/>
    <w:rsid w:val="001A26B8"/>
    <w:rsid w:val="001A4BAC"/>
    <w:rsid w:val="001B23ED"/>
    <w:rsid w:val="00210C7C"/>
    <w:rsid w:val="002571D0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271E0"/>
    <w:rsid w:val="00447801"/>
    <w:rsid w:val="00452E9C"/>
    <w:rsid w:val="004735C8"/>
    <w:rsid w:val="00480B90"/>
    <w:rsid w:val="004961FF"/>
    <w:rsid w:val="00517A89"/>
    <w:rsid w:val="005250F2"/>
    <w:rsid w:val="00531FC8"/>
    <w:rsid w:val="00577C4C"/>
    <w:rsid w:val="00593EEA"/>
    <w:rsid w:val="005A5EEE"/>
    <w:rsid w:val="00613BE9"/>
    <w:rsid w:val="006375C7"/>
    <w:rsid w:val="00654E8F"/>
    <w:rsid w:val="00660D05"/>
    <w:rsid w:val="006820B1"/>
    <w:rsid w:val="006B3D29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0F39"/>
    <w:rsid w:val="00A174D9"/>
    <w:rsid w:val="00A569CD"/>
    <w:rsid w:val="00A966AA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31691"/>
    <w:rsid w:val="00E52377"/>
    <w:rsid w:val="00E64E17"/>
    <w:rsid w:val="00E866C9"/>
    <w:rsid w:val="00EA3D3C"/>
    <w:rsid w:val="00F46900"/>
    <w:rsid w:val="00F61D89"/>
    <w:rsid w:val="00F64F4B"/>
    <w:rsid w:val="00FB5359"/>
    <w:rsid w:val="0E7A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Abstract,Keywords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1"/>
    <w:rsid w:val="00210C7C"/>
  </w:style>
  <w:style w:type="character" w:customStyle="1" w:styleId="eop">
    <w:name w:val="eop"/>
    <w:basedOn w:val="a1"/>
    <w:rsid w:val="00210C7C"/>
  </w:style>
  <w:style w:type="character" w:styleId="aff">
    <w:name w:val="Unresolved Mention"/>
    <w:basedOn w:val="a1"/>
    <w:uiPriority w:val="99"/>
    <w:semiHidden/>
    <w:unhideWhenUsed/>
    <w:rsid w:val="00210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970c08f3-bdc0-46be-888b-e62464d9f78c"/>
    <ds:schemaRef ds:uri="http://purl.org/dc/elements/1.1/"/>
    <ds:schemaRef ds:uri="http://www.w3.org/XML/1998/namespace"/>
    <ds:schemaRef ds:uri="http://schemas.openxmlformats.org/package/2006/metadata/core-properties"/>
    <ds:schemaRef ds:uri="26005759-6815-4540-b8ea-913958d74f2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A0D894-4861-49A5-9027-E4AFC566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MED(내과)_계정</cp:lastModifiedBy>
  <cp:revision>8</cp:revision>
  <cp:lastPrinted>2013-10-03T12:51:00Z</cp:lastPrinted>
  <dcterms:created xsi:type="dcterms:W3CDTF">2022-11-17T16:58:00Z</dcterms:created>
  <dcterms:modified xsi:type="dcterms:W3CDTF">2024-07-15T07:32:00Z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0x01010026445AF306EBB441B7A6158762C40D43</vt:lpwstr>
  </property>
  <property fmtid="{D5CDD505-2E9C-101B-9397-08002B2CF9AE}" pid="4" name="MediaServiceImageTags">
    <vt:lpwstr/>
  </property>
  <property fmtid="{D5CDD505-2E9C-101B-9397-08002B2CF9AE}" pid="5" name="Order">
    <vt:r8>1011900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dlc_DocIdItemGuid">
    <vt:lpwstr>f82bb101-9b00-462e-af01-9a0e7ec06274</vt:lpwstr>
  </property>
</Properties>
</file>