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5BAA8" w14:textId="6FC6C1A1" w:rsidR="00806F79" w:rsidRDefault="00806F79" w:rsidP="00806F7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06F7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Supplementary material </w:t>
      </w:r>
    </w:p>
    <w:p w14:paraId="36FF2E68" w14:textId="77777777" w:rsidR="00806F79" w:rsidRPr="00806F79" w:rsidRDefault="00806F79" w:rsidP="00806F7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030D504" w14:textId="77777777" w:rsidR="00806F79" w:rsidRPr="003C124E" w:rsidRDefault="00806F79" w:rsidP="00806F79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3C124E">
        <w:rPr>
          <w:rFonts w:ascii="Times New Roman" w:hAnsi="Times New Roman" w:cs="Times New Roman"/>
          <w:b/>
          <w:bCs/>
          <w:color w:val="212121"/>
          <w:shd w:val="clear" w:color="auto" w:fill="FFFFFF"/>
          <w:lang w:val="en-US"/>
        </w:rPr>
        <w:t xml:space="preserve">The effect of exercise and disease status on mobilization of anti-tumorigenic and pro-tumorigenic immune cells in </w:t>
      </w:r>
      <w:r>
        <w:rPr>
          <w:rFonts w:ascii="Times New Roman" w:hAnsi="Times New Roman" w:cs="Times New Roman"/>
          <w:b/>
          <w:bCs/>
          <w:color w:val="212121"/>
          <w:shd w:val="clear" w:color="auto" w:fill="FFFFFF"/>
          <w:lang w:val="en-US"/>
        </w:rPr>
        <w:t xml:space="preserve">women with </w:t>
      </w:r>
      <w:r w:rsidRPr="003C124E">
        <w:rPr>
          <w:rFonts w:ascii="Times New Roman" w:hAnsi="Times New Roman" w:cs="Times New Roman"/>
          <w:b/>
          <w:bCs/>
          <w:color w:val="212121"/>
          <w:shd w:val="clear" w:color="auto" w:fill="FFFFFF"/>
          <w:lang w:val="en-US"/>
        </w:rPr>
        <w:t>breast cancer</w:t>
      </w:r>
    </w:p>
    <w:p w14:paraId="1C68E5D5" w14:textId="77777777" w:rsidR="00806F79" w:rsidRPr="00FA588E" w:rsidRDefault="00806F79" w:rsidP="00806F79">
      <w:pPr>
        <w:rPr>
          <w:lang w:val="en-US"/>
        </w:rPr>
      </w:pPr>
    </w:p>
    <w:p w14:paraId="63EC0C2E" w14:textId="651B0139" w:rsidR="00B36110" w:rsidRPr="00806F79" w:rsidRDefault="00806F79" w:rsidP="00806F79">
      <w:pPr>
        <w:spacing w:line="360" w:lineRule="auto"/>
        <w:rPr>
          <w:rFonts w:ascii="Times New Roman" w:hAnsi="Times New Roman" w:cs="Times New Roman"/>
        </w:rPr>
      </w:pPr>
      <w:r w:rsidRPr="00E96B5E">
        <w:rPr>
          <w:rFonts w:ascii="Times New Roman" w:hAnsi="Times New Roman" w:cs="Times New Roman"/>
        </w:rPr>
        <w:t>Tiia Koivula, Salla L</w:t>
      </w:r>
      <w:r>
        <w:rPr>
          <w:rFonts w:ascii="Times New Roman" w:hAnsi="Times New Roman" w:cs="Times New Roman"/>
        </w:rPr>
        <w:t>empiäinen, Joona Neuvonen, Jooa Norha, Maija Hollmén, Carl Johan Sundberg, Helene Rundqvist, Heikki Minn, Petteri Rinne, Ilkka Heinonen</w:t>
      </w:r>
    </w:p>
    <w:p w14:paraId="5AE158E7" w14:textId="77777777" w:rsidR="00AA5590" w:rsidRDefault="00AA5590"/>
    <w:p w14:paraId="6A371D48" w14:textId="113373F4" w:rsidR="00AA5590" w:rsidRPr="00806F79" w:rsidRDefault="00AA5590">
      <w:pPr>
        <w:rPr>
          <w:rFonts w:ascii="Times New Roman" w:hAnsi="Times New Roman" w:cs="Times New Roman"/>
          <w:b/>
          <w:bCs/>
          <w:lang w:val="en-US"/>
        </w:rPr>
      </w:pPr>
      <w:r w:rsidRPr="00806F79">
        <w:rPr>
          <w:rFonts w:ascii="Times New Roman" w:hAnsi="Times New Roman" w:cs="Times New Roman"/>
          <w:b/>
          <w:bCs/>
          <w:lang w:val="en-US"/>
        </w:rPr>
        <w:t>Results</w:t>
      </w:r>
    </w:p>
    <w:p w14:paraId="2024B240" w14:textId="77777777" w:rsidR="00AA5590" w:rsidRPr="00806F79" w:rsidRDefault="00AA5590">
      <w:pPr>
        <w:rPr>
          <w:lang w:val="en-US"/>
        </w:rPr>
      </w:pPr>
    </w:p>
    <w:p w14:paraId="22C258F6" w14:textId="77777777" w:rsidR="00AA5590" w:rsidRPr="00BE4CB1" w:rsidRDefault="00AA5590" w:rsidP="00336446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 w:rsidRPr="00BE4CB1">
        <w:rPr>
          <w:rFonts w:ascii="Times New Roman" w:hAnsi="Times New Roman" w:cs="Times New Roman"/>
          <w:b/>
          <w:bCs/>
          <w:i/>
          <w:iCs/>
          <w:lang w:val="en-US"/>
        </w:rPr>
        <w:t>Correlations between exercise intensity and immune cell mobilization</w:t>
      </w:r>
    </w:p>
    <w:p w14:paraId="14DBA060" w14:textId="581C044E" w:rsidR="00AA5590" w:rsidRPr="0011469D" w:rsidRDefault="00AA5590" w:rsidP="0033644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E4CB1">
        <w:rPr>
          <w:rFonts w:ascii="Times New Roman" w:hAnsi="Times New Roman" w:cs="Times New Roman"/>
          <w:lang w:val="en-US"/>
        </w:rPr>
        <w:t xml:space="preserve">Correlations between exercise intensity and </w:t>
      </w:r>
      <w:r>
        <w:rPr>
          <w:rFonts w:ascii="Times New Roman" w:hAnsi="Times New Roman" w:cs="Times New Roman"/>
          <w:lang w:val="en-US"/>
        </w:rPr>
        <w:t xml:space="preserve">the </w:t>
      </w:r>
      <w:r w:rsidRPr="00F9266E">
        <w:rPr>
          <w:rFonts w:ascii="Times New Roman" w:hAnsi="Times New Roman" w:cs="Times New Roman"/>
          <w:lang w:val="en-US"/>
        </w:rPr>
        <w:t xml:space="preserve">immune cell mobilization are presented in Tables </w:t>
      </w:r>
      <w:r w:rsidR="00B36110">
        <w:rPr>
          <w:rFonts w:ascii="Times New Roman" w:hAnsi="Times New Roman" w:cs="Times New Roman"/>
          <w:lang w:val="en-US"/>
        </w:rPr>
        <w:t>1</w:t>
      </w:r>
      <w:r w:rsidRPr="00F9266E">
        <w:rPr>
          <w:rFonts w:ascii="Times New Roman" w:hAnsi="Times New Roman" w:cs="Times New Roman"/>
          <w:lang w:val="en-US"/>
        </w:rPr>
        <w:t xml:space="preserve"> and </w:t>
      </w:r>
      <w:r w:rsidR="00B36110">
        <w:rPr>
          <w:rFonts w:ascii="Times New Roman" w:hAnsi="Times New Roman" w:cs="Times New Roman"/>
          <w:lang w:val="en-US"/>
        </w:rPr>
        <w:t>2</w:t>
      </w:r>
      <w:r w:rsidRPr="00F9266E">
        <w:rPr>
          <w:rFonts w:ascii="Times New Roman" w:hAnsi="Times New Roman" w:cs="Times New Roman"/>
          <w:lang w:val="en-US"/>
        </w:rPr>
        <w:t xml:space="preserve"> for E15 and E30, respectively.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 xml:space="preserve"> Heart rate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(HR)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>, heart rate percentage of age-predicted maximal heart rate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(HR% of HRmax)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>, and energy expenditure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(EE)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 xml:space="preserve"> at E15 correlated positively with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the 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>change in basophils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, total 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>monocytes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>and CD14</w:t>
      </w:r>
      <w:r w:rsidRPr="00BE4CB1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-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>CD16</w:t>
      </w:r>
      <w:r w:rsidRPr="00BE4CB1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+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 xml:space="preserve"> monocytes. </w:t>
      </w:r>
      <w:r>
        <w:rPr>
          <w:rFonts w:ascii="Times New Roman" w:hAnsi="Times New Roman" w:cs="Times New Roman"/>
          <w:color w:val="000000" w:themeColor="text1"/>
          <w:lang w:val="en-US"/>
        </w:rPr>
        <w:t>Further, mean arterial pressure (MAP) correlated positively with the change in CD16</w:t>
      </w:r>
      <w:r w:rsidRPr="00205D48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NK cells. 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 xml:space="preserve">(Table </w:t>
      </w:r>
      <w:r w:rsidR="00B36110">
        <w:rPr>
          <w:rFonts w:ascii="Times New Roman" w:hAnsi="Times New Roman" w:cs="Times New Roman"/>
          <w:color w:val="000000" w:themeColor="text1"/>
          <w:lang w:val="en-US"/>
        </w:rPr>
        <w:t>1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>)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F9266E">
        <w:rPr>
          <w:rFonts w:ascii="Times New Roman" w:hAnsi="Times New Roman" w:cs="Times New Roman"/>
          <w:lang w:val="en-US"/>
        </w:rPr>
        <w:t xml:space="preserve">At E30, </w:t>
      </w:r>
      <w:r>
        <w:rPr>
          <w:rFonts w:ascii="Times New Roman" w:hAnsi="Times New Roman" w:cs="Times New Roman"/>
          <w:lang w:val="en-US"/>
        </w:rPr>
        <w:t>HR</w:t>
      </w:r>
      <w:r w:rsidRPr="00F9266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and </w:t>
      </w:r>
      <w:r>
        <w:rPr>
          <w:rFonts w:ascii="Times New Roman" w:hAnsi="Times New Roman" w:cs="Times New Roman"/>
          <w:color w:val="000000" w:themeColor="text1"/>
          <w:lang w:val="en-US"/>
        </w:rPr>
        <w:t>HR% of HRmax</w:t>
      </w:r>
      <w:r w:rsidRPr="00F9266E">
        <w:rPr>
          <w:rFonts w:ascii="Times New Roman" w:hAnsi="Times New Roman" w:cs="Times New Roman"/>
          <w:lang w:val="en-US"/>
        </w:rPr>
        <w:t xml:space="preserve"> correlated positively with </w:t>
      </w:r>
      <w:r>
        <w:rPr>
          <w:rFonts w:ascii="Times New Roman" w:hAnsi="Times New Roman" w:cs="Times New Roman"/>
          <w:lang w:val="en-US"/>
        </w:rPr>
        <w:t xml:space="preserve">the </w:t>
      </w:r>
      <w:r w:rsidRPr="00F9266E">
        <w:rPr>
          <w:rFonts w:ascii="Times New Roman" w:hAnsi="Times New Roman" w:cs="Times New Roman"/>
          <w:lang w:val="en-US"/>
        </w:rPr>
        <w:t>changes in monocytes</w:t>
      </w:r>
      <w:r>
        <w:rPr>
          <w:rFonts w:ascii="Times New Roman" w:hAnsi="Times New Roman" w:cs="Times New Roman"/>
          <w:lang w:val="en-US"/>
        </w:rPr>
        <w:t>. R</w:t>
      </w:r>
      <w:r w:rsidRPr="00B95FCE">
        <w:rPr>
          <w:rFonts w:ascii="Times New Roman" w:hAnsi="Times New Roman" w:cs="Times New Roman"/>
          <w:lang w:val="en-US"/>
        </w:rPr>
        <w:t>ate pressure product</w:t>
      </w:r>
      <w:r>
        <w:rPr>
          <w:rFonts w:ascii="Times New Roman" w:hAnsi="Times New Roman" w:cs="Times New Roman"/>
          <w:lang w:val="en-US"/>
        </w:rPr>
        <w:t xml:space="preserve"> at E30 correlated positively with the </w:t>
      </w:r>
      <w:r w:rsidRPr="00B95FCE">
        <w:rPr>
          <w:rFonts w:ascii="Times New Roman" w:hAnsi="Times New Roman" w:cs="Times New Roman"/>
          <w:lang w:val="en-US"/>
        </w:rPr>
        <w:t>lymphocyte and basophil mobilization</w:t>
      </w:r>
      <w:r>
        <w:rPr>
          <w:rFonts w:ascii="Times New Roman" w:hAnsi="Times New Roman" w:cs="Times New Roman"/>
          <w:lang w:val="en-US"/>
        </w:rPr>
        <w:t>. MAP at E30 correlated positively with the change in basophils. Additionally</w:t>
      </w:r>
      <w:r>
        <w:rPr>
          <w:rFonts w:ascii="Times New Roman" w:hAnsi="Times New Roman" w:cs="Times New Roman"/>
          <w:color w:val="000000" w:themeColor="text1"/>
          <w:lang w:val="en-US"/>
        </w:rPr>
        <w:t>, l</w:t>
      </w:r>
      <w:r w:rsidRPr="00B95FCE">
        <w:rPr>
          <w:rFonts w:ascii="Times New Roman" w:hAnsi="Times New Roman" w:cs="Times New Roman"/>
          <w:color w:val="000000" w:themeColor="text1"/>
          <w:lang w:val="en-US"/>
        </w:rPr>
        <w:t xml:space="preserve">actate concentration at E30 correlated positively with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the </w:t>
      </w:r>
      <w:r w:rsidRPr="00B95FCE">
        <w:rPr>
          <w:rFonts w:ascii="Times New Roman" w:hAnsi="Times New Roman" w:cs="Times New Roman"/>
          <w:color w:val="000000" w:themeColor="text1"/>
          <w:lang w:val="en-US"/>
        </w:rPr>
        <w:t>change in lymphocytes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B95FCE">
        <w:rPr>
          <w:rFonts w:ascii="Times New Roman" w:hAnsi="Times New Roman" w:cs="Times New Roman"/>
          <w:color w:val="000000" w:themeColor="text1"/>
          <w:lang w:val="en-US"/>
        </w:rPr>
        <w:t>and CD16</w:t>
      </w:r>
      <w:r w:rsidRPr="00B95FCE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+</w:t>
      </w:r>
      <w:r w:rsidRPr="00B95FCE">
        <w:rPr>
          <w:rFonts w:ascii="Times New Roman" w:hAnsi="Times New Roman" w:cs="Times New Roman"/>
          <w:color w:val="000000" w:themeColor="text1"/>
          <w:lang w:val="en-US"/>
        </w:rPr>
        <w:t xml:space="preserve"> NK cells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B95FCE">
        <w:rPr>
          <w:rFonts w:ascii="Times New Roman" w:hAnsi="Times New Roman" w:cs="Times New Roman"/>
          <w:color w:val="000000" w:themeColor="text1"/>
          <w:lang w:val="en-US"/>
        </w:rPr>
        <w:t xml:space="preserve">(Table </w:t>
      </w:r>
      <w:r w:rsidR="00B36110">
        <w:rPr>
          <w:rFonts w:ascii="Times New Roman" w:hAnsi="Times New Roman" w:cs="Times New Roman"/>
          <w:color w:val="000000" w:themeColor="text1"/>
          <w:lang w:val="en-US"/>
        </w:rPr>
        <w:t>2</w:t>
      </w:r>
      <w:r w:rsidRPr="00B95FCE">
        <w:rPr>
          <w:rFonts w:ascii="Times New Roman" w:hAnsi="Times New Roman" w:cs="Times New Roman"/>
          <w:color w:val="000000" w:themeColor="text1"/>
          <w:lang w:val="en-US"/>
        </w:rPr>
        <w:t>)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We also did sensitivity analyses for the data, after which the correlation between lactate concentration and the change in CD16</w:t>
      </w:r>
      <w:r w:rsidRPr="0074254B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+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NK cells strengthened to r=0,8020 (p&lt;0,0001). In addition correlation between lactate concentration at E30 and the change in total NK cells turned significant (r=0.7668, p=0.0002). </w:t>
      </w:r>
      <w:r>
        <w:rPr>
          <w:rFonts w:ascii="Times New Roman" w:hAnsi="Times New Roman" w:cs="Times New Roman"/>
          <w:color w:val="212121"/>
          <w:shd w:val="clear" w:color="auto" w:fill="FFFFFF"/>
          <w:lang w:val="en-US"/>
        </w:rPr>
        <w:t>When</w:t>
      </w:r>
      <w:r w:rsidRPr="00EE38F2">
        <w:rPr>
          <w:rFonts w:ascii="Times New Roman" w:hAnsi="Times New Roman" w:cs="Times New Roman"/>
          <w:color w:val="212121"/>
          <w:shd w:val="clear" w:color="auto" w:fill="FFFFFF"/>
          <w:lang w:val="en-US"/>
        </w:rPr>
        <w:t xml:space="preserve"> statistical significance level was set to 0.01 to take into account the large number of tests</w:t>
      </w:r>
      <w:r w:rsidRPr="00EE38F2">
        <w:rPr>
          <w:rFonts w:ascii="Times New Roman" w:hAnsi="Times New Roman" w:cs="Times New Roman"/>
          <w:color w:val="000000" w:themeColor="text1"/>
          <w:lang w:val="en-US"/>
        </w:rPr>
        <w:t>,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correlations between </w:t>
      </w:r>
      <w:r>
        <w:rPr>
          <w:rFonts w:ascii="Times New Roman" w:hAnsi="Times New Roman" w:cs="Times New Roman"/>
          <w:lang w:val="en-US"/>
        </w:rPr>
        <w:t>HR</w:t>
      </w:r>
      <w:r w:rsidRPr="00F9266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and </w:t>
      </w:r>
      <w:r>
        <w:rPr>
          <w:rFonts w:ascii="Times New Roman" w:hAnsi="Times New Roman" w:cs="Times New Roman"/>
          <w:color w:val="000000" w:themeColor="text1"/>
          <w:lang w:val="en-US"/>
        </w:rPr>
        <w:t>HR% of HRmax</w:t>
      </w:r>
      <w:r w:rsidRPr="00F9266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at E15 and the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change in total and 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>CD14</w:t>
      </w:r>
      <w:r w:rsidRPr="00BE4CB1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-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>CD16</w:t>
      </w:r>
      <w:r w:rsidRPr="00BE4CB1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+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 xml:space="preserve"> monocytes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, and between EE at E15 and 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>CD14</w:t>
      </w:r>
      <w:r w:rsidRPr="00BE4CB1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-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>CD16</w:t>
      </w:r>
      <w:r w:rsidRPr="00BE4CB1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+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 xml:space="preserve"> monocytes</w:t>
      </w:r>
      <w:r>
        <w:rPr>
          <w:rFonts w:ascii="Times New Roman" w:hAnsi="Times New Roman" w:cs="Times New Roman"/>
          <w:color w:val="000000" w:themeColor="text1"/>
          <w:lang w:val="en-US"/>
        </w:rPr>
        <w:t>, and between MAP at E30 and basophil mobilization, and between lactate concentration at E30 and total and CD16</w:t>
      </w:r>
      <w:r w:rsidRPr="006B553A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+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NK cell mobilization remained significant. </w:t>
      </w:r>
    </w:p>
    <w:p w14:paraId="190388F2" w14:textId="77777777" w:rsidR="00AA5590" w:rsidRPr="00806F79" w:rsidRDefault="00AA5590" w:rsidP="00336446">
      <w:pPr>
        <w:jc w:val="both"/>
        <w:rPr>
          <w:lang w:val="en-US"/>
        </w:rPr>
      </w:pPr>
    </w:p>
    <w:p w14:paraId="79F0B7A6" w14:textId="77777777" w:rsidR="00AA5590" w:rsidRPr="00806F79" w:rsidRDefault="00AA5590" w:rsidP="00336446">
      <w:pPr>
        <w:jc w:val="both"/>
        <w:rPr>
          <w:lang w:val="en-US"/>
        </w:rPr>
      </w:pPr>
    </w:p>
    <w:p w14:paraId="4E07BB2A" w14:textId="77777777" w:rsidR="00AA5590" w:rsidRPr="007A5B8D" w:rsidRDefault="00AA5590" w:rsidP="00336446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 w:rsidRPr="00A8436D">
        <w:rPr>
          <w:rFonts w:ascii="Times New Roman" w:hAnsi="Times New Roman" w:cs="Times New Roman"/>
          <w:b/>
          <w:bCs/>
          <w:i/>
          <w:iCs/>
          <w:lang w:val="en-US"/>
        </w:rPr>
        <w:t xml:space="preserve">Correlations between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disease state</w:t>
      </w:r>
      <w:r w:rsidRPr="00A8436D">
        <w:rPr>
          <w:rFonts w:ascii="Times New Roman" w:hAnsi="Times New Roman" w:cs="Times New Roman"/>
          <w:b/>
          <w:bCs/>
          <w:i/>
          <w:iCs/>
          <w:lang w:val="en-US"/>
        </w:rPr>
        <w:t xml:space="preserve"> and immune cell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mobilization </w:t>
      </w:r>
    </w:p>
    <w:p w14:paraId="19A40E1B" w14:textId="1D978B6E" w:rsidR="00AA5590" w:rsidRDefault="00AA5590" w:rsidP="0033644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E4CB1">
        <w:rPr>
          <w:rFonts w:ascii="Times New Roman" w:hAnsi="Times New Roman" w:cs="Times New Roman"/>
          <w:lang w:val="en-US"/>
        </w:rPr>
        <w:t xml:space="preserve">Correlations between </w:t>
      </w:r>
      <w:r>
        <w:rPr>
          <w:rFonts w:ascii="Times New Roman" w:hAnsi="Times New Roman" w:cs="Times New Roman"/>
          <w:lang w:val="en-US"/>
        </w:rPr>
        <w:t>disease status</w:t>
      </w:r>
      <w:r w:rsidRPr="00BE4CB1">
        <w:rPr>
          <w:rFonts w:ascii="Times New Roman" w:hAnsi="Times New Roman" w:cs="Times New Roman"/>
          <w:lang w:val="en-US"/>
        </w:rPr>
        <w:t xml:space="preserve"> and the mobilization of immune cells</w:t>
      </w:r>
      <w:r>
        <w:rPr>
          <w:rFonts w:ascii="Times New Roman" w:hAnsi="Times New Roman" w:cs="Times New Roman"/>
          <w:lang w:val="en-US"/>
        </w:rPr>
        <w:t xml:space="preserve"> at E15 and E30</w:t>
      </w:r>
      <w:r w:rsidRPr="00BE4CB1">
        <w:rPr>
          <w:rFonts w:ascii="Times New Roman" w:hAnsi="Times New Roman" w:cs="Times New Roman"/>
          <w:lang w:val="en-US"/>
        </w:rPr>
        <w:t xml:space="preserve"> are presented in Table</w:t>
      </w:r>
      <w:r>
        <w:rPr>
          <w:rFonts w:ascii="Times New Roman" w:hAnsi="Times New Roman" w:cs="Times New Roman"/>
          <w:lang w:val="en-US"/>
        </w:rPr>
        <w:t>s</w:t>
      </w:r>
      <w:r w:rsidRPr="00BE4CB1">
        <w:rPr>
          <w:rFonts w:ascii="Times New Roman" w:hAnsi="Times New Roman" w:cs="Times New Roman"/>
          <w:lang w:val="en-US"/>
        </w:rPr>
        <w:t xml:space="preserve"> </w:t>
      </w:r>
      <w:r w:rsidR="00B36110">
        <w:rPr>
          <w:rFonts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and </w:t>
      </w:r>
      <w:r w:rsidR="00B36110">
        <w:rPr>
          <w:rFonts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  <w:lang w:val="en-US"/>
        </w:rPr>
        <w:t>, respectively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lang w:val="en-US"/>
        </w:rPr>
        <w:t>C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>ancer</w:t>
      </w:r>
      <w:r w:rsidRPr="00BE4CB1">
        <w:rPr>
          <w:rFonts w:ascii="Times New Roman" w:hAnsi="Times New Roman" w:cs="Times New Roman"/>
          <w:lang w:val="en-US"/>
        </w:rPr>
        <w:t xml:space="preserve"> grade correlated positively with </w:t>
      </w:r>
      <w:r>
        <w:rPr>
          <w:rFonts w:ascii="Times New Roman" w:hAnsi="Times New Roman" w:cs="Times New Roman"/>
          <w:lang w:val="en-US"/>
        </w:rPr>
        <w:t xml:space="preserve">the </w:t>
      </w:r>
      <w:r w:rsidRPr="00BE4CB1">
        <w:rPr>
          <w:rFonts w:ascii="Times New Roman" w:hAnsi="Times New Roman" w:cs="Times New Roman"/>
          <w:lang w:val="en-US"/>
        </w:rPr>
        <w:t>change in basophil</w:t>
      </w:r>
      <w:r>
        <w:rPr>
          <w:rFonts w:ascii="Times New Roman" w:hAnsi="Times New Roman" w:cs="Times New Roman"/>
          <w:lang w:val="en-US"/>
        </w:rPr>
        <w:t>s at E15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lang w:val="en-US"/>
        </w:rPr>
        <w:t>T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>umor size correlated negatively with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the 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>change in CD4</w:t>
      </w:r>
      <w:r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-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>CD8</w:t>
      </w:r>
      <w:r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-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T cells, 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>total NK cell</w:t>
      </w:r>
      <w:r>
        <w:rPr>
          <w:rFonts w:ascii="Times New Roman" w:hAnsi="Times New Roman" w:cs="Times New Roman"/>
          <w:color w:val="000000" w:themeColor="text1"/>
          <w:lang w:val="en-US"/>
        </w:rPr>
        <w:t>s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 xml:space="preserve"> and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>CD16</w:t>
      </w:r>
      <w:r w:rsidRPr="00BE4CB1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+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 xml:space="preserve"> NK cell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s </w:t>
      </w:r>
      <w:r>
        <w:rPr>
          <w:rFonts w:ascii="Times New Roman" w:hAnsi="Times New Roman" w:cs="Times New Roman"/>
          <w:lang w:val="en-US"/>
        </w:rPr>
        <w:t>at E15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 xml:space="preserve">. Lymph node involvement correlated negatively with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the 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>change in Th17 cell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s </w:t>
      </w:r>
      <w:r>
        <w:rPr>
          <w:rFonts w:ascii="Times New Roman" w:hAnsi="Times New Roman" w:cs="Times New Roman"/>
          <w:lang w:val="en-US"/>
        </w:rPr>
        <w:t>at E15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>. E</w:t>
      </w:r>
      <w:r>
        <w:rPr>
          <w:rFonts w:ascii="Times New Roman" w:hAnsi="Times New Roman" w:cs="Times New Roman"/>
          <w:color w:val="000000" w:themeColor="text1"/>
          <w:lang w:val="en-US"/>
        </w:rPr>
        <w:t>strogen receptor (ER)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 xml:space="preserve"> positivity correlated negatively with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the 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>change in CD8</w:t>
      </w:r>
      <w:r w:rsidRPr="00BE4CB1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+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 xml:space="preserve"> T cell</w:t>
      </w:r>
      <w:r>
        <w:rPr>
          <w:rFonts w:ascii="Times New Roman" w:hAnsi="Times New Roman" w:cs="Times New Roman"/>
          <w:color w:val="000000" w:themeColor="text1"/>
          <w:lang w:val="en-US"/>
        </w:rPr>
        <w:t>s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at E15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 xml:space="preserve">. Progesterone receptor (PR) positivity correlated negatively with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the 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>change in basophil</w:t>
      </w:r>
      <w:r>
        <w:rPr>
          <w:rFonts w:ascii="Times New Roman" w:hAnsi="Times New Roman" w:cs="Times New Roman"/>
          <w:color w:val="000000" w:themeColor="text1"/>
          <w:lang w:val="en-US"/>
        </w:rPr>
        <w:t>s,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 xml:space="preserve"> total T cell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s, 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>and CD8</w:t>
      </w:r>
      <w:r w:rsidRPr="00BE4CB1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+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 xml:space="preserve"> T cell</w:t>
      </w:r>
      <w:r>
        <w:rPr>
          <w:rFonts w:ascii="Times New Roman" w:hAnsi="Times New Roman" w:cs="Times New Roman"/>
          <w:color w:val="000000" w:themeColor="text1"/>
          <w:lang w:val="en-US"/>
        </w:rPr>
        <w:t>s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at E15, and with 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>CD8</w:t>
      </w:r>
      <w:r w:rsidRPr="00BE4CB1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+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 xml:space="preserve"> T cell</w:t>
      </w:r>
      <w:r>
        <w:rPr>
          <w:rFonts w:ascii="Times New Roman" w:hAnsi="Times New Roman" w:cs="Times New Roman"/>
          <w:color w:val="000000" w:themeColor="text1"/>
          <w:lang w:val="en-US"/>
        </w:rPr>
        <w:t>s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at E30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 xml:space="preserve">HER2 </w:t>
      </w:r>
      <w:r>
        <w:rPr>
          <w:rFonts w:ascii="Times New Roman" w:hAnsi="Times New Roman" w:cs="Times New Roman"/>
          <w:color w:val="000000" w:themeColor="text1"/>
          <w:lang w:val="en-US"/>
        </w:rPr>
        <w:t>positivity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 xml:space="preserve"> correlated </w:t>
      </w:r>
      <w:r>
        <w:rPr>
          <w:rFonts w:ascii="Times New Roman" w:hAnsi="Times New Roman" w:cs="Times New Roman"/>
          <w:color w:val="000000" w:themeColor="text1"/>
          <w:lang w:val="en-US"/>
        </w:rPr>
        <w:lastRenderedPageBreak/>
        <w:t>negativel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 xml:space="preserve">y with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the 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>change in total NK cell</w:t>
      </w:r>
      <w:r>
        <w:rPr>
          <w:rFonts w:ascii="Times New Roman" w:hAnsi="Times New Roman" w:cs="Times New Roman"/>
          <w:color w:val="000000" w:themeColor="text1"/>
          <w:lang w:val="en-US"/>
        </w:rPr>
        <w:t>s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 xml:space="preserve"> and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>CD16</w:t>
      </w:r>
      <w:r w:rsidRPr="00BE4CB1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+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 xml:space="preserve"> NK cell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s </w:t>
      </w:r>
      <w:r>
        <w:rPr>
          <w:rFonts w:ascii="Times New Roman" w:hAnsi="Times New Roman" w:cs="Times New Roman"/>
          <w:lang w:val="en-US"/>
        </w:rPr>
        <w:t>at E15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6B553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After sensitivity analyses the correlation between tumor size and the 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>change in CD4</w:t>
      </w:r>
      <w:r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-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>CD8</w:t>
      </w:r>
      <w:r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-</w:t>
      </w:r>
      <w:r w:rsidRPr="00BE4CB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T cells turned insignificant. Further, </w:t>
      </w:r>
      <w:r>
        <w:rPr>
          <w:rFonts w:ascii="Times New Roman" w:hAnsi="Times New Roman" w:cs="Times New Roman"/>
          <w:color w:val="212121"/>
          <w:shd w:val="clear" w:color="auto" w:fill="FFFFFF"/>
          <w:lang w:val="en-US"/>
        </w:rPr>
        <w:t>when</w:t>
      </w:r>
      <w:r w:rsidRPr="00EE38F2">
        <w:rPr>
          <w:rFonts w:ascii="Times New Roman" w:hAnsi="Times New Roman" w:cs="Times New Roman"/>
          <w:color w:val="212121"/>
          <w:shd w:val="clear" w:color="auto" w:fill="FFFFFF"/>
          <w:lang w:val="en-US"/>
        </w:rPr>
        <w:t xml:space="preserve"> statistical significance level was set to 0.01</w:t>
      </w:r>
      <w:r>
        <w:rPr>
          <w:rFonts w:ascii="Times New Roman" w:hAnsi="Times New Roman" w:cs="Times New Roman"/>
          <w:color w:val="212121"/>
          <w:shd w:val="clear" w:color="auto" w:fill="FFFFFF"/>
          <w:lang w:val="en-US"/>
        </w:rPr>
        <w:t xml:space="preserve">, only the </w:t>
      </w:r>
      <w:r>
        <w:rPr>
          <w:rFonts w:ascii="Times New Roman" w:hAnsi="Times New Roman" w:cs="Times New Roman"/>
          <w:color w:val="000000" w:themeColor="text1"/>
          <w:lang w:val="en-US"/>
        </w:rPr>
        <w:t>correlations between cancer grade and the change in basophils at E15 and PR positivity and change in CD8</w:t>
      </w:r>
      <w:r w:rsidRPr="00BD69A6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+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T cells at E30 remained significant. </w:t>
      </w:r>
    </w:p>
    <w:p w14:paraId="5326ED14" w14:textId="77777777" w:rsidR="00AA5590" w:rsidRDefault="00AA5590" w:rsidP="00AA5590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254F5370" w14:textId="77777777" w:rsidR="00AA5590" w:rsidRDefault="00AA5590" w:rsidP="00AA5590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7D127BFE" w14:textId="77777777" w:rsidR="00AA5590" w:rsidRDefault="00AA5590" w:rsidP="00AA5590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30548683" w14:textId="77777777" w:rsidR="00AA5590" w:rsidRDefault="00AA5590" w:rsidP="00AA5590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18E4F040" w14:textId="77777777" w:rsidR="00AA5590" w:rsidRDefault="00AA5590" w:rsidP="00AA5590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442E44DC" w14:textId="77777777" w:rsidR="00AA5590" w:rsidRDefault="00AA5590" w:rsidP="00AA5590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tbl>
      <w:tblPr>
        <w:tblStyle w:val="TaulukkoRuudukko"/>
        <w:tblW w:w="8505" w:type="dxa"/>
        <w:tblLayout w:type="fixed"/>
        <w:tblLook w:val="0480" w:firstRow="0" w:lastRow="0" w:firstColumn="1" w:lastColumn="0" w:noHBand="0" w:noVBand="1"/>
      </w:tblPr>
      <w:tblGrid>
        <w:gridCol w:w="1551"/>
        <w:gridCol w:w="1132"/>
        <w:gridCol w:w="1132"/>
        <w:gridCol w:w="1288"/>
        <w:gridCol w:w="1134"/>
        <w:gridCol w:w="567"/>
        <w:gridCol w:w="284"/>
        <w:gridCol w:w="283"/>
        <w:gridCol w:w="284"/>
        <w:gridCol w:w="283"/>
        <w:gridCol w:w="284"/>
        <w:gridCol w:w="283"/>
      </w:tblGrid>
      <w:tr w:rsidR="00AA5590" w:rsidRPr="00172B5E" w14:paraId="4D334F71" w14:textId="77777777" w:rsidTr="007F390F">
        <w:trPr>
          <w:trHeight w:val="206"/>
          <w:tblHeader/>
        </w:trPr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50693" w14:textId="658F3C50" w:rsidR="00AA5590" w:rsidRPr="008A610F" w:rsidRDefault="00AA5590" w:rsidP="007F39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A61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Table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8A61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 Correlations between exercise intensity and immune cell mobilization at E15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FA142F" w14:textId="77777777" w:rsidR="00AA5590" w:rsidRPr="008A610F" w:rsidRDefault="00AA5590" w:rsidP="007F390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E546A9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D49757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BEA531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D438AA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8ED94D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A5590" w:rsidRPr="008A610F" w14:paraId="4CA3A242" w14:textId="77777777" w:rsidTr="007F390F">
        <w:trPr>
          <w:trHeight w:val="206"/>
          <w:tblHeader/>
        </w:trPr>
        <w:tc>
          <w:tcPr>
            <w:tcW w:w="1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7B6E2E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3EA32B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HR, </w:t>
            </w:r>
          </w:p>
          <w:p w14:paraId="540674E6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bpm</w:t>
            </w:r>
          </w:p>
        </w:tc>
        <w:tc>
          <w:tcPr>
            <w:tcW w:w="113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BF71F3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HR% of </w:t>
            </w:r>
          </w:p>
          <w:p w14:paraId="49833B50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HR </w:t>
            </w:r>
            <w:proofErr w:type="spellStart"/>
            <w:r w:rsidRPr="008A61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2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874334" w14:textId="77777777" w:rsidR="00AA5590" w:rsidRDefault="00AA5590" w:rsidP="007F3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RPP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422A053F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bpm*mmHg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6118162E" w14:textId="77777777" w:rsidR="00AA5590" w:rsidRDefault="00AA5590" w:rsidP="007F3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MAP,</w:t>
            </w:r>
          </w:p>
          <w:p w14:paraId="7417C9CF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mmHg</w:t>
            </w: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A60801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Lactate, </w:t>
            </w:r>
          </w:p>
          <w:p w14:paraId="2F8DE74E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mmol/l</w:t>
            </w:r>
          </w:p>
        </w:tc>
        <w:tc>
          <w:tcPr>
            <w:tcW w:w="113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EF661D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EE, </w:t>
            </w:r>
          </w:p>
          <w:p w14:paraId="082D4B05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kcal*min</w:t>
            </w:r>
            <w:r w:rsidRPr="008A61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-1</w:t>
            </w:r>
          </w:p>
        </w:tc>
      </w:tr>
      <w:tr w:rsidR="00AA5590" w:rsidRPr="008A610F" w14:paraId="646ACEF3" w14:textId="77777777" w:rsidTr="007F390F">
        <w:trPr>
          <w:trHeight w:val="315"/>
        </w:trPr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949498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Total leukocytes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156429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B043AC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2101F6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52A89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4DA077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11AEC6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A5590" w:rsidRPr="008A610F" w14:paraId="7ED8124C" w14:textId="77777777" w:rsidTr="007F390F">
        <w:trPr>
          <w:trHeight w:val="31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70922534" w14:textId="77777777" w:rsidR="00AA5590" w:rsidRPr="008A610F" w:rsidRDefault="00AA5590" w:rsidP="007F39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Neutrophils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1AA2F6E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68EA6C65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044D4BF1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670996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-0.46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E77957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26BAC7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AA5590" w:rsidRPr="008A610F" w14:paraId="0BA0FC04" w14:textId="77777777" w:rsidTr="007F390F">
        <w:trPr>
          <w:trHeight w:val="277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4242DBAE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Lymphocytes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9F2759C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5969B85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7DD8F97B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E7DE6B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4C76BA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739ED4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A5590" w:rsidRPr="00C56EF0" w14:paraId="14B8AE2A" w14:textId="77777777" w:rsidTr="007F390F">
        <w:trPr>
          <w:trHeight w:val="277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39F0E67E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Monocytes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69C73CB9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0.60**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B7173F4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0.65**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6A7A1CF2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B570CA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B4DF67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EB7371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0.51*</w:t>
            </w:r>
          </w:p>
        </w:tc>
      </w:tr>
      <w:tr w:rsidR="00AA5590" w:rsidRPr="00C56EF0" w14:paraId="47B09957" w14:textId="77777777" w:rsidTr="007F390F">
        <w:trPr>
          <w:trHeight w:val="277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0BFE3B41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Eosinophils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333F6B8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0.57*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6B8CBCF8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0.56*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113A64EA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3E315D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F873C8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7EA5EF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0.51*</w:t>
            </w:r>
          </w:p>
        </w:tc>
      </w:tr>
      <w:tr w:rsidR="00AA5590" w:rsidRPr="00C56EF0" w14:paraId="484E469B" w14:textId="77777777" w:rsidTr="007F390F">
        <w:trPr>
          <w:trHeight w:val="277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5CF77E70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Basophils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DBA74BE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0.50*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51D5FA3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0.54*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22EAB60D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56CF4A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5B1710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9077BC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0.53*</w:t>
            </w:r>
          </w:p>
        </w:tc>
      </w:tr>
      <w:tr w:rsidR="00AA5590" w:rsidRPr="008A610F" w14:paraId="53AC507D" w14:textId="77777777" w:rsidTr="007F390F">
        <w:trPr>
          <w:trHeight w:val="277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7DF783F1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CD3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B8DBA60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733B83D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062FBAF4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23DE5B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164059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AF5068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AA5590" w:rsidRPr="008A610F" w14:paraId="5C3B9096" w14:textId="77777777" w:rsidTr="007F390F">
        <w:trPr>
          <w:trHeight w:val="280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1498B9C8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CD4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21BF67D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5CBE22A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39B04D69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967B0E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FB8D9F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74D5D1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AA5590" w:rsidRPr="008A610F" w14:paraId="34E97361" w14:textId="77777777" w:rsidTr="007F390F">
        <w:trPr>
          <w:trHeight w:val="271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7426A647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Th1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9C5DF31" w14:textId="755F3AFA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F65E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27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71015C6" w14:textId="616672B1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0217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0F1FFE89" w14:textId="324AE3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02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748AAF" w14:textId="7E052D09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40217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F94F43" w14:textId="65FD32E9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021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62A891" w14:textId="3D970CAE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0217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AA5590" w:rsidRPr="008A610F" w14:paraId="7E4964D6" w14:textId="77777777" w:rsidTr="007F390F">
        <w:trPr>
          <w:trHeight w:val="260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7AFC2C9F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Th2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748CE8B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7F286ADB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4C9854E2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FD4FBA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E83C15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55BD3C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AA5590" w:rsidRPr="008A610F" w14:paraId="00ECEC1A" w14:textId="77777777" w:rsidTr="007F390F">
        <w:trPr>
          <w:trHeight w:val="278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60AE4EDD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Th17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A146E7F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CDFBB6E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4E2634C4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C319D2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C2663B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D8B036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A5590" w:rsidRPr="008A610F" w14:paraId="23A1A77E" w14:textId="77777777" w:rsidTr="007F390F">
        <w:trPr>
          <w:trHeight w:val="281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1C2A44D0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Treg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C9EAF37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EB4932F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407F24C3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B23540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B1C9B2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93654B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AA5590" w:rsidRPr="008A610F" w14:paraId="2B67B048" w14:textId="77777777" w:rsidTr="007F390F">
        <w:trPr>
          <w:trHeight w:val="272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0BA35DED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CD8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556F5B6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41D0BD4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295B8D26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42A912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5CEF34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518BA9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A5590" w:rsidRPr="008A610F" w14:paraId="7C052F3D" w14:textId="77777777" w:rsidTr="007F390F">
        <w:trPr>
          <w:trHeight w:val="272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43E2847C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CD4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CD8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64016A14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54F63B9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71B17D9B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2C9580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702272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0.48*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E64C2C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5590" w:rsidRPr="008A610F" w14:paraId="13443F2F" w14:textId="77777777" w:rsidTr="007F390F">
        <w:trPr>
          <w:trHeight w:val="262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6DF22FB8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CD4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CD8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7F1D89B8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B395CFE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52B14D92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F9B6F2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EC6B1B" w14:textId="2C669680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27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D5DB20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AA5590" w:rsidRPr="008A610F" w14:paraId="48BDF23E" w14:textId="77777777" w:rsidTr="007F390F">
        <w:trPr>
          <w:trHeight w:val="262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3C389869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CD19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623BBFAC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93506EC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7257529D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094ACC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872E07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FDAC0B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A5590" w:rsidRPr="008A610F" w14:paraId="42F5CFE3" w14:textId="77777777" w:rsidTr="007F390F">
        <w:trPr>
          <w:trHeight w:val="262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3A0322F8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CD56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56153E5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1DC3CD4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1916532E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81CE1A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CC6C5F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6669CE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AA5590" w:rsidRPr="008A610F" w14:paraId="4E1C15D9" w14:textId="77777777" w:rsidTr="007F390F">
        <w:trPr>
          <w:trHeight w:val="262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6B351F50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CD56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CD16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6FFF36D2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CE712BF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37C6F7FD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246D24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7BDBCF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AC9D51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AA5590" w:rsidRPr="008A610F" w14:paraId="6812CB23" w14:textId="77777777" w:rsidTr="007F390F">
        <w:trPr>
          <w:trHeight w:val="262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267F157A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CD56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CD16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7467B585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9ABA51A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58E9C4F7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360E80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0.60*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D70504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E82CFD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AA5590" w:rsidRPr="008A610F" w14:paraId="4DDDE442" w14:textId="77777777" w:rsidTr="007F390F">
        <w:trPr>
          <w:trHeight w:val="262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3407E6D7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CD14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CD16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E2F99E0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0.55*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732F030F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0.51*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6D954ABC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610AE8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EC1C75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0C747E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0.53*</w:t>
            </w:r>
          </w:p>
        </w:tc>
      </w:tr>
      <w:tr w:rsidR="00AA5590" w:rsidRPr="008A610F" w14:paraId="425585A1" w14:textId="77777777" w:rsidTr="007F390F">
        <w:trPr>
          <w:trHeight w:val="262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548A93B0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CD14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CD16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6350AD5D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917AE3D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0C8431C1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75798D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C4F828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70D984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A5590" w:rsidRPr="008A610F" w14:paraId="7B727E0F" w14:textId="77777777" w:rsidTr="007F390F">
        <w:trPr>
          <w:trHeight w:val="262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65F441CF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CD14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CD16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668D979C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0.61**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60FE2DB6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0.68**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122C8A7E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C9C26A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3430A7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3B4FD6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0.60**</w:t>
            </w:r>
          </w:p>
        </w:tc>
      </w:tr>
      <w:tr w:rsidR="00AA5590" w:rsidRPr="008A610F" w14:paraId="6EA3E6C7" w14:textId="77777777" w:rsidTr="007F390F">
        <w:trPr>
          <w:trHeight w:val="262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725B03ED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MDSC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8B28C51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64BDC495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5F2B7B11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1D2D72" w14:textId="0AEDFA1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 w:rsidR="00827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6521F7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D4D95F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AA5590" w:rsidRPr="008A610F" w14:paraId="3A3E06B7" w14:textId="77777777" w:rsidTr="007F390F">
        <w:trPr>
          <w:trHeight w:val="83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20D95542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g-MDSC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CA88D48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7940E7DB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4A0BC18E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0D4E4F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8211DA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F3BA46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AA5590" w:rsidRPr="008A610F" w14:paraId="3DD3D48C" w14:textId="77777777" w:rsidTr="007F390F">
        <w:trPr>
          <w:trHeight w:val="262"/>
        </w:trPr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47AE9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m-MDSC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C3414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6D1C8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AE2DE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DFFC4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9E6FB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F10CA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A5590" w:rsidRPr="008A610F" w14:paraId="2539B661" w14:textId="77777777" w:rsidTr="007F390F">
        <w:trPr>
          <w:trHeight w:val="262"/>
        </w:trPr>
        <w:tc>
          <w:tcPr>
            <w:tcW w:w="76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8DDD6C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p-values; </w:t>
            </w:r>
            <w:r w:rsidRPr="00204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*&lt;0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04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05, **&lt;0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04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74348E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10E787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8F22E1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5590" w:rsidRPr="00172B5E" w14:paraId="43F62D73" w14:textId="77777777" w:rsidTr="007F390F">
        <w:trPr>
          <w:trHeight w:val="262"/>
        </w:trPr>
        <w:tc>
          <w:tcPr>
            <w:tcW w:w="7655" w:type="dxa"/>
            <w:gridSpan w:val="9"/>
            <w:tcBorders>
              <w:top w:val="nil"/>
              <w:left w:val="nil"/>
              <w:right w:val="nil"/>
            </w:tcBorders>
          </w:tcPr>
          <w:p w14:paraId="32167A43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Abbreviations; HR= heart 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RPP= rate pressure product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MAP= mean arterial pressure, 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EE= energy expenditure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235D19B5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45B00587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0CD0DE8B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542512B" w14:textId="77777777" w:rsidR="00AA5590" w:rsidRDefault="00AA5590" w:rsidP="00AA5590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00A640A2" w14:textId="77777777" w:rsidR="00AA5590" w:rsidRDefault="00AA5590" w:rsidP="00AA5590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7615E70C" w14:textId="77777777" w:rsidR="00AA5590" w:rsidRDefault="00AA5590" w:rsidP="00AA5590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5A056B81" w14:textId="77777777" w:rsidR="00AA5590" w:rsidRDefault="00AA5590" w:rsidP="00AA5590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7C54AF8B" w14:textId="77777777" w:rsidR="00AA5590" w:rsidRDefault="00AA5590" w:rsidP="00AA5590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tbl>
      <w:tblPr>
        <w:tblStyle w:val="TaulukkoRuudukko"/>
        <w:tblW w:w="9639" w:type="dxa"/>
        <w:tblLayout w:type="fixed"/>
        <w:tblLook w:val="0480" w:firstRow="0" w:lastRow="0" w:firstColumn="1" w:lastColumn="0" w:noHBand="0" w:noVBand="1"/>
      </w:tblPr>
      <w:tblGrid>
        <w:gridCol w:w="1690"/>
        <w:gridCol w:w="720"/>
        <w:gridCol w:w="1418"/>
        <w:gridCol w:w="1275"/>
        <w:gridCol w:w="993"/>
        <w:gridCol w:w="1275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AA5590" w:rsidRPr="00172B5E" w14:paraId="694A84D7" w14:textId="77777777" w:rsidTr="007F390F">
        <w:trPr>
          <w:trHeight w:val="206"/>
          <w:tblHeader/>
        </w:trPr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78C24" w14:textId="1C2750FF" w:rsidR="00AA5590" w:rsidRPr="008A610F" w:rsidRDefault="00AA5590" w:rsidP="007F39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A61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Table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Pr="008A61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 Correlations between exercise intensity and immune cell mobilization at 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30.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47FD9F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D98D9B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1A7322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BFDAE8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DE45A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6E2417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6B6691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5590" w:rsidRPr="008A610F" w14:paraId="4481A311" w14:textId="77777777" w:rsidTr="007F390F">
        <w:trPr>
          <w:trHeight w:val="206"/>
          <w:tblHeader/>
        </w:trPr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D726D6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F9CDCF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 xml:space="preserve">HR, </w:t>
            </w:r>
          </w:p>
          <w:p w14:paraId="3C5977F5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bpm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5BD236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 xml:space="preserve">HR% of </w:t>
            </w:r>
          </w:p>
          <w:p w14:paraId="109C4427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 xml:space="preserve">HR </w:t>
            </w:r>
            <w:proofErr w:type="spellStart"/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EF3A2C" w14:textId="77777777" w:rsidR="00AA5590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RPP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597980E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bpm*mmHg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12468" w14:textId="77777777" w:rsidR="00AA5590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MAP,</w:t>
            </w:r>
          </w:p>
          <w:p w14:paraId="2DCE8306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mmHg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853D77" w14:textId="77777777" w:rsidR="00AA5590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 xml:space="preserve">Lactate, </w:t>
            </w:r>
          </w:p>
          <w:p w14:paraId="2093F897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mmol/l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B48415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 xml:space="preserve">EE, </w:t>
            </w:r>
          </w:p>
          <w:p w14:paraId="133C018F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kcal*min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147BF5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Workload,</w:t>
            </w:r>
          </w:p>
          <w:p w14:paraId="2CE4118A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distance</w:t>
            </w:r>
          </w:p>
        </w:tc>
      </w:tr>
      <w:tr w:rsidR="00AA5590" w:rsidRPr="008A610F" w14:paraId="6F3203D6" w14:textId="77777777" w:rsidTr="007F390F">
        <w:trPr>
          <w:trHeight w:val="315"/>
        </w:trPr>
        <w:tc>
          <w:tcPr>
            <w:tcW w:w="1690" w:type="dxa"/>
            <w:tcBorders>
              <w:left w:val="nil"/>
              <w:bottom w:val="nil"/>
              <w:right w:val="nil"/>
            </w:tcBorders>
          </w:tcPr>
          <w:p w14:paraId="3C5992AD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Total leukocytes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535CC5F9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2923B41B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59C130B2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6376020A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4139309F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4"/>
            <w:tcBorders>
              <w:left w:val="nil"/>
              <w:bottom w:val="nil"/>
              <w:right w:val="nil"/>
            </w:tcBorders>
          </w:tcPr>
          <w:p w14:paraId="4A0B0852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4"/>
            <w:tcBorders>
              <w:left w:val="nil"/>
              <w:bottom w:val="nil"/>
              <w:right w:val="nil"/>
            </w:tcBorders>
          </w:tcPr>
          <w:p w14:paraId="244B1359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A5590" w:rsidRPr="008A610F" w14:paraId="399EDB7E" w14:textId="77777777" w:rsidTr="007F390F">
        <w:trPr>
          <w:trHeight w:val="315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CCA2605" w14:textId="77777777" w:rsidR="00AA5590" w:rsidRPr="008A610F" w:rsidRDefault="00AA5590" w:rsidP="007F39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Neutrophils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22182A2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A9D3B38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CF5C049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ADEB4EA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CCF73B6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96ECF3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0D0C55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A5590" w:rsidRPr="008A610F" w14:paraId="22DCE709" w14:textId="77777777" w:rsidTr="007F390F">
        <w:trPr>
          <w:trHeight w:val="277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E57369C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Lymphocytes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D6BD3D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3269A56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AFBB288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0.58*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4FCC459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0058C56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0.50*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E5786A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4944AF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A5590" w:rsidRPr="008A610F" w14:paraId="3D5CEA0F" w14:textId="77777777" w:rsidTr="007F390F">
        <w:trPr>
          <w:trHeight w:val="277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F9808AF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Monocytes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691CED4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0.51*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2B89021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0.52*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D7E1827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9718C07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415A5C3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84ECAD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788396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A5590" w:rsidRPr="008A610F" w14:paraId="780900F7" w14:textId="77777777" w:rsidTr="007F390F">
        <w:trPr>
          <w:trHeight w:val="277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08C0FC0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Eosinophils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8450B79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BD5E8D0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85154D2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32FCD4A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BE350EB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A43AAF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6C3A64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0.52*</w:t>
            </w:r>
          </w:p>
        </w:tc>
      </w:tr>
      <w:tr w:rsidR="00AA5590" w:rsidRPr="008A610F" w14:paraId="69AB47F4" w14:textId="77777777" w:rsidTr="007F390F">
        <w:trPr>
          <w:trHeight w:val="277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C77007D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Basophils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C5A7F85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DAEF6D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82007D5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0.61*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FD94B0C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0.68**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E20EEF1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7B5663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ADEEB4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A5590" w:rsidRPr="008A610F" w14:paraId="4D6C8A8D" w14:textId="77777777" w:rsidTr="007F390F">
        <w:trPr>
          <w:trHeight w:val="277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AF4504D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CD3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9B9930F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F4B6E4F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BD38798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D05A337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C535C63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0BE88D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E557F7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A5590" w:rsidRPr="008A610F" w14:paraId="1F819611" w14:textId="77777777" w:rsidTr="007F390F">
        <w:trPr>
          <w:trHeight w:val="280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80C2BAC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CD4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5F44744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75ED71D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C6F6474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86D85B8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CAF9393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BD3CEE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D737BA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A5590" w:rsidRPr="008A610F" w14:paraId="491A4767" w14:textId="77777777" w:rsidTr="007F390F">
        <w:trPr>
          <w:trHeight w:val="271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966C631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Th1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6CE329A" w14:textId="66CE4899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F65E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F77E788" w14:textId="12C40A2C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2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5FA1EFB" w14:textId="05C705BE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0217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7833D1B" w14:textId="3F33EFA3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4021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0CBF7F2" w14:textId="467D2119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21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F3CF2A" w14:textId="496B909A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0217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5F4658" w14:textId="3E973997" w:rsidR="00AA5590" w:rsidRPr="008A610F" w:rsidRDefault="002F65E4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A5590"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A55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5590" w:rsidRPr="008A61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A5590" w:rsidRPr="008A610F" w14:paraId="43794773" w14:textId="77777777" w:rsidTr="007F390F">
        <w:trPr>
          <w:trHeight w:val="260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032256B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Th2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ED23C08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55E7A9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4A4EF7A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683CDD2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97BDB76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9F2678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392F4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A5590" w:rsidRPr="008A610F" w14:paraId="4F1B3303" w14:textId="77777777" w:rsidTr="007F390F">
        <w:trPr>
          <w:trHeight w:val="278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EB6D215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Th17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6A63828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C55025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9A04759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4DE0C1A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5833B6F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8BB9B7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60514A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AA5590" w:rsidRPr="008A610F" w14:paraId="396EA906" w14:textId="77777777" w:rsidTr="007F390F">
        <w:trPr>
          <w:trHeight w:val="281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180DD98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Treg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7C1F274" w14:textId="0EE4795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27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67F04A3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1E1B967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B929C9B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28EA746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B3EE6A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CE2503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</w:tr>
      <w:tr w:rsidR="00AA5590" w:rsidRPr="008A610F" w14:paraId="71375287" w14:textId="77777777" w:rsidTr="007F390F">
        <w:trPr>
          <w:trHeight w:val="272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5572937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CD8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D5123F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829F0FA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C0E647D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F31D5B1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5DFCFAD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2EFABC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55E4CC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AA5590" w:rsidRPr="008A610F" w14:paraId="5EF26D8D" w14:textId="77777777" w:rsidTr="007F390F">
        <w:trPr>
          <w:trHeight w:val="272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265FEE0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CD4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CD8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DEFBEB3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173C574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0.51*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16AA03F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2927811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814E7B0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0.57*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0917AA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DDC59A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AA5590" w:rsidRPr="008A610F" w14:paraId="1C2C37A5" w14:textId="77777777" w:rsidTr="007F390F">
        <w:trPr>
          <w:trHeight w:val="262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5619470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CD4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CD8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885AD6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911AEE4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66F30ED" w14:textId="33C189EA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27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2B4D49C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E4D1659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5F3E96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F0BA69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A5590" w:rsidRPr="008A610F" w14:paraId="41FDBA5D" w14:textId="77777777" w:rsidTr="007F390F">
        <w:trPr>
          <w:trHeight w:val="262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75F8530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CD19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68570E1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8485DE6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B472B8D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45EA8C0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E7C9036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B545E0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468F8C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A5590" w:rsidRPr="008A610F" w14:paraId="5CB7F274" w14:textId="77777777" w:rsidTr="007F390F">
        <w:trPr>
          <w:trHeight w:val="262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DE346B8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CD56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31CDEE1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59F3602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7E79D28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B84C460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F6E5D3C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FB8FC6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C79BFC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AA5590" w:rsidRPr="008A610F" w14:paraId="6FE6F59D" w14:textId="77777777" w:rsidTr="007F390F">
        <w:trPr>
          <w:trHeight w:val="262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7DD392A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CD56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CD16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CE6BEC0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B3091F5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15C4568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BDFAC13" w14:textId="656054E6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 w:rsidR="00827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ED95A80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0.50*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71B53F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42F612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AA5590" w:rsidRPr="008A610F" w14:paraId="63BD2D6C" w14:textId="77777777" w:rsidTr="007F390F">
        <w:trPr>
          <w:trHeight w:val="262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A698984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CD56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CD16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DCD3BA3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57595EA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B04E03D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51B60C5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65C52E3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E4A8D3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2DA91B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AA5590" w:rsidRPr="008A610F" w14:paraId="54FD4536" w14:textId="77777777" w:rsidTr="007F390F">
        <w:trPr>
          <w:trHeight w:val="262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B848669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CD14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CD16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62565DA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3C131D6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5A1D02F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BBC7537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7E9862A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CCC229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4194FC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AA5590" w:rsidRPr="008A610F" w14:paraId="39565743" w14:textId="77777777" w:rsidTr="007F390F">
        <w:trPr>
          <w:trHeight w:val="262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3551544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CD14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CD16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1D93B7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3B8AE4C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F0352C7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D8B8CD6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DA6C0D7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40BC70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8A07B4" w14:textId="419DDC80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27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5590" w:rsidRPr="008A610F" w14:paraId="4A2D1746" w14:textId="77777777" w:rsidTr="007F390F">
        <w:trPr>
          <w:trHeight w:val="262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05E7B22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CD14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CD16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3A6A05F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A6307E6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432BC8D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9783754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3EF5DA5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E84B67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A15454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AA5590" w:rsidRPr="008A610F" w14:paraId="5DBEBC3C" w14:textId="77777777" w:rsidTr="007F390F">
        <w:trPr>
          <w:trHeight w:val="262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EE2A7EE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MDSC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8512497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BF56122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F9C62F8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D8D8341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8F15989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04BF9A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3740D3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A5590" w:rsidRPr="008A610F" w14:paraId="07B5EA21" w14:textId="77777777" w:rsidTr="007F390F">
        <w:trPr>
          <w:trHeight w:val="83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94844FA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g-MDSC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48B1C56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7CAF046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F708FE3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C4CC4DE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829447B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34CF45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004077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A5590" w:rsidRPr="008A610F" w14:paraId="6DAAED99" w14:textId="77777777" w:rsidTr="007F390F">
        <w:trPr>
          <w:trHeight w:val="262"/>
        </w:trPr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E3B6BF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m-MDSC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6B786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1B4600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9624A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C9E20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EB2B88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1EEA1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5C5162" w14:textId="77777777" w:rsidR="00AA5590" w:rsidRPr="008A610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10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AA5590" w:rsidRPr="008A610F" w14:paraId="22E836EE" w14:textId="77777777" w:rsidTr="007F390F">
        <w:trPr>
          <w:trHeight w:val="262"/>
        </w:trPr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69EDFB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p-values; </w:t>
            </w:r>
            <w:r w:rsidRPr="00204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*&lt;0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04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05, **&lt;0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04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BA97F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25BE1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8BB26A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840BC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5590" w:rsidRPr="00A95F02" w14:paraId="25970B4F" w14:textId="77777777" w:rsidTr="007F390F">
        <w:trPr>
          <w:trHeight w:val="262"/>
        </w:trPr>
        <w:tc>
          <w:tcPr>
            <w:tcW w:w="8505" w:type="dxa"/>
            <w:gridSpan w:val="10"/>
            <w:tcBorders>
              <w:top w:val="nil"/>
              <w:left w:val="nil"/>
              <w:right w:val="nil"/>
            </w:tcBorders>
          </w:tcPr>
          <w:p w14:paraId="41900FA5" w14:textId="77777777" w:rsidR="00AA5590" w:rsidRDefault="00AA5590" w:rsidP="007F39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Abbreviations; HR= heart 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RPP= rate pressure product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A61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MAP= mean arterial pressure,</w:t>
            </w:r>
          </w:p>
          <w:p w14:paraId="4EB4F5D9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61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EE= energy expenditure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0F48558F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65070C9D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5A7BCFAE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5ADB2E96" w14:textId="77777777" w:rsidR="00AA5590" w:rsidRPr="008A610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2D2D574B" w14:textId="77777777" w:rsidR="00AA5590" w:rsidRDefault="00AA5590" w:rsidP="00AA5590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61B86008" w14:textId="77777777" w:rsidR="00AA5590" w:rsidRDefault="00AA5590" w:rsidP="00AA5590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0818B1F3" w14:textId="77777777" w:rsidR="00AA5590" w:rsidRDefault="00AA5590" w:rsidP="00AA5590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6BB29C08" w14:textId="77777777" w:rsidR="00AA5590" w:rsidRDefault="00AA5590" w:rsidP="00AA5590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5A792F66" w14:textId="77777777" w:rsidR="00AA5590" w:rsidRDefault="00AA5590" w:rsidP="00AA5590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3537EDC0" w14:textId="77777777" w:rsidR="00AA5590" w:rsidRDefault="00AA5590" w:rsidP="00AA5590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0A90A39F" w14:textId="77777777" w:rsidR="00AA5590" w:rsidRDefault="00AA5590" w:rsidP="00AA5590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134F0737" w14:textId="77777777" w:rsidR="00AA5590" w:rsidRDefault="00AA5590" w:rsidP="00AA5590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4A4108F3" w14:textId="77777777" w:rsidR="00AA5590" w:rsidRDefault="00AA5590" w:rsidP="00AA5590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125CDFB7" w14:textId="77777777" w:rsidR="00AA5590" w:rsidRDefault="00AA5590" w:rsidP="00AA5590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49462A2D" w14:textId="77777777" w:rsidR="00AA5590" w:rsidRDefault="00AA5590" w:rsidP="00AA5590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0D4346BA" w14:textId="77777777" w:rsidR="00AA5590" w:rsidRPr="00FA2A72" w:rsidRDefault="00AA5590" w:rsidP="00AA5590">
      <w:pPr>
        <w:spacing w:line="360" w:lineRule="auto"/>
        <w:rPr>
          <w:rFonts w:ascii="Times New Roman" w:hAnsi="Times New Roman" w:cs="Times New Roman"/>
          <w:b/>
          <w:bCs/>
          <w:i/>
          <w:iCs/>
          <w:lang w:val="en-US"/>
        </w:rPr>
      </w:pPr>
    </w:p>
    <w:p w14:paraId="4D519681" w14:textId="77777777" w:rsidR="00AA5590" w:rsidRDefault="00AA5590"/>
    <w:tbl>
      <w:tblPr>
        <w:tblStyle w:val="TaulukkoRuudukko"/>
        <w:tblW w:w="0" w:type="auto"/>
        <w:tblLook w:val="0480" w:firstRow="0" w:lastRow="0" w:firstColumn="1" w:lastColumn="0" w:noHBand="0" w:noVBand="1"/>
      </w:tblPr>
      <w:tblGrid>
        <w:gridCol w:w="1701"/>
        <w:gridCol w:w="993"/>
        <w:gridCol w:w="1275"/>
        <w:gridCol w:w="1266"/>
        <w:gridCol w:w="1002"/>
        <w:gridCol w:w="993"/>
        <w:gridCol w:w="285"/>
        <w:gridCol w:w="285"/>
        <w:gridCol w:w="285"/>
        <w:gridCol w:w="284"/>
        <w:gridCol w:w="320"/>
        <w:gridCol w:w="258"/>
        <w:gridCol w:w="272"/>
      </w:tblGrid>
      <w:tr w:rsidR="00AA5590" w:rsidRPr="00172B5E" w14:paraId="7E4B09F8" w14:textId="77777777" w:rsidTr="007F390F">
        <w:trPr>
          <w:trHeight w:val="206"/>
          <w:tblHeader/>
        </w:trPr>
        <w:tc>
          <w:tcPr>
            <w:tcW w:w="72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44C2D9" w14:textId="5DC3CA7D" w:rsidR="00AA5590" w:rsidRPr="00D07D8F" w:rsidRDefault="00AA5590" w:rsidP="007F39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07D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Table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D07D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 Correlations between disease status and immune cell mobilization at E15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F3CA95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AFA878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DEE47A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EFF0D7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F73DBF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08B9D4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CDD402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5590" w:rsidRPr="00D07D8F" w14:paraId="5A4B1975" w14:textId="77777777" w:rsidTr="007F390F">
        <w:trPr>
          <w:trHeight w:val="206"/>
          <w:tblHeader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CA669B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CF175C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 xml:space="preserve">Grade, </w:t>
            </w:r>
          </w:p>
          <w:p w14:paraId="4DBFF019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scale 1–3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DA74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 xml:space="preserve">Tumor size, </w:t>
            </w:r>
          </w:p>
          <w:p w14:paraId="394B7925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scale 1–3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735497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LN</w:t>
            </w:r>
          </w:p>
          <w:p w14:paraId="2680D7A9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involvement,</w:t>
            </w:r>
          </w:p>
          <w:p w14:paraId="37DE27B7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scale 1–3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A66F98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ER,</w:t>
            </w:r>
          </w:p>
          <w:p w14:paraId="6C140B6F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078CC5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4B04DB0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A136E5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HER2,</w:t>
            </w:r>
          </w:p>
          <w:p w14:paraId="45C3E6DA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pos/neg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7C161C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Ki-67,</w:t>
            </w:r>
          </w:p>
          <w:p w14:paraId="3E68ECA4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A5590" w:rsidRPr="00D07D8F" w14:paraId="095FD7FA" w14:textId="77777777" w:rsidTr="007F390F">
        <w:trPr>
          <w:trHeight w:val="315"/>
        </w:trPr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E1C7B18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Total leukocytes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75AAF62C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3AB2E780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6" w:type="dxa"/>
            <w:tcBorders>
              <w:left w:val="nil"/>
              <w:bottom w:val="nil"/>
              <w:right w:val="nil"/>
            </w:tcBorders>
          </w:tcPr>
          <w:p w14:paraId="7C67FA87" w14:textId="2591E4AC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27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</w:tcPr>
          <w:p w14:paraId="3C0315DD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-022</w:t>
            </w: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5D6A8CD6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9" w:type="dxa"/>
            <w:gridSpan w:val="4"/>
            <w:tcBorders>
              <w:left w:val="nil"/>
              <w:bottom w:val="nil"/>
              <w:right w:val="nil"/>
            </w:tcBorders>
          </w:tcPr>
          <w:p w14:paraId="5BA9C781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3"/>
            <w:tcBorders>
              <w:left w:val="nil"/>
              <w:bottom w:val="nil"/>
              <w:right w:val="nil"/>
            </w:tcBorders>
          </w:tcPr>
          <w:p w14:paraId="1B5790EF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A5590" w:rsidRPr="00D07D8F" w14:paraId="09EF18EA" w14:textId="77777777" w:rsidTr="007F390F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ED394F" w14:textId="77777777" w:rsidR="00AA5590" w:rsidRPr="00D07D8F" w:rsidRDefault="00AA5590" w:rsidP="007F39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Neutrophils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3BC5AF8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BFAE30B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02E4D5B9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1FE7BA94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17ED853B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1CDB2A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108C9D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A5590" w:rsidRPr="00D07D8F" w14:paraId="0435813A" w14:textId="77777777" w:rsidTr="007F390F">
        <w:trPr>
          <w:trHeight w:val="27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9B6D20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Lymphocytes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9B62D3B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CF20AA5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1C8F5075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410E5D5D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5F208FDA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3B7A94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DA7E8C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A5590" w:rsidRPr="00D07D8F" w14:paraId="772A9470" w14:textId="77777777" w:rsidTr="007F390F">
        <w:trPr>
          <w:trHeight w:val="27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AB42AC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Monocytes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C298798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0439428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4B979660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1170C488" w14:textId="7A0E7C3D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27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2E305F36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C1713D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21E3BC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</w:tr>
      <w:tr w:rsidR="00AA5590" w:rsidRPr="00D07D8F" w14:paraId="7F98EBF2" w14:textId="77777777" w:rsidTr="007F390F">
        <w:trPr>
          <w:trHeight w:val="27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8D712B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Eosinophils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83B486D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5565437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7BE99AEB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4BE91A83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48AAF838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015402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00BE7F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5590" w:rsidRPr="00D07D8F" w14:paraId="089975C3" w14:textId="77777777" w:rsidTr="007F390F">
        <w:trPr>
          <w:trHeight w:val="27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A08CA4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Basophils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2402E72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0.59**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3428E19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0B524840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6EAA79B1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1D0B6F38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-0.47*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B66AD1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2CCBF7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A5590" w:rsidRPr="00D07D8F" w14:paraId="3835DCDB" w14:textId="77777777" w:rsidTr="007F390F">
        <w:trPr>
          <w:trHeight w:val="27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4761B5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CD3</w:t>
            </w:r>
            <w:r w:rsidRPr="00D07D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77C0226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B6B116C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15882DC0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244FDAEB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268E3DBE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-0.47*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E369BB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5BFE41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A5590" w:rsidRPr="00D07D8F" w14:paraId="6C05F283" w14:textId="77777777" w:rsidTr="007F390F">
        <w:trPr>
          <w:trHeight w:val="2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667DDA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CD4</w:t>
            </w:r>
            <w:r w:rsidRPr="00D07D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7F6C1D4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076AD3E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43E10B73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2B811225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11A1E757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34BC8A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31BC00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A5590" w:rsidRPr="00D07D8F" w14:paraId="61B5721F" w14:textId="77777777" w:rsidTr="007F390F">
        <w:trPr>
          <w:trHeight w:val="27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35735E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Th1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C97B232" w14:textId="575FED2B" w:rsidR="00AA5590" w:rsidRPr="00D07D8F" w:rsidRDefault="0040217E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29BE1DC" w14:textId="161A8222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21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21348985" w14:textId="44FE4D40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0217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778C6990" w14:textId="11FF2154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0217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60BAA6A2" w14:textId="03AE583B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21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976F4A" w14:textId="527B7233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0217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954CF1" w14:textId="64D8F32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021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A5590" w:rsidRPr="00D07D8F" w14:paraId="2CF8A9E7" w14:textId="77777777" w:rsidTr="007F390F">
        <w:trPr>
          <w:trHeight w:val="2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E7EE6D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Th2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4B272EF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CF02287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73695780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2B4ECE20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9466896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26F67D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CB1BDD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A5590" w:rsidRPr="00D07D8F" w14:paraId="323B542C" w14:textId="77777777" w:rsidTr="007F390F">
        <w:trPr>
          <w:trHeight w:val="27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9ADABC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Th17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1C633A5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BB7F026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4A84A5EB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-0.48*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5DDDF71F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275E366E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5AEF74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A118A6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A5590" w:rsidRPr="00D07D8F" w14:paraId="2888AB4C" w14:textId="77777777" w:rsidTr="007F390F">
        <w:trPr>
          <w:trHeight w:val="28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18FAD8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Treg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E5C08A9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BC50D37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0198DE50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609542C1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592EDFF2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52398D" w14:textId="2E1C02A4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27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76D2FA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5590" w:rsidRPr="00D07D8F" w14:paraId="724482BC" w14:textId="77777777" w:rsidTr="007F390F">
        <w:trPr>
          <w:trHeight w:val="27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203A5C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CD8</w:t>
            </w:r>
            <w:r w:rsidRPr="00D07D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56B944B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B24D5EB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6F2F5596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05F344B2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-0.53*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609F150A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-0.56*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F6F933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C2E7D5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AA5590" w:rsidRPr="00D07D8F" w14:paraId="29DDEDBA" w14:textId="77777777" w:rsidTr="007F390F">
        <w:trPr>
          <w:trHeight w:val="27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585484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CD4</w:t>
            </w:r>
            <w:r w:rsidRPr="00D07D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CD8</w:t>
            </w:r>
            <w:r w:rsidRPr="00D07D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CAF2D49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769217C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27367554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6F3FE4D7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13AF755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2F28A8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379864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5590" w:rsidRPr="00D07D8F" w14:paraId="24154D37" w14:textId="77777777" w:rsidTr="007F390F">
        <w:trPr>
          <w:trHeight w:val="2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F5B14B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CD4</w:t>
            </w:r>
            <w:r w:rsidRPr="00D07D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CD8</w:t>
            </w:r>
            <w:r w:rsidRPr="00D07D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99F67FC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364EAF0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-0.47*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1195E277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3E1DAA93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13259DD9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255C82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5AB66D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</w:tr>
      <w:tr w:rsidR="00AA5590" w:rsidRPr="00D07D8F" w14:paraId="62088F23" w14:textId="77777777" w:rsidTr="007F390F">
        <w:trPr>
          <w:trHeight w:val="2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3FF3BF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CD19</w:t>
            </w:r>
            <w:r w:rsidRPr="00D07D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076CC24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8824E2E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79FE1106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22E01CFA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AC457CC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68F0B2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E6B05C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A5590" w:rsidRPr="00D07D8F" w14:paraId="554092FC" w14:textId="77777777" w:rsidTr="007F390F">
        <w:trPr>
          <w:trHeight w:val="2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682A1F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CD56</w:t>
            </w:r>
            <w:r w:rsidRPr="00D07D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024E37F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23838E8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-0.53*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01EBF7D9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548FF1F5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314231B4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798DDF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-0.53*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4488C9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A5590" w:rsidRPr="00D07D8F" w14:paraId="64766DED" w14:textId="77777777" w:rsidTr="007F390F">
        <w:trPr>
          <w:trHeight w:val="2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53B314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CD56</w:t>
            </w:r>
            <w:r w:rsidRPr="00D07D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CD16</w:t>
            </w:r>
            <w:r w:rsidRPr="00D07D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B09BE77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FDC978D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-0.49*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1CAEB82B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75DC0915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15556511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12E92A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-0.56*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879545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A5590" w:rsidRPr="00D07D8F" w14:paraId="013BA422" w14:textId="77777777" w:rsidTr="007F390F">
        <w:trPr>
          <w:trHeight w:val="2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641296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CD56</w:t>
            </w:r>
            <w:r w:rsidRPr="00D07D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CD16</w:t>
            </w:r>
            <w:r w:rsidRPr="00D07D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029D723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02F40F7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5FDC291B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1C21E7DF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5BC9218A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188891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3C0FEC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A5590" w:rsidRPr="00D07D8F" w14:paraId="7F0F502D" w14:textId="77777777" w:rsidTr="007F390F">
        <w:trPr>
          <w:trHeight w:val="2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146632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CD14</w:t>
            </w:r>
            <w:r w:rsidRPr="00D07D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CD16</w:t>
            </w:r>
            <w:r w:rsidRPr="00D07D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1A16EB1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920827F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4F3B2843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2B848249" w14:textId="5F696991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27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1586EC3C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2178BC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21B451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A5590" w:rsidRPr="00D07D8F" w14:paraId="45AA7055" w14:textId="77777777" w:rsidTr="007F390F">
        <w:trPr>
          <w:trHeight w:val="2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83DCDD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CD14</w:t>
            </w:r>
            <w:r w:rsidRPr="00D07D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CD16</w:t>
            </w:r>
            <w:r w:rsidRPr="00D07D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2BCD058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0919370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2BD216DE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35C3FAB2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3A755369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0DA754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D92699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A5590" w:rsidRPr="00D07D8F" w14:paraId="2DC50B15" w14:textId="77777777" w:rsidTr="007F390F">
        <w:trPr>
          <w:trHeight w:val="2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A441EC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CD14</w:t>
            </w:r>
            <w:r w:rsidRPr="00D07D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CD16</w:t>
            </w:r>
            <w:r w:rsidRPr="00D07D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681DACB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EB37257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55365037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1FB03B4E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46DFD356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BB6655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51876C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AA5590" w:rsidRPr="00D07D8F" w14:paraId="64399066" w14:textId="77777777" w:rsidTr="007F390F">
        <w:trPr>
          <w:trHeight w:val="2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46FE17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MDSC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D8EB3E9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698DFB8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01CB42E1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6DD16B95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-0.59*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161915AA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60DFC4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754735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A5590" w:rsidRPr="00D07D8F" w14:paraId="07222A58" w14:textId="77777777" w:rsidTr="007F390F">
        <w:trPr>
          <w:trHeight w:val="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657239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g-MDSC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1DBAE07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3B01AA9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35FB9040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0ED9AC56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-0.59*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4FB524DA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538F37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AA30E2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A5590" w:rsidRPr="00D07D8F" w14:paraId="305DE675" w14:textId="77777777" w:rsidTr="007F390F">
        <w:trPr>
          <w:trHeight w:val="262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F1616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m-MDSC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F1298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951CC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3CD43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6481F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9C3B9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670CA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1D464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-0.52*</w:t>
            </w:r>
          </w:p>
        </w:tc>
      </w:tr>
      <w:tr w:rsidR="00AA5590" w:rsidRPr="00D07D8F" w14:paraId="309BDFE5" w14:textId="77777777" w:rsidTr="007F390F">
        <w:trPr>
          <w:trHeight w:val="262"/>
        </w:trPr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5EE016" w14:textId="77777777" w:rsidR="00AA5590" w:rsidRPr="00A95F02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p-values; </w:t>
            </w:r>
            <w:r w:rsidRPr="00204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*&lt;0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04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05, **&lt;0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04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C76DB4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C877B2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4B153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335F79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E25FC8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12AD3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54B476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590" w:rsidRPr="00172B5E" w14:paraId="0B81CBC3" w14:textId="77777777" w:rsidTr="007F390F">
        <w:trPr>
          <w:trHeight w:val="262"/>
        </w:trPr>
        <w:tc>
          <w:tcPr>
            <w:tcW w:w="72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9238A" w14:textId="77777777" w:rsidR="00AA5590" w:rsidRPr="00A95F02" w:rsidRDefault="00AA5590" w:rsidP="007F39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95F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Abbreviations; LN= lymph node, ER= estrogen receptor, PR= progesterone receptor, HER2= human epidermal growth factor receptor 2, Ki-67= proliferation index.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54CB0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BB075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D855F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25391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CDB83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DF168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2DAD3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1257D4C" w14:textId="77777777" w:rsidR="00AA5590" w:rsidRPr="00C56EF0" w:rsidRDefault="00AA5590">
      <w:pPr>
        <w:rPr>
          <w:lang w:val="en-US"/>
        </w:rPr>
      </w:pPr>
    </w:p>
    <w:p w14:paraId="2AD7083F" w14:textId="77777777" w:rsidR="00AA5590" w:rsidRPr="00C56EF0" w:rsidRDefault="00AA5590">
      <w:pPr>
        <w:rPr>
          <w:lang w:val="en-US"/>
        </w:rPr>
      </w:pPr>
    </w:p>
    <w:p w14:paraId="19D8DF54" w14:textId="77777777" w:rsidR="00AA5590" w:rsidRPr="00C56EF0" w:rsidRDefault="00AA5590">
      <w:pPr>
        <w:rPr>
          <w:lang w:val="en-US"/>
        </w:rPr>
      </w:pPr>
    </w:p>
    <w:p w14:paraId="7CE620A8" w14:textId="77777777" w:rsidR="00AA5590" w:rsidRPr="00C56EF0" w:rsidRDefault="00AA5590">
      <w:pPr>
        <w:rPr>
          <w:lang w:val="en-US"/>
        </w:rPr>
      </w:pPr>
    </w:p>
    <w:p w14:paraId="7A58984D" w14:textId="77777777" w:rsidR="00AA5590" w:rsidRPr="00C56EF0" w:rsidRDefault="00AA5590">
      <w:pPr>
        <w:rPr>
          <w:lang w:val="en-US"/>
        </w:rPr>
      </w:pPr>
    </w:p>
    <w:p w14:paraId="74BA4744" w14:textId="77777777" w:rsidR="00AA5590" w:rsidRPr="00C56EF0" w:rsidRDefault="00AA5590">
      <w:pPr>
        <w:rPr>
          <w:lang w:val="en-US"/>
        </w:rPr>
      </w:pPr>
    </w:p>
    <w:p w14:paraId="06A884CB" w14:textId="77777777" w:rsidR="00AA5590" w:rsidRPr="00C56EF0" w:rsidRDefault="00AA5590">
      <w:pPr>
        <w:rPr>
          <w:lang w:val="en-US"/>
        </w:rPr>
      </w:pPr>
    </w:p>
    <w:p w14:paraId="7E37793B" w14:textId="77777777" w:rsidR="00AA5590" w:rsidRPr="00C56EF0" w:rsidRDefault="00AA5590">
      <w:pPr>
        <w:rPr>
          <w:lang w:val="en-US"/>
        </w:rPr>
      </w:pPr>
    </w:p>
    <w:p w14:paraId="05B33173" w14:textId="77777777" w:rsidR="00AA5590" w:rsidRPr="00C56EF0" w:rsidRDefault="00AA5590">
      <w:pPr>
        <w:rPr>
          <w:lang w:val="en-US"/>
        </w:rPr>
      </w:pPr>
    </w:p>
    <w:p w14:paraId="3B267196" w14:textId="77777777" w:rsidR="00AA5590" w:rsidRPr="00C56EF0" w:rsidRDefault="00AA5590">
      <w:pPr>
        <w:rPr>
          <w:lang w:val="en-US"/>
        </w:rPr>
      </w:pPr>
    </w:p>
    <w:p w14:paraId="569E3013" w14:textId="77777777" w:rsidR="00AA5590" w:rsidRPr="00C56EF0" w:rsidRDefault="00AA5590">
      <w:pPr>
        <w:rPr>
          <w:lang w:val="en-US"/>
        </w:rPr>
      </w:pPr>
    </w:p>
    <w:p w14:paraId="64399329" w14:textId="77777777" w:rsidR="00AA5590" w:rsidRPr="00C56EF0" w:rsidRDefault="00AA5590">
      <w:pPr>
        <w:rPr>
          <w:lang w:val="en-US"/>
        </w:rPr>
      </w:pPr>
    </w:p>
    <w:p w14:paraId="275B56F9" w14:textId="77777777" w:rsidR="00AA5590" w:rsidRPr="00C56EF0" w:rsidRDefault="00AA5590">
      <w:pPr>
        <w:rPr>
          <w:lang w:val="en-US"/>
        </w:rPr>
      </w:pPr>
    </w:p>
    <w:p w14:paraId="6ABCC011" w14:textId="77777777" w:rsidR="00AA5590" w:rsidRPr="00C56EF0" w:rsidRDefault="00AA5590">
      <w:pPr>
        <w:rPr>
          <w:lang w:val="en-US"/>
        </w:rPr>
      </w:pPr>
    </w:p>
    <w:p w14:paraId="25D53E6A" w14:textId="77777777" w:rsidR="00AA5590" w:rsidRPr="00C56EF0" w:rsidRDefault="00AA5590">
      <w:pPr>
        <w:rPr>
          <w:lang w:val="en-US"/>
        </w:rPr>
      </w:pPr>
    </w:p>
    <w:p w14:paraId="192855BD" w14:textId="77777777" w:rsidR="00AA5590" w:rsidRPr="00C56EF0" w:rsidRDefault="00AA5590">
      <w:pPr>
        <w:rPr>
          <w:lang w:val="en-US"/>
        </w:rPr>
      </w:pPr>
    </w:p>
    <w:p w14:paraId="0209C9BD" w14:textId="77777777" w:rsidR="00AA5590" w:rsidRPr="00C56EF0" w:rsidRDefault="00AA5590">
      <w:pPr>
        <w:rPr>
          <w:lang w:val="en-US"/>
        </w:rPr>
      </w:pPr>
    </w:p>
    <w:p w14:paraId="171657CE" w14:textId="77777777" w:rsidR="00AA5590" w:rsidRPr="00C56EF0" w:rsidRDefault="00AA5590">
      <w:pPr>
        <w:rPr>
          <w:lang w:val="en-US"/>
        </w:rPr>
      </w:pPr>
    </w:p>
    <w:tbl>
      <w:tblPr>
        <w:tblStyle w:val="TaulukkoRuudukko"/>
        <w:tblW w:w="0" w:type="auto"/>
        <w:tblLook w:val="0480" w:firstRow="0" w:lastRow="0" w:firstColumn="1" w:lastColumn="0" w:noHBand="0" w:noVBand="1"/>
      </w:tblPr>
      <w:tblGrid>
        <w:gridCol w:w="1701"/>
        <w:gridCol w:w="993"/>
        <w:gridCol w:w="1275"/>
        <w:gridCol w:w="1266"/>
        <w:gridCol w:w="1002"/>
        <w:gridCol w:w="993"/>
        <w:gridCol w:w="285"/>
        <w:gridCol w:w="285"/>
        <w:gridCol w:w="285"/>
        <w:gridCol w:w="284"/>
        <w:gridCol w:w="320"/>
        <w:gridCol w:w="258"/>
        <w:gridCol w:w="272"/>
      </w:tblGrid>
      <w:tr w:rsidR="00AA5590" w:rsidRPr="00172B5E" w14:paraId="57686539" w14:textId="77777777" w:rsidTr="007F390F">
        <w:trPr>
          <w:trHeight w:val="206"/>
          <w:tblHeader/>
        </w:trPr>
        <w:tc>
          <w:tcPr>
            <w:tcW w:w="72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8F7DDF" w14:textId="1A961540" w:rsidR="00AA5590" w:rsidRPr="00D07D8F" w:rsidRDefault="00AA5590" w:rsidP="007F39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07D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Table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D07D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 Correlations between disease status and immune cell mobilization at 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30.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DCD21E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759759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3C11FE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AFCE4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147278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7855EA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84B033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5590" w:rsidRPr="00D07D8F" w14:paraId="3EFD9100" w14:textId="77777777" w:rsidTr="007F390F">
        <w:trPr>
          <w:trHeight w:val="206"/>
          <w:tblHeader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002D99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E22405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 xml:space="preserve">Grade, </w:t>
            </w:r>
          </w:p>
          <w:p w14:paraId="6E8C9AB2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scale 1–3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17986D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 xml:space="preserve">Tumor size, </w:t>
            </w:r>
          </w:p>
          <w:p w14:paraId="5B3F4784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scale 1–3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A77C74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LN</w:t>
            </w:r>
          </w:p>
          <w:p w14:paraId="255E3E64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involvement,</w:t>
            </w:r>
          </w:p>
          <w:p w14:paraId="2B8C4A69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scale 1–3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0F6DF2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ER,</w:t>
            </w:r>
          </w:p>
          <w:p w14:paraId="2AF9A18D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B76062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6F9785A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8AEBFD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HER2,</w:t>
            </w:r>
          </w:p>
          <w:p w14:paraId="2B8C13D7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pos/neg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E1EB29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Ki-67,</w:t>
            </w:r>
          </w:p>
          <w:p w14:paraId="71074561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A5590" w:rsidRPr="00D07D8F" w14:paraId="0801D1D8" w14:textId="77777777" w:rsidTr="007F390F">
        <w:trPr>
          <w:trHeight w:val="315"/>
        </w:trPr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0B08318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Total leukocytes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2EA1FE3F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17A37827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6" w:type="dxa"/>
            <w:tcBorders>
              <w:left w:val="nil"/>
              <w:bottom w:val="nil"/>
              <w:right w:val="nil"/>
            </w:tcBorders>
          </w:tcPr>
          <w:p w14:paraId="75452BA8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</w:tcPr>
          <w:p w14:paraId="79A8D4C6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5CF79CCD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9" w:type="dxa"/>
            <w:gridSpan w:val="4"/>
            <w:tcBorders>
              <w:left w:val="nil"/>
              <w:bottom w:val="nil"/>
              <w:right w:val="nil"/>
            </w:tcBorders>
          </w:tcPr>
          <w:p w14:paraId="22473B77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3"/>
            <w:tcBorders>
              <w:left w:val="nil"/>
              <w:bottom w:val="nil"/>
              <w:right w:val="nil"/>
            </w:tcBorders>
          </w:tcPr>
          <w:p w14:paraId="21C119A7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A5590" w:rsidRPr="00D07D8F" w14:paraId="22849CC0" w14:textId="77777777" w:rsidTr="007F390F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DC0B75" w14:textId="77777777" w:rsidR="00AA5590" w:rsidRPr="00D07D8F" w:rsidRDefault="00AA5590" w:rsidP="007F39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Neutrophils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CB065FD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0.49*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645769F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41E49830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79AF4EE3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572586B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B6E7C0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E57349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0.52*</w:t>
            </w:r>
          </w:p>
        </w:tc>
      </w:tr>
      <w:tr w:rsidR="00AA5590" w:rsidRPr="00D07D8F" w14:paraId="499D56DC" w14:textId="77777777" w:rsidTr="007F390F">
        <w:trPr>
          <w:trHeight w:val="27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7E346F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Lymphocytes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8AE797E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8779138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0E0ADEE6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5215D0F4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9FE11B6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FA2A44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34408E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AA5590" w:rsidRPr="00D07D8F" w14:paraId="7768EE04" w14:textId="77777777" w:rsidTr="007F390F">
        <w:trPr>
          <w:trHeight w:val="27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1A1681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Monocytes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7DE31DF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22C1E23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018D14A9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1C5E591C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A8D461C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C79BB1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ACACAB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A5590" w:rsidRPr="00D07D8F" w14:paraId="457D9324" w14:textId="77777777" w:rsidTr="007F390F">
        <w:trPr>
          <w:trHeight w:val="27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7FFDC0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Eosinophils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C36709D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F8B03EA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6321E96B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27049DAA" w14:textId="14F7471D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27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7215CE5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F5AABC" w14:textId="75CF76FD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27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A3DDB7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A5590" w:rsidRPr="00D07D8F" w14:paraId="39A20C2A" w14:textId="77777777" w:rsidTr="007F390F">
        <w:trPr>
          <w:trHeight w:val="27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82A7DD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Basophils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86EB6AF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A63128A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75CB3675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0FF53027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C44EF35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999016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394894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AA5590" w:rsidRPr="00D07D8F" w14:paraId="23AC1EB2" w14:textId="77777777" w:rsidTr="007F390F">
        <w:trPr>
          <w:trHeight w:val="27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B97C27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CD3</w:t>
            </w:r>
            <w:r w:rsidRPr="00D07D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EDCB64B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44A11B9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78969BB4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44E03CC1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9879566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-0.53*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7B495E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BA506C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A5590" w:rsidRPr="00D07D8F" w14:paraId="5B03F0EF" w14:textId="77777777" w:rsidTr="007F390F">
        <w:trPr>
          <w:trHeight w:val="2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2255E1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CD4</w:t>
            </w:r>
            <w:r w:rsidRPr="00D07D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9454997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225102F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62EA84E2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59F8B994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5F44DB0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553A7E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B1E0A4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A5590" w:rsidRPr="00D07D8F" w14:paraId="226157CE" w14:textId="77777777" w:rsidTr="007F390F">
        <w:trPr>
          <w:trHeight w:val="27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3ED651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Th1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2B0C4EF" w14:textId="0C5A52B6" w:rsidR="00AA5590" w:rsidRPr="00D07D8F" w:rsidRDefault="0040217E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27FC0B0" w14:textId="0023DA73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0217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2A102529" w14:textId="0BE269CD" w:rsidR="00AA5590" w:rsidRPr="00D07D8F" w:rsidRDefault="0040217E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486E6E3C" w14:textId="0801A482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021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F87D38E" w14:textId="4210CA32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0217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CBCDAC" w14:textId="1929B822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21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9E0638" w14:textId="7089AD44" w:rsidR="00AA5590" w:rsidRPr="00D07D8F" w:rsidRDefault="0040217E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A5590"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A55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5590" w:rsidRPr="00D07D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A5590" w:rsidRPr="00D07D8F" w14:paraId="7D48A5AE" w14:textId="77777777" w:rsidTr="007F390F">
        <w:trPr>
          <w:trHeight w:val="2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723BED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Th2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871AE84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C40D95D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5EDFB5B3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474A8A0A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19E7EB2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6F3D12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869D2D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A5590" w:rsidRPr="00D07D8F" w14:paraId="67433986" w14:textId="77777777" w:rsidTr="007F390F">
        <w:trPr>
          <w:trHeight w:val="27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08F859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Th17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E2C5D26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6FE6D71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49B984CE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6D28BD3B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EF07DF0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-0.50*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1C439D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5ADFAA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AA5590" w:rsidRPr="00D07D8F" w14:paraId="706C0B5F" w14:textId="77777777" w:rsidTr="007F390F">
        <w:trPr>
          <w:trHeight w:val="28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02AF6F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Treg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711026E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296E5EB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71FF256F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644C14F3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5CCA856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-0.47*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62C0F6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916F6B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A5590" w:rsidRPr="00D07D8F" w14:paraId="1234C304" w14:textId="77777777" w:rsidTr="007F390F">
        <w:trPr>
          <w:trHeight w:val="27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FD41DB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CD8</w:t>
            </w:r>
            <w:r w:rsidRPr="00D07D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DD4629F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7D8558A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61565890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48906673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6B73752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-0.59**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D2340F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23F32D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A5590" w:rsidRPr="00D07D8F" w14:paraId="76AF7C5B" w14:textId="77777777" w:rsidTr="007F390F">
        <w:trPr>
          <w:trHeight w:val="27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2A36BD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CD4</w:t>
            </w:r>
            <w:r w:rsidRPr="00D07D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CD8</w:t>
            </w:r>
            <w:r w:rsidRPr="00D07D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782B2AC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C0D4B4C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050E8226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18A38FA0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5C999DB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205142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DA1DA1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5590" w:rsidRPr="00D07D8F" w14:paraId="61E4234A" w14:textId="77777777" w:rsidTr="007F390F">
        <w:trPr>
          <w:trHeight w:val="2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42AB37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CD4</w:t>
            </w:r>
            <w:r w:rsidRPr="00D07D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CD8</w:t>
            </w:r>
            <w:r w:rsidRPr="00D07D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9AF3612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1BA2941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1DCD7EDA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6F883BAC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8662474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91506D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C76115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AA5590" w:rsidRPr="00D07D8F" w14:paraId="1922BB89" w14:textId="77777777" w:rsidTr="007F390F">
        <w:trPr>
          <w:trHeight w:val="2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2AC4B9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CD19</w:t>
            </w:r>
            <w:r w:rsidRPr="00D07D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BC9A3D4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19EE5D1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37E348AF" w14:textId="3E90CB82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27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25683F89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B5A3C11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BF3516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646FD3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AA5590" w:rsidRPr="00D07D8F" w14:paraId="31F75FF0" w14:textId="77777777" w:rsidTr="007F390F">
        <w:trPr>
          <w:trHeight w:val="2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812DFD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CD56</w:t>
            </w:r>
            <w:r w:rsidRPr="00D07D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ACE3E18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530E9DF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2088F0F9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40913595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DC166A7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8BE020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21DBBA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AA5590" w:rsidRPr="00D07D8F" w14:paraId="7231D848" w14:textId="77777777" w:rsidTr="007F390F">
        <w:trPr>
          <w:trHeight w:val="2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284D34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CD56</w:t>
            </w:r>
            <w:r w:rsidRPr="00D07D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CD16</w:t>
            </w:r>
            <w:r w:rsidRPr="00D07D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726CDFB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6B90D65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2443B53C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548C7498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B61D518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38C672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21DD42" w14:textId="376F8AE3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27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bookmarkStart w:id="0" w:name="_GoBack"/>
        <w:bookmarkEnd w:id="0"/>
      </w:tr>
      <w:tr w:rsidR="00AA5590" w:rsidRPr="00D07D8F" w14:paraId="5F482A93" w14:textId="77777777" w:rsidTr="007F390F">
        <w:trPr>
          <w:trHeight w:val="2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4341E8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CD56</w:t>
            </w:r>
            <w:r w:rsidRPr="00D07D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CD16</w:t>
            </w:r>
            <w:r w:rsidRPr="00D07D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84455F3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0A1F7B7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30A8CFF1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573E2DB0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76B8A50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5DC94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0BF879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AA5590" w:rsidRPr="00D07D8F" w14:paraId="2EECAFF7" w14:textId="77777777" w:rsidTr="007F390F">
        <w:trPr>
          <w:trHeight w:val="2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962377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CD14</w:t>
            </w:r>
            <w:r w:rsidRPr="00D07D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CD16</w:t>
            </w:r>
            <w:r w:rsidRPr="00D07D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0DB72CF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DD03C4D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48A62C4A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29FDF650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EDF3654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33F122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B67D2A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A5590" w:rsidRPr="00D07D8F" w14:paraId="368FCBC5" w14:textId="77777777" w:rsidTr="007F390F">
        <w:trPr>
          <w:trHeight w:val="2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276C60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CD14</w:t>
            </w:r>
            <w:r w:rsidRPr="00D07D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CD16</w:t>
            </w:r>
            <w:r w:rsidRPr="00D07D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87569F5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B6E8FA2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7B88F318" w14:textId="33FC0A4A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27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4FE2D73B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C67C17C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767DB9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C20D95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A5590" w:rsidRPr="00D07D8F" w14:paraId="49826B32" w14:textId="77777777" w:rsidTr="007F390F">
        <w:trPr>
          <w:trHeight w:val="2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8918B6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CD14</w:t>
            </w:r>
            <w:r w:rsidRPr="00D07D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CD16</w:t>
            </w:r>
            <w:r w:rsidRPr="00D07D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785D748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4A0C4D7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46AC4439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59C2098F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3F59E66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CA74AB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EA6DC7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A5590" w:rsidRPr="00D07D8F" w14:paraId="4566D930" w14:textId="77777777" w:rsidTr="007F390F">
        <w:trPr>
          <w:trHeight w:val="2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5744F1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MDSC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DFC9AFB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ED26952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191F5C56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6326184C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77EF945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2DA7DA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8D4398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A5590" w:rsidRPr="00D07D8F" w14:paraId="13C36FB5" w14:textId="77777777" w:rsidTr="007F390F">
        <w:trPr>
          <w:trHeight w:val="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A6DE68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g-MDSC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DAEF8B3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0.54*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C87B85A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7DB83FEA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2078F184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AD61205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7E2514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61533F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A5590" w:rsidRPr="00D07D8F" w14:paraId="78C8FE90" w14:textId="77777777" w:rsidTr="007F390F">
        <w:trPr>
          <w:trHeight w:val="262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121BC" w14:textId="77777777" w:rsidR="00AA5590" w:rsidRPr="00D07D8F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m-MDSC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7FEDD" w14:textId="77777777" w:rsidR="00AA5590" w:rsidRPr="00C56EF0" w:rsidRDefault="00AA5590" w:rsidP="007F39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-0.54*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194EC3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F46AA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6A79A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86922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5FAF2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8D53A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7D8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A5590" w:rsidRPr="00D07D8F" w14:paraId="12E86CC0" w14:textId="77777777" w:rsidTr="007F390F">
        <w:trPr>
          <w:trHeight w:val="262"/>
        </w:trPr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DADB1D" w14:textId="77777777" w:rsidR="00AA5590" w:rsidRPr="00A95F02" w:rsidRDefault="00AA5590" w:rsidP="007F3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p-values; </w:t>
            </w:r>
            <w:r w:rsidRPr="00204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*&lt;0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04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05, **&lt;0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04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14CAAA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FC183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9F8BB1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BEDB9F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FC1FD4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DE347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E4FDC6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590" w:rsidRPr="00172B5E" w14:paraId="59D7E0F3" w14:textId="77777777" w:rsidTr="007F390F">
        <w:trPr>
          <w:trHeight w:val="262"/>
        </w:trPr>
        <w:tc>
          <w:tcPr>
            <w:tcW w:w="72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A0B0BA" w14:textId="77777777" w:rsidR="00AA5590" w:rsidRPr="00A95F02" w:rsidRDefault="00AA5590" w:rsidP="007F39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95F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Abbreviations; LN= lymph node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95F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ER= estrogen receptor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95F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PR= progesterone receptor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95F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HER2= human epidermal growth factor receptor 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95F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Ki-67= proliferation index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8CB81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3D81F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D70950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CF2D8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4D0575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7542A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49012" w14:textId="77777777" w:rsidR="00AA5590" w:rsidRPr="00D07D8F" w:rsidRDefault="00AA5590" w:rsidP="007F39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AB15878" w14:textId="77777777" w:rsidR="00AA5590" w:rsidRPr="00C56EF0" w:rsidRDefault="00AA5590">
      <w:pPr>
        <w:rPr>
          <w:lang w:val="en-US"/>
        </w:rPr>
      </w:pPr>
    </w:p>
    <w:sectPr w:rsidR="00AA5590" w:rsidRPr="00C56EF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fi-FI" w:vendorID="64" w:dllVersion="131078" w:nlCheck="1" w:checkStyle="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90"/>
    <w:rsid w:val="00172B5E"/>
    <w:rsid w:val="002F65E4"/>
    <w:rsid w:val="003206B9"/>
    <w:rsid w:val="00336446"/>
    <w:rsid w:val="0040217E"/>
    <w:rsid w:val="00806F79"/>
    <w:rsid w:val="008271E6"/>
    <w:rsid w:val="00AA5590"/>
    <w:rsid w:val="00B36110"/>
    <w:rsid w:val="00B964B4"/>
    <w:rsid w:val="00C56EF0"/>
    <w:rsid w:val="00C96C58"/>
    <w:rsid w:val="00CB7FEB"/>
    <w:rsid w:val="00DD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B312"/>
  <w15:chartTrackingRefBased/>
  <w15:docId w15:val="{7987CB70-2601-7D4C-999F-9BBBA850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normaltextrun1">
    <w:name w:val="normaltextrun1"/>
    <w:basedOn w:val="Kappaleenoletusfontti"/>
    <w:rsid w:val="00AA5590"/>
  </w:style>
  <w:style w:type="table" w:styleId="TaulukkoRuudukko">
    <w:name w:val="Table Grid"/>
    <w:basedOn w:val="Normaalitaulukko"/>
    <w:uiPriority w:val="39"/>
    <w:rsid w:val="00AA5590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06F79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06F79"/>
    <w:rPr>
      <w:rFonts w:ascii="Segoe UI" w:hAnsi="Segoe UI" w:cs="Segoe UI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806F7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06F79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06F79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06F7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06F79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C56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1016</Words>
  <Characters>8234</Characters>
  <Application>Microsoft Office Word</Application>
  <DocSecurity>0</DocSecurity>
  <Lines>68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Koivula</dc:creator>
  <cp:keywords/>
  <dc:description/>
  <cp:lastModifiedBy>Koivula Tiia</cp:lastModifiedBy>
  <cp:revision>6</cp:revision>
  <dcterms:created xsi:type="dcterms:W3CDTF">2024-05-10T10:23:00Z</dcterms:created>
  <dcterms:modified xsi:type="dcterms:W3CDTF">2024-06-17T08:39:00Z</dcterms:modified>
</cp:coreProperties>
</file>