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CE91" w14:textId="77777777" w:rsidR="00E56C6D" w:rsidRDefault="00000000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t xml:space="preserve">Table S1 </w:t>
      </w:r>
    </w:p>
    <w:p w14:paraId="72CD7E11" w14:textId="77777777" w:rsidR="00E56C6D" w:rsidRDefault="00000000">
      <w:pPr>
        <w:rPr>
          <w:rFonts w:ascii="Times New Roman" w:eastAsia="SimSun" w:hAnsi="Times New Roman" w:cs="Times New Roman"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3E3D40"/>
          <w:sz w:val="20"/>
          <w:szCs w:val="20"/>
          <w:shd w:val="clear" w:color="auto" w:fill="FFFFFF"/>
        </w:rPr>
        <w:t>China 's total output of aquatic products in 2020.</w:t>
      </w:r>
    </w:p>
    <w:tbl>
      <w:tblPr>
        <w:tblStyle w:val="TableGrid"/>
        <w:tblW w:w="4998" w:type="pct"/>
        <w:jc w:val="center"/>
        <w:tblLook w:val="04A0" w:firstRow="1" w:lastRow="0" w:firstColumn="1" w:lastColumn="0" w:noHBand="0" w:noVBand="1"/>
      </w:tblPr>
      <w:tblGrid>
        <w:gridCol w:w="2839"/>
        <w:gridCol w:w="2840"/>
        <w:gridCol w:w="2840"/>
      </w:tblGrid>
      <w:tr w:rsidR="00E56C6D" w14:paraId="22A55DAA" w14:textId="77777777">
        <w:trPr>
          <w:trHeight w:val="312"/>
          <w:jc w:val="center"/>
        </w:trPr>
        <w:tc>
          <w:tcPr>
            <w:tcW w:w="16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vAlign w:val="center"/>
          </w:tcPr>
          <w:p w14:paraId="506A59D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I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ndex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06980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Production(10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4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t)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414F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Aquaculture production(10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4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t)</w:t>
            </w:r>
          </w:p>
        </w:tc>
      </w:tr>
      <w:tr w:rsidR="00E56C6D" w14:paraId="48C92AD4" w14:textId="77777777">
        <w:trPr>
          <w:trHeight w:val="312"/>
          <w:jc w:val="center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707F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Pisces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CA6ED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3752.69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A361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2761.36</w:t>
            </w:r>
          </w:p>
        </w:tc>
      </w:tr>
      <w:tr w:rsidR="00E56C6D" w14:paraId="3901FB1B" w14:textId="77777777"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CDC2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Crustaceans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5EB6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800.56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3B8B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603.29</w:t>
            </w:r>
          </w:p>
        </w:tc>
      </w:tr>
      <w:tr w:rsidR="00E56C6D" w14:paraId="0082F67F" w14:textId="77777777">
        <w:trPr>
          <w:trHeight w:val="295"/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0AFE5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Shellfish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B5C8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1552.04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90DC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1498.71</w:t>
            </w:r>
          </w:p>
        </w:tc>
      </w:tr>
      <w:tr w:rsidR="00E56C6D" w14:paraId="23517186" w14:textId="77777777"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7202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Alga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D8827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264.34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119A1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262.14</w:t>
            </w:r>
          </w:p>
        </w:tc>
      </w:tr>
      <w:tr w:rsidR="00E56C6D" w14:paraId="714E7B5A" w14:textId="77777777"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CDD4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Cephalopods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0A33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56.49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31D7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E56C6D" w14:paraId="06C866B8" w14:textId="77777777">
        <w:trPr>
          <w:jc w:val="center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F282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Miscellaneous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142EC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122.91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303E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98.70</w:t>
            </w:r>
          </w:p>
        </w:tc>
      </w:tr>
      <w:tr w:rsidR="00E56C6D" w14:paraId="6035FE2D" w14:textId="77777777">
        <w:trPr>
          <w:jc w:val="center"/>
        </w:trPr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119591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Sum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47C972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6549.02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AC0C44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5224.20</w:t>
            </w:r>
          </w:p>
        </w:tc>
      </w:tr>
    </w:tbl>
    <w:p w14:paraId="1264FB43" w14:textId="77777777" w:rsidR="00E56C6D" w:rsidRDefault="00E56C6D"/>
    <w:p w14:paraId="4707F6EE" w14:textId="77777777" w:rsidR="00E56C6D" w:rsidRDefault="00000000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t>Table S2</w:t>
      </w:r>
    </w:p>
    <w:p w14:paraId="1798EE24" w14:textId="77777777" w:rsidR="00E56C6D" w:rsidRDefault="00000000">
      <w:pPr>
        <w:rPr>
          <w:rFonts w:ascii="Times New Roman" w:eastAsia="SimSun" w:hAnsi="Times New Roman" w:cs="Times New Roman"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3E3D40"/>
          <w:sz w:val="20"/>
          <w:szCs w:val="20"/>
          <w:shd w:val="clear" w:color="auto" w:fill="FFFFFF"/>
        </w:rPr>
        <w:t xml:space="preserve">The discovery of red tide in </w:t>
      </w:r>
      <w:proofErr w:type="gramStart"/>
      <w:r>
        <w:rPr>
          <w:rFonts w:ascii="Times New Roman" w:eastAsia="SimSun" w:hAnsi="Times New Roman" w:cs="Times New Roman" w:hint="eastAsia"/>
          <w:color w:val="3E3D40"/>
          <w:sz w:val="20"/>
          <w:szCs w:val="20"/>
          <w:shd w:val="clear" w:color="auto" w:fill="FFFFFF"/>
        </w:rPr>
        <w:t>Fujian sea</w:t>
      </w:r>
      <w:proofErr w:type="gramEnd"/>
      <w:r>
        <w:rPr>
          <w:rFonts w:ascii="Times New Roman" w:eastAsia="SimSun" w:hAnsi="Times New Roman" w:cs="Times New Roman" w:hint="eastAsia"/>
          <w:color w:val="3E3D40"/>
          <w:sz w:val="20"/>
          <w:szCs w:val="20"/>
          <w:shd w:val="clear" w:color="auto" w:fill="FFFFFF"/>
        </w:rPr>
        <w:t xml:space="preserve"> area in 2021.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778"/>
        <w:gridCol w:w="570"/>
        <w:gridCol w:w="2469"/>
        <w:gridCol w:w="1101"/>
        <w:gridCol w:w="1791"/>
      </w:tblGrid>
      <w:tr w:rsidR="00E56C6D" w14:paraId="467D3A93" w14:textId="77777777">
        <w:trPr>
          <w:jc w:val="center"/>
        </w:trPr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vAlign w:val="center"/>
          </w:tcPr>
          <w:p w14:paraId="60F4A136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Region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D96F0F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ime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64F24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ays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96F6D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ea area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94D83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aximal area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(km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F4A2C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ominant species</w:t>
            </w:r>
          </w:p>
        </w:tc>
      </w:tr>
      <w:tr w:rsidR="00E56C6D" w14:paraId="33F387A1" w14:textId="77777777">
        <w:trPr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CE2E8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Fuzhou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9BF64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ay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~11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902264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41F9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sea area near Houwan Village,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Lianjiang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D6FDF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9B3C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Noctiluca scintillans</w:t>
            </w:r>
          </w:p>
        </w:tc>
      </w:tr>
      <w:tr w:rsidR="00E56C6D" w14:paraId="0EC8071F" w14:textId="77777777">
        <w:trPr>
          <w:jc w:val="center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70242" w14:textId="77777777" w:rsidR="00E56C6D" w:rsidRDefault="00E56C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0E5E7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September 30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~October 6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4BCA4F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D1DE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Huangqi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bay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1F626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CDC9C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Akashiwo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sanguinea</w:t>
            </w:r>
            <w:proofErr w:type="spellEnd"/>
          </w:p>
        </w:tc>
      </w:tr>
      <w:tr w:rsidR="00E56C6D" w14:paraId="62CD22D8" w14:textId="77777777">
        <w:trPr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C5D773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Pingtan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7308C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ay 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 th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~27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E0F32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9F50A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sea area near Su 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Pingtan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A658F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7127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Noctiluca scintillans</w:t>
            </w:r>
          </w:p>
        </w:tc>
      </w:tr>
      <w:tr w:rsidR="00E56C6D" w14:paraId="3AF9C17C" w14:textId="77777777">
        <w:trPr>
          <w:jc w:val="center"/>
        </w:trPr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2BEA5B6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Ningde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6E830E1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June 7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~10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4A7E1A8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788D388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sea area near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Yujing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Village, Xiamen Township, Fuding City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727D8A7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EAF6D1D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Prorocentrum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donghaiense</w:t>
            </w:r>
            <w:proofErr w:type="spellEnd"/>
          </w:p>
        </w:tc>
      </w:tr>
    </w:tbl>
    <w:p w14:paraId="1A80849F" w14:textId="77777777" w:rsidR="00E56C6D" w:rsidRDefault="00E56C6D"/>
    <w:p w14:paraId="4F6C81AE" w14:textId="77777777" w:rsidR="00E56C6D" w:rsidRDefault="00E56C6D"/>
    <w:p w14:paraId="10B7D9B7" w14:textId="77777777" w:rsidR="00E56C6D" w:rsidRDefault="00E56C6D"/>
    <w:p w14:paraId="7827EB5D" w14:textId="77777777" w:rsidR="00E56C6D" w:rsidRDefault="00E56C6D"/>
    <w:p w14:paraId="2E7D3D3B" w14:textId="77777777" w:rsidR="00E56C6D" w:rsidRDefault="00E56C6D"/>
    <w:p w14:paraId="15A2D063" w14:textId="77777777" w:rsidR="00E56C6D" w:rsidRDefault="00E56C6D"/>
    <w:p w14:paraId="2221122D" w14:textId="77777777" w:rsidR="00E56C6D" w:rsidRDefault="00E56C6D"/>
    <w:p w14:paraId="69C30244" w14:textId="77777777" w:rsidR="00E56C6D" w:rsidRDefault="00E56C6D"/>
    <w:p w14:paraId="793AD433" w14:textId="77777777" w:rsidR="00E56C6D" w:rsidRDefault="00E56C6D"/>
    <w:p w14:paraId="60EB9F23" w14:textId="77777777" w:rsidR="00E56C6D" w:rsidRDefault="00E56C6D"/>
    <w:p w14:paraId="4A44F03C" w14:textId="77777777" w:rsidR="00E56C6D" w:rsidRDefault="00E56C6D"/>
    <w:p w14:paraId="51C10490" w14:textId="77777777" w:rsidR="00E56C6D" w:rsidRDefault="00E56C6D"/>
    <w:p w14:paraId="74D8EF30" w14:textId="77777777" w:rsidR="00E56C6D" w:rsidRDefault="00E56C6D"/>
    <w:p w14:paraId="415CED56" w14:textId="77777777" w:rsidR="00E56C6D" w:rsidRDefault="00E56C6D"/>
    <w:p w14:paraId="2509E179" w14:textId="77777777" w:rsidR="00E56C6D" w:rsidRDefault="00E56C6D"/>
    <w:p w14:paraId="071BA1A6" w14:textId="77777777" w:rsidR="00E56C6D" w:rsidRDefault="00E56C6D"/>
    <w:p w14:paraId="4A1503BE" w14:textId="77777777" w:rsidR="00E56C6D" w:rsidRDefault="00E56C6D"/>
    <w:p w14:paraId="233D70D5" w14:textId="77777777" w:rsidR="00E56C6D" w:rsidRDefault="00E56C6D"/>
    <w:p w14:paraId="071E68EF" w14:textId="77777777" w:rsidR="00E56C6D" w:rsidRDefault="00E56C6D"/>
    <w:p w14:paraId="34AC4C3A" w14:textId="77777777" w:rsidR="00E56C6D" w:rsidRDefault="00E56C6D"/>
    <w:p w14:paraId="50F517C6" w14:textId="77777777" w:rsidR="00E56C6D" w:rsidRDefault="00E56C6D"/>
    <w:p w14:paraId="659DE470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  <w:sectPr w:rsidR="00E56C6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5190E6" w14:textId="77777777" w:rsidR="00E56C6D" w:rsidRDefault="00000000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lastRenderedPageBreak/>
        <w:t xml:space="preserve">Table S3 </w:t>
      </w:r>
    </w:p>
    <w:p w14:paraId="5530BD31" w14:textId="77777777" w:rsidR="00E56C6D" w:rsidRDefault="00000000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Georgia" w:hAnsi="Times New Roman" w:cs="Times New Roman"/>
          <w:color w:val="1F1F1F"/>
          <w:sz w:val="20"/>
          <w:szCs w:val="20"/>
        </w:rPr>
        <w:t xml:space="preserve">Indicator grading criteria for ecosystem health evaluation in </w:t>
      </w:r>
      <w:proofErr w:type="spellStart"/>
      <w:r>
        <w:rPr>
          <w:rFonts w:ascii="Times New Roman" w:eastAsia="SimSun" w:hAnsi="Times New Roman" w:cs="Times New Roman" w:hint="eastAsia"/>
          <w:color w:val="1F1F1F"/>
          <w:sz w:val="20"/>
          <w:szCs w:val="20"/>
        </w:rPr>
        <w:t>Sansha</w:t>
      </w:r>
      <w:proofErr w:type="spellEnd"/>
      <w:r>
        <w:rPr>
          <w:rFonts w:ascii="Times New Roman" w:eastAsia="Georgia" w:hAnsi="Times New Roman" w:cs="Times New Roman"/>
          <w:color w:val="1F1F1F"/>
          <w:sz w:val="20"/>
          <w:szCs w:val="20"/>
        </w:rPr>
        <w:t xml:space="preserve"> Bay.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451"/>
        <w:gridCol w:w="1434"/>
        <w:gridCol w:w="2529"/>
        <w:gridCol w:w="1322"/>
        <w:gridCol w:w="2847"/>
      </w:tblGrid>
      <w:tr w:rsidR="00E56C6D" w14:paraId="761CB078" w14:textId="77777777">
        <w:trPr>
          <w:tblHeader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9D6E18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70B5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xcellent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B599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ood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8737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air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2308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oor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CDA3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ery poor</w:t>
            </w:r>
          </w:p>
        </w:tc>
      </w:tr>
      <w:tr w:rsidR="00E56C6D" w14:paraId="01ED725D" w14:textId="77777777">
        <w:trPr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AADDC9" w14:textId="77777777" w:rsidR="00E56C6D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The comprehensive disturbance index of sea use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(P1)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0B3AF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＜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≤0.17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E1F27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0.17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＜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≤0.23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20A0A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0.23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＜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≤0.6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C0923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0.6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＜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≤0.8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B7315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0.8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＜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＜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56C6D" w14:paraId="7B178708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0D49086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3BD6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[80,100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6A19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[60,80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1950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40,60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FE83A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[20,40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0DAFA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[0,20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</w:tr>
      <w:tr w:rsidR="00E56C6D" w14:paraId="698796F8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50A42C2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The p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roportion of industrial discharge outlets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(P2)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14:paraId="453DA8F5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bookmarkStart w:id="0" w:name="OLE_LINK2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assignment method of P2 is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：</w:t>
            </w:r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minimum value of P2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 corresponds to the assignment of 100, and the maximum value of P2 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14.19 %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corresponds to the assignment of 0. According to the linear relationship, the assignment calculation formula is: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P2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(A)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=100</m:t>
              </m:r>
              <m:r>
                <w:rPr>
                  <w:rFonts w:ascii="Cambria Math" w:hAnsi="Cambria Math" w:cs="Cambria Math"/>
                  <w:color w:val="000000"/>
                  <w:sz w:val="16"/>
                  <w:szCs w:val="16"/>
                </w:rPr>
                <m:t>-</m:t>
              </m:r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705</m:t>
              </m:r>
              <m:r>
                <w:rPr>
                  <w:rFonts w:ascii="Cambria Math" w:hAnsi="Cambria Math" w:cs="Cambria Math"/>
                  <w:color w:val="000000"/>
                  <w:sz w:val="16"/>
                  <w:szCs w:val="16"/>
                </w:rPr>
                <m:t>×</m:t>
              </m:r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P2</m:t>
              </m:r>
            </m:oMath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E56C6D" w14:paraId="09B55BEC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11B78B6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AAF3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[80,100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022C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[60,80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1F6D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40,60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68C5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[20,40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1B18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[0,20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</w:tr>
      <w:tr w:rsidR="00E56C6D" w14:paraId="363329A6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0D941D3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The d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ensity of total discharge outlets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(P3)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14:paraId="06318E77" w14:textId="77777777" w:rsidR="00E56C6D" w:rsidRDefault="00000000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assignment method of P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：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The minimum value of P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 corresponds to the assignment of 100, and the maximum value of P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) corresponds to the assignment of 0. According to the linear relationship, the assignment calculation formula is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P3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16"/>
                      <w:szCs w:val="16"/>
                    </w:rPr>
                    <m:t>(A)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=100</m:t>
              </m:r>
              <m:r>
                <w:rPr>
                  <w:rFonts w:ascii="Cambria Math" w:hAnsi="Cambria Math" w:cs="Cambria Math"/>
                  <w:color w:val="000000"/>
                  <w:sz w:val="16"/>
                  <w:szCs w:val="16"/>
                </w:rPr>
                <m:t>-2</m:t>
              </m:r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5</m:t>
              </m:r>
              <m:r>
                <w:rPr>
                  <w:rFonts w:ascii="Cambria Math" w:hAnsi="Cambria Math" w:cs="Cambria Math"/>
                  <w:color w:val="000000"/>
                  <w:sz w:val="16"/>
                  <w:szCs w:val="16"/>
                </w:rPr>
                <m:t>×</m:t>
              </m:r>
              <m: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P3</m:t>
              </m:r>
            </m:oMath>
            <w:r>
              <w:rPr>
                <w:rFonts w:ascii="Arial" w:hAnsi="Arial" w:cs="Arial" w:hint="eastAsia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E56C6D" w14:paraId="431744BB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3D1848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6AE0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[80,100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DEFAB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[60,80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6077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[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40,60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A36A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[20,40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2F994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[0,20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</w:tr>
      <w:tr w:rsidR="00E56C6D" w14:paraId="57BE1D97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EB485E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The r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egional environment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al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 xml:space="preserve"> risk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(P4)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21C8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P4=0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D3BA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P4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35B8D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P4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063F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P4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82D4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P4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≥100</w:t>
            </w:r>
          </w:p>
        </w:tc>
      </w:tr>
      <w:tr w:rsidR="00E56C6D" w14:paraId="0FBE54BF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3381FC0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F628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63ACC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(75,100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8696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(50,75]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0216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(25,50]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D706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[0,25]</w:t>
            </w:r>
          </w:p>
        </w:tc>
      </w:tr>
      <w:tr w:rsidR="00E56C6D" w14:paraId="4C23640A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13C5ECB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The phosphorus-to-nitrogen molar ratio(S1)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18083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F317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9912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&lt;8</w:t>
            </w:r>
          </w:p>
          <w:p w14:paraId="6FE14BD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or</w:t>
            </w:r>
          </w:p>
          <w:p w14:paraId="31287C4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32&lt;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4CEB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B264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&lt;4</w:t>
            </w:r>
          </w:p>
          <w:p w14:paraId="4D28964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or</w:t>
            </w:r>
          </w:p>
          <w:p w14:paraId="291956C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S1 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&gt;64</w:t>
            </w:r>
          </w:p>
        </w:tc>
      </w:tr>
      <w:tr w:rsidR="00E56C6D" w14:paraId="6EB0C1F4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04C1B99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A77A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[80,100]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CE182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1E7C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[60,80)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6E74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2C0F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[0,60)</w:t>
            </w:r>
          </w:p>
        </w:tc>
      </w:tr>
      <w:tr w:rsidR="00E56C6D" w14:paraId="69EDCBF6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0E0D96C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The dissolved oxygen saturation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(S2)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DB10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95%≤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≤110%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DFD0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C04C4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80%≤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&lt;95%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or 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110%&lt;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≤120%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A569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8DE2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&lt;80%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or</w:t>
            </w:r>
          </w:p>
          <w:p w14:paraId="4D0F95A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&gt;120%</w:t>
            </w:r>
          </w:p>
        </w:tc>
      </w:tr>
      <w:tr w:rsidR="00E56C6D" w14:paraId="004B914D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2B68C7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75A8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[100,80]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8570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4EFED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[60,80)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3FF9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FEF4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[0,60)</w:t>
            </w:r>
          </w:p>
        </w:tc>
      </w:tr>
      <w:tr w:rsidR="00E56C6D" w14:paraId="6379402E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E11D8E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The comprehensive water heavy metal pollution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(S3)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B6DB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S3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CCC2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S3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03F9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4.2≤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S3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F38A4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8.4≤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S3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0B744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37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S3</w:t>
            </w:r>
          </w:p>
        </w:tc>
      </w:tr>
      <w:tr w:rsidR="00E56C6D" w14:paraId="6D47BF0E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3DA003D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14FB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[80,100]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BE0D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[60,80)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8C9AC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[40,60)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9960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0,40)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9CB7E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E56C6D" w14:paraId="1FB471FE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7479676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The 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quatic product quality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(S4)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FF8A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S4&lt;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0.2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725D8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0.2≤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S4&lt;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7BF06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0.6≤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S4&lt;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31EF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90C9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</w:tr>
      <w:tr w:rsidR="00E56C6D" w14:paraId="0ABADF5C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885EA2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lastRenderedPageBreak/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49B9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(80,100]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16C8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(60,80]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E841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[40,60]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E2D8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[0,40]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5D00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</w:tr>
      <w:tr w:rsidR="00E56C6D" w14:paraId="718D7AB6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3E178A1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The phytoplankton species diversity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(S5)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95AA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3.8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7079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S5&lt;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AB06A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1.8≤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S5&lt;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BADA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0.9≤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S5&lt;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B1D03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S5&lt;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0.9</w:t>
            </w:r>
          </w:p>
        </w:tc>
      </w:tr>
      <w:tr w:rsidR="00E56C6D" w14:paraId="697C1BEC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5BA982D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0C5895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AEF8A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[75,100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55B0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[50,75)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0134B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[25,50)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12EC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[0,25)</w:t>
            </w:r>
          </w:p>
        </w:tc>
      </w:tr>
      <w:tr w:rsidR="00E56C6D" w14:paraId="20364B8F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59481D5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The z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ooplankton species diversity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(S6)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ADFC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4.0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86FC0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2.4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S6&lt;4.0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0721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1.5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S6&lt;2.4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A691E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0.9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S6&lt;1.5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772A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S6&lt;0.9</w:t>
            </w:r>
          </w:p>
        </w:tc>
      </w:tr>
      <w:tr w:rsidR="00E56C6D" w14:paraId="6D3DDCFE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5DFD6D16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4ED16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4A2F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[75,100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AD37F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[50,75)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A100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[25,50)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6711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[0,25)</w:t>
            </w:r>
          </w:p>
        </w:tc>
      </w:tr>
      <w:tr w:rsidR="00E56C6D" w14:paraId="5F6792B3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7953E180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The red tide risk index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(S7)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ED4A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S7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≤1.0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FD1F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6FABF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1.0≤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S7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&lt;2.5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1E618E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15B4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S7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≥2.5</w:t>
            </w:r>
          </w:p>
        </w:tc>
      </w:tr>
      <w:tr w:rsidR="00E56C6D" w14:paraId="24CA6B78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2373CA0D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B133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[80,100]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CEB3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9771D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[60,80)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74A6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E309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[0,60)</w:t>
            </w:r>
          </w:p>
        </w:tc>
      </w:tr>
      <w:tr w:rsidR="00E56C6D" w14:paraId="684FCE77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04899BEF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The ratio of filter-feeding shellfish and macroalgae cultivation area to the total aquaculture area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(R1)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FE24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R1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≥15%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08E8C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7077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5%≤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R1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62CB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EED3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R1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5%</w:t>
            </w:r>
          </w:p>
        </w:tc>
      </w:tr>
      <w:tr w:rsidR="00E56C6D" w14:paraId="3A9B9CBC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58B0A9DC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135B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[80,100]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66A5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9B882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[60,80)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B842A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E19199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[0,60)</w:t>
            </w:r>
          </w:p>
        </w:tc>
      </w:tr>
      <w:tr w:rsidR="00E56C6D" w14:paraId="5DA4370C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7ED89F66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The expanse of nature reserves(R2)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681AB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R2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≥38%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5D8B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6BB9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10%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R2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＜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38%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78007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73CC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R2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≤10%</w:t>
            </w:r>
          </w:p>
        </w:tc>
      </w:tr>
      <w:tr w:rsidR="00E56C6D" w14:paraId="1F5DCDE9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7FE0B87F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2EAF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[80,100]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D68FD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1889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(60,80)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25BD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2AA73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[0,60]</w:t>
            </w:r>
          </w:p>
        </w:tc>
      </w:tr>
      <w:tr w:rsidR="00E56C6D" w14:paraId="5270C69F" w14:textId="77777777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CB130D1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The duration of the 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fishing moratorium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  <w:lang w:bidi="ar"/>
              </w:rPr>
              <w:t>(R3)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AC593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Comply with policy requirements.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A77CA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23CA0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CA17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B15D1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Non-compliance with policy requirements</w:t>
            </w:r>
          </w:p>
        </w:tc>
      </w:tr>
      <w:tr w:rsidR="00E56C6D" w14:paraId="15A27BAF" w14:textId="77777777">
        <w:trPr>
          <w:tblHeader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B80977B" w14:textId="77777777" w:rsidR="00E56C6D" w:rsidRDefault="0000000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ssignment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 xml:space="preserve"> Score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401BBB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100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74AACC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BC95A76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6A00834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—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4679A98" w14:textId="77777777" w:rsidR="00E56C6D" w:rsidRDefault="00000000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</w:tr>
    </w:tbl>
    <w:p w14:paraId="156FA079" w14:textId="77777777" w:rsidR="00E56C6D" w:rsidRDefault="00E56C6D"/>
    <w:p w14:paraId="766C08C3" w14:textId="77777777" w:rsidR="00E56C6D" w:rsidRDefault="00E56C6D"/>
    <w:p w14:paraId="299913A2" w14:textId="77777777" w:rsidR="00E56C6D" w:rsidRDefault="00E56C6D"/>
    <w:p w14:paraId="7092EBD1" w14:textId="77777777" w:rsidR="00E56C6D" w:rsidRDefault="00E56C6D"/>
    <w:p w14:paraId="4F6D9315" w14:textId="77777777" w:rsidR="00E56C6D" w:rsidRDefault="00E56C6D"/>
    <w:p w14:paraId="39B064AC" w14:textId="77777777" w:rsidR="00E56C6D" w:rsidRDefault="00E56C6D"/>
    <w:p w14:paraId="3F12DE5F" w14:textId="77777777" w:rsidR="00E56C6D" w:rsidRDefault="00E56C6D"/>
    <w:p w14:paraId="51E9ABB7" w14:textId="77777777" w:rsidR="00E56C6D" w:rsidRDefault="00E56C6D"/>
    <w:p w14:paraId="0C6D7715" w14:textId="77777777" w:rsidR="00E56C6D" w:rsidRDefault="00E56C6D"/>
    <w:p w14:paraId="5E7E0DCF" w14:textId="77777777" w:rsidR="00E56C6D" w:rsidRDefault="00E56C6D"/>
    <w:p w14:paraId="24E4AC59" w14:textId="77777777" w:rsidR="00E56C6D" w:rsidRDefault="00E56C6D"/>
    <w:p w14:paraId="73B48641" w14:textId="77777777" w:rsidR="00E56C6D" w:rsidRDefault="00E56C6D"/>
    <w:p w14:paraId="6F8F6718" w14:textId="77777777" w:rsidR="00E56C6D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t>Table S4</w:t>
      </w:r>
    </w:p>
    <w:p w14:paraId="6B72EABE" w14:textId="77777777" w:rsidR="00E56C6D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hAnsi="Times New Roman" w:cs="Times New Roman" w:hint="eastAsia"/>
          <w:sz w:val="20"/>
          <w:szCs w:val="20"/>
        </w:rPr>
        <w:t xml:space="preserve">Calculation method, Value, Assignment 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Score ,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 xml:space="preserve"> and Health State of each indicator.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855"/>
        <w:gridCol w:w="880"/>
        <w:gridCol w:w="1540"/>
        <w:gridCol w:w="1800"/>
        <w:gridCol w:w="1305"/>
      </w:tblGrid>
      <w:tr w:rsidR="00E56C6D" w14:paraId="297D60AA" w14:textId="77777777">
        <w:trPr>
          <w:trHeight w:val="689"/>
        </w:trPr>
        <w:tc>
          <w:tcPr>
            <w:tcW w:w="794" w:type="dxa"/>
            <w:tcBorders>
              <w:top w:val="single" w:sz="8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32A471F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Georgia" w:hAnsi="Times New Roman" w:cs="Times New Roman"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785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B3C1DA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Equation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0B4D8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Zoning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6847A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Values of Indexes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53D7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Assignment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Scores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510AB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Health State</w:t>
            </w:r>
          </w:p>
        </w:tc>
      </w:tr>
      <w:tr w:rsidR="00E56C6D" w14:paraId="28D72EBA" w14:textId="77777777">
        <w:trPr>
          <w:trHeight w:val="531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F22D01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P1</w:t>
            </w:r>
          </w:p>
        </w:tc>
        <w:tc>
          <w:tcPr>
            <w:tcW w:w="78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B551A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FangSong_GB2312" w:hAnsi="Cambria Math" w:cs="Times New Roman"/>
                    <w:color w:val="000000"/>
                    <w:sz w:val="16"/>
                    <w:szCs w:val="16"/>
                  </w:rPr>
                  <m:t>P1</m:t>
                </m:r>
                <m:r>
                  <m:rPr>
                    <m:sty m:val="p"/>
                  </m:rPr>
                  <w:rPr>
                    <w:rFonts w:ascii="Cambria Math" w:eastAsia="FangSong_GB2312" w:hAnsi="Cambria Math" w:cs="Times New Roman"/>
                    <w:color w:val="000000"/>
                    <w:sz w:val="16"/>
                    <w:szCs w:val="16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  <m:t xml:space="preserve">×F </m:t>
                    </m:r>
                  </m:e>
                </m:nary>
              </m:oMath>
            </m:oMathPara>
          </w:p>
          <w:p w14:paraId="49099EA0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Where 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FangSong_GB2312" w:hAnsi="Times New Roman" w:cs="Times New Roman"/>
                <w:i/>
                <w:iCs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 xml:space="preserve"> is different sea area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; A is the area of the zoning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km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; F is the assignment of different sea area. (The assignments are as follows: 0.98 for sea use of the port, 0.99 for industrial and urban sea area, 0.63 for sea use of cage culture, and 0.99 for sea use of tourism and leisure entertainment.)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1733C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28F523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5115E2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C1549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596EDB96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62285170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3FC9148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026170D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04F1F8B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679FED3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131AAB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330EE70A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0CEAF0A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2C1FAE8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6776C2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E7CD85A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684D9C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1A35C0B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Poor</w:t>
            </w:r>
          </w:p>
        </w:tc>
      </w:tr>
      <w:tr w:rsidR="00E56C6D" w14:paraId="50765151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5DC24AB0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01B83CE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404F9CE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DF01ACC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F40CF1D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4565E8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6FC9757D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661A6132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P2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1D0FB407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P2=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C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;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 xml:space="preserve"> P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=100-705×</m:t>
              </m:r>
            </m:oMath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P2</w:t>
            </w:r>
          </w:p>
          <w:p w14:paraId="7E7A237E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Where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 is the number of industrial discharge outlets; C is the total number of discharge outlets; P2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assignment of the proportion of industrial discharge outlets in the zoning.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2EB0866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520A0A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FBF862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18A401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3873BD03" w14:textId="77777777">
        <w:tc>
          <w:tcPr>
            <w:tcW w:w="794" w:type="dxa"/>
            <w:vMerge/>
            <w:shd w:val="clear" w:color="auto" w:fill="FFFFFF"/>
            <w:vAlign w:val="center"/>
          </w:tcPr>
          <w:p w14:paraId="1EAD330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758B3555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889FB0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06F62C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C2C56A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C05755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130D6DC2" w14:textId="77777777">
        <w:tc>
          <w:tcPr>
            <w:tcW w:w="794" w:type="dxa"/>
            <w:vMerge/>
            <w:shd w:val="clear" w:color="auto" w:fill="FFFFFF"/>
            <w:vAlign w:val="center"/>
          </w:tcPr>
          <w:p w14:paraId="4B26E239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2DC17F2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337917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5D593E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D98960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1C08DD1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Poor</w:t>
            </w:r>
          </w:p>
        </w:tc>
      </w:tr>
      <w:tr w:rsidR="00E56C6D" w14:paraId="6FC16625" w14:textId="77777777">
        <w:tc>
          <w:tcPr>
            <w:tcW w:w="794" w:type="dxa"/>
            <w:vMerge/>
            <w:shd w:val="clear" w:color="auto" w:fill="FFFFFF"/>
            <w:vAlign w:val="center"/>
          </w:tcPr>
          <w:p w14:paraId="0538755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1FB01A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57AEBC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7B362F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7E98B4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59211CB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2697B287" w14:textId="77777777">
        <w:trPr>
          <w:trHeight w:val="369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14:paraId="69788BA1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P3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509198CC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P3=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E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;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P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=100-25×P3</m:t>
              </m:r>
            </m:oMath>
          </w:p>
          <w:p w14:paraId="7C9FA6DE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 is the number of discharge outlets in the zoning; E is the area of the zoning, km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P3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assignment of the density of total discharge outlets in the zoning.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13D18DE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93DCF7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34D5F2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A47265E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1FA08CC0" w14:textId="77777777">
        <w:trPr>
          <w:trHeight w:val="369"/>
        </w:trPr>
        <w:tc>
          <w:tcPr>
            <w:tcW w:w="794" w:type="dxa"/>
            <w:vMerge/>
            <w:shd w:val="clear" w:color="auto" w:fill="FFFFFF"/>
            <w:vAlign w:val="center"/>
          </w:tcPr>
          <w:p w14:paraId="24A8AF60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765CB08A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CEDA6F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42AAC3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41CAD9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B3B5E62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173D1A1D" w14:textId="77777777">
        <w:trPr>
          <w:trHeight w:val="369"/>
        </w:trPr>
        <w:tc>
          <w:tcPr>
            <w:tcW w:w="794" w:type="dxa"/>
            <w:vMerge/>
            <w:shd w:val="clear" w:color="auto" w:fill="FFFFFF"/>
            <w:vAlign w:val="center"/>
          </w:tcPr>
          <w:p w14:paraId="6D446F99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757A3637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C7EE31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ADA3CE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1600EA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D1F5CE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372C4951" w14:textId="77777777">
        <w:trPr>
          <w:trHeight w:val="369"/>
        </w:trPr>
        <w:tc>
          <w:tcPr>
            <w:tcW w:w="794" w:type="dxa"/>
            <w:vMerge/>
            <w:shd w:val="clear" w:color="auto" w:fill="FFFFFF"/>
            <w:vAlign w:val="center"/>
          </w:tcPr>
          <w:p w14:paraId="1E1F8EF2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3BBBAD89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9FD2F8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114D77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79B858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45EE2B7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339C3DD3" w14:textId="77777777">
        <w:trPr>
          <w:trHeight w:val="425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14:paraId="3905832A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P4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2385BAD3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P4=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+…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  <w:p w14:paraId="5C5CFEF3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q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,...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 q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maximum total amount of each hazardous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substance,t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Q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Q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 Q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The critical amount of each dangerous substance, t.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6ADA95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F471CA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13738.58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622A0E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983E2A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3078DB77" w14:textId="77777777">
        <w:trPr>
          <w:trHeight w:val="425"/>
        </w:trPr>
        <w:tc>
          <w:tcPr>
            <w:tcW w:w="794" w:type="dxa"/>
            <w:vMerge/>
            <w:shd w:val="clear" w:color="auto" w:fill="FFFFFF"/>
            <w:vAlign w:val="center"/>
          </w:tcPr>
          <w:p w14:paraId="0BFC90D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734E0D27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45B8B1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6F3462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DD5F48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412635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1FF89D70" w14:textId="77777777">
        <w:trPr>
          <w:trHeight w:val="425"/>
        </w:trPr>
        <w:tc>
          <w:tcPr>
            <w:tcW w:w="794" w:type="dxa"/>
            <w:vMerge/>
            <w:shd w:val="clear" w:color="auto" w:fill="FFFFFF"/>
            <w:vAlign w:val="center"/>
          </w:tcPr>
          <w:p w14:paraId="2788312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2ED3A075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7BF6DD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5E49F1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EB785E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199AFC3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2C2CA170" w14:textId="77777777">
        <w:trPr>
          <w:trHeight w:val="425"/>
        </w:trPr>
        <w:tc>
          <w:tcPr>
            <w:tcW w:w="794" w:type="dxa"/>
            <w:vMerge/>
            <w:shd w:val="clear" w:color="auto" w:fill="FFFFFF"/>
            <w:vAlign w:val="center"/>
          </w:tcPr>
          <w:p w14:paraId="1FBCA41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22F09885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317F1B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8A0092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E8C5F6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A341C41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5B0082A" w14:textId="77777777">
        <w:trPr>
          <w:trHeight w:val="531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14:paraId="473A0587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lastRenderedPageBreak/>
              <w:t>S1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17F2DC98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bidi="ar"/>
                  </w:rPr>
                  <m:t>S1=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bidi="a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IN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N</m:t>
                            </m:r>
                          </m:sub>
                        </m:sSub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bidi="a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P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P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  <w:p w14:paraId="5B0570CF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Where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  <w:lang w:bidi="ar"/>
              </w:rPr>
              <w:t>IN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 is the concentration of inorganic nitrogen (mg/L) in the surface seawater of a sampling sites; 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  <w:lang w:bidi="ar"/>
              </w:rPr>
              <w:t xml:space="preserve">P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is the concentration of active phosphate (mg/L) in the surface seawater of a sampling sites; 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  <w:lang w:bidi="ar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 is the molar mass of nitrogen (g/mol); 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  <w:lang w:bidi="ar"/>
              </w:rPr>
              <w:t xml:space="preserve">P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is the molar mass of phosphorus (g/mol).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AC59AE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9D36FE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F77987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A2056D4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ECA5E48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0D36048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C59987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43C22F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2164E0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CBD06E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ABF0FB5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6B5BF98F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448FCD9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5BCF0719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05043D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2476F5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986329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C4FC597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7647999D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4281DCA2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0AFA0C1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5AEB50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A62E1B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E7A417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32D2741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3FAF3DFC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33DD144C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S2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4360868B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  <w:lang w:bidi="ar"/>
                </w:rPr>
                <m:t>S2=</m:t>
              </m:r>
              <m:f>
                <m:fPr>
                  <m:ctrl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  <w:lang w:bidi="a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  <w:lang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  <w:lang w:bidi="ar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  <w:lang w:bidi="a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  <w:lang w:bidi="ar"/>
                            </w:rPr>
                            <m:t>O</m:t>
                          </m:r>
                        </m:e>
                        <m:sub>
                          <m:argPr>
                            <m:argSz m:val="-2"/>
                          </m:arg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  <w:lang w:bidi="ar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  <w:lang w:bidi="ar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16"/>
                          <w:szCs w:val="16"/>
                          <w:lang w:bidi="ar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  <w:lang w:bidi="ar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  <w:lang w:bidi="ar"/>
                            </w:rPr>
                            <m:t>O'</m:t>
                          </m:r>
                        </m:e>
                        <m:sub>
                          <m:argPr>
                            <m:argSz m:val="-1"/>
                          </m:argP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/>
                              <w:sz w:val="16"/>
                              <w:szCs w:val="16"/>
                              <w:lang w:bidi="ar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  <w:lang w:bidi="ar"/>
                </w:rPr>
                <m:t>×1</m:t>
              </m:r>
            </m:oMath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00%</w:t>
            </w:r>
          </w:p>
          <w:p w14:paraId="691661A7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  <w:lang w:bidi="ar"/>
              </w:rPr>
              <w:t xml:space="preserve">O2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is the measured oxygen content, mg/L;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  <w:lang w:bidi="ar"/>
              </w:rPr>
              <w:t>O’2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 is the saturation concentration of oxygen in seawater at field water temperature and salinity, mg/L.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1AAD37B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23FE8A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8CC77A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718061D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2CF5A994" w14:textId="77777777">
        <w:tc>
          <w:tcPr>
            <w:tcW w:w="794" w:type="dxa"/>
            <w:vMerge/>
            <w:shd w:val="clear" w:color="auto" w:fill="FFFFFF"/>
            <w:vAlign w:val="center"/>
          </w:tcPr>
          <w:p w14:paraId="40E9AFE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00E3C6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D31506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7E676B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F64B7D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5ECEABA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1BDB3053" w14:textId="77777777">
        <w:tc>
          <w:tcPr>
            <w:tcW w:w="794" w:type="dxa"/>
            <w:vMerge/>
            <w:shd w:val="clear" w:color="auto" w:fill="FFFFFF"/>
            <w:vAlign w:val="center"/>
          </w:tcPr>
          <w:p w14:paraId="67775B9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901C55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3FC5C6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371549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DC75D7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45A00BD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56529AC4" w14:textId="77777777">
        <w:tc>
          <w:tcPr>
            <w:tcW w:w="794" w:type="dxa"/>
            <w:vMerge/>
            <w:shd w:val="clear" w:color="auto" w:fill="FFFFFF"/>
            <w:vAlign w:val="center"/>
          </w:tcPr>
          <w:p w14:paraId="42D9959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304C15CD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1ED147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F360B0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7517BE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C0A685E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7FBCDD62" w14:textId="77777777">
        <w:trPr>
          <w:trHeight w:val="531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14:paraId="3A082905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S3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661A7A28" w14:textId="77777777" w:rsidR="00E56C6D" w:rsidRDefault="00000000">
            <w:pPr>
              <w:pStyle w:val="Caption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FangSong_GB2312" w:hAnsi="Cambria Math" w:cs="Times New Roman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FangSong_GB2312" w:hAnsi="Cambria Math" w:cs="Times New Roman"/>
                    <w:color w:val="000000"/>
                    <w:sz w:val="16"/>
                    <w:szCs w:val="16"/>
                  </w:rPr>
                  <m:t>; S3=</m:t>
                </m:r>
                <m:rad>
                  <m:radPr>
                    <m:degHide m:val="1"/>
                    <m:ctrlPr>
                      <w:rPr>
                        <w:rFonts w:ascii="Cambria Math" w:eastAsia="FangSong_GB2312" w:hAnsi="Cambria Math" w:cs="Times New Roman"/>
                        <w:color w:val="000000"/>
                        <w:sz w:val="16"/>
                        <w:szCs w:val="1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j,max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="FangSong_GB2312" w:hAnsi="Cambria Math" w:cs="Times New Roman"/>
                                    <w:color w:val="000000"/>
                                    <w:sz w:val="16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FangSong_GB2312" w:hAnsi="Cambria Math" w:cs="Times New Roman"/>
                                    <w:color w:val="000000"/>
                                    <w:sz w:val="16"/>
                                    <w:szCs w:val="16"/>
                                  </w:rPr>
                                  <m:t>S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FangSong_GB2312" w:hAnsi="Cambria Math" w:cs="Times New Roman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FangSong_GB2312" w:hAnsi="Cambria Math" w:cs="Times New Roman"/>
                            <w:color w:val="000000"/>
                            <w:sz w:val="16"/>
                            <w:szCs w:val="16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  <w:p w14:paraId="20CD4C77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single factor pollution index of heavy metals at station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j;  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measured concentration of heavy metals; Co is the evaluation standard of heavy metals;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j,max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largest single factor index in station j;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16"/>
                      <w:szCs w:val="16"/>
                    </w:rPr>
                    <m:t>S</m:t>
                  </m:r>
                </m:e>
              </m:acc>
            </m:oMath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j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average value of each single factor index.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7EFB355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63A28B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038D3B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F1EE827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6C3629A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0B85F031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2C5C3762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8C56B3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8AE004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0.067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64E917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F2E857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5179FEC3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50AA7A2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371CD33B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7E0469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200E5A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775EBA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1DDB51E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C5A7098" w14:textId="77777777">
        <w:trPr>
          <w:trHeight w:val="531"/>
        </w:trPr>
        <w:tc>
          <w:tcPr>
            <w:tcW w:w="794" w:type="dxa"/>
            <w:vMerge/>
            <w:shd w:val="clear" w:color="auto" w:fill="FFFFFF"/>
            <w:vAlign w:val="center"/>
          </w:tcPr>
          <w:p w14:paraId="502F67E3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45B162A1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1219B4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14F802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0.052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1F47EA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BABE41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5AA460F0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449E4512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S4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06CC92D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/</m:t>
              </m:r>
              <m:sSub>
                <m:sSub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io</m:t>
                  </m:r>
                </m:sub>
              </m:sSub>
            </m:oMath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S4=</m:t>
              </m:r>
              <m:rad>
                <m:rad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n</m:t>
                  </m:r>
                </m:deg>
                <m:e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×⋯</m:t>
                  </m:r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n</m:t>
                      </m:r>
                    </m:sub>
                  </m:sSub>
                </m:e>
              </m:rad>
            </m:oMath>
          </w:p>
          <w:p w14:paraId="71291624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pollution index of a pollution factor; 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measured concentration of a pollution factor;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 the evaluation standard of a pollution factor.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5043687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50AE9E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EBC32D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4F80A0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306BDE63" w14:textId="77777777">
        <w:tc>
          <w:tcPr>
            <w:tcW w:w="794" w:type="dxa"/>
            <w:vMerge/>
            <w:shd w:val="clear" w:color="auto" w:fill="FFFFFF"/>
            <w:vAlign w:val="center"/>
          </w:tcPr>
          <w:p w14:paraId="6F27C73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41204E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254262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148A48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ADB7F6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1B3F933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4877CFDC" w14:textId="77777777">
        <w:tc>
          <w:tcPr>
            <w:tcW w:w="794" w:type="dxa"/>
            <w:vMerge/>
            <w:shd w:val="clear" w:color="auto" w:fill="FFFFFF"/>
            <w:vAlign w:val="center"/>
          </w:tcPr>
          <w:p w14:paraId="353F530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5961364B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16CB3A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235411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0101D3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53E0CA4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40F63976" w14:textId="77777777">
        <w:tc>
          <w:tcPr>
            <w:tcW w:w="794" w:type="dxa"/>
            <w:vMerge/>
            <w:shd w:val="clear" w:color="auto" w:fill="FFFFFF"/>
            <w:vAlign w:val="center"/>
          </w:tcPr>
          <w:p w14:paraId="376E146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1512437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8B3B42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11225C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0407B1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4BF10D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24C817C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41073B8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S5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4D83BE2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S5=-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ln</m:t>
                  </m:r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i</m:t>
                      </m:r>
                    </m:sub>
                  </m:sSub>
                </m:e>
              </m:nary>
            </m:oMath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N</m:t>
                  </m:r>
                </m:den>
              </m:f>
            </m:oMath>
          </w:p>
          <w:p w14:paraId="5223A228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ratio of the number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individuals to the total number of individuals in the survey station; 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number of individuals of species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N is the number of all individuals in the survey station.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3C10C24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69F91CC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4D16D4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15A5A71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15CF591B" w14:textId="77777777">
        <w:tc>
          <w:tcPr>
            <w:tcW w:w="794" w:type="dxa"/>
            <w:vMerge/>
            <w:shd w:val="clear" w:color="auto" w:fill="FFFFFF"/>
            <w:vAlign w:val="center"/>
          </w:tcPr>
          <w:p w14:paraId="0C10431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6EBC44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DD553E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C00674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68829E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0BD360D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2C94D815" w14:textId="77777777">
        <w:tc>
          <w:tcPr>
            <w:tcW w:w="794" w:type="dxa"/>
            <w:vMerge/>
            <w:shd w:val="clear" w:color="auto" w:fill="FFFFFF"/>
            <w:vAlign w:val="center"/>
          </w:tcPr>
          <w:p w14:paraId="4E9A261E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0AB5276A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2B5D12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426394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970771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A968C64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3A99DB19" w14:textId="77777777">
        <w:tc>
          <w:tcPr>
            <w:tcW w:w="794" w:type="dxa"/>
            <w:vMerge/>
            <w:shd w:val="clear" w:color="auto" w:fill="FFFFFF"/>
            <w:vAlign w:val="center"/>
          </w:tcPr>
          <w:p w14:paraId="65326BDA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5A607C4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28DD50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632C18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436B97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2762C9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67E92062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3B772F1D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lastRenderedPageBreak/>
              <w:t>S6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66574DF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S6=-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ln</m:t>
                  </m:r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i</m:t>
                      </m:r>
                    </m:sub>
                  </m:sSub>
                </m:e>
              </m:nary>
            </m:oMath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FangSong_GB2312" w:hAnsi="Cambria Math" w:cs="Times New Roman"/>
                  <w:color w:val="000000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FangSong_GB2312" w:hAnsi="Cambria Math" w:cs="Times New Roman"/>
                          <w:color w:val="000000"/>
                          <w:sz w:val="16"/>
                          <w:szCs w:val="16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FangSong_GB2312" w:hAnsi="Cambria Math" w:cs="Times New Roman"/>
                      <w:color w:val="000000"/>
                      <w:sz w:val="16"/>
                      <w:szCs w:val="16"/>
                    </w:rPr>
                    <m:t>N</m:t>
                  </m:r>
                </m:den>
              </m:f>
            </m:oMath>
          </w:p>
          <w:p w14:paraId="3E57D6AD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ratio of the number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individuals to the total number of individuals in the survey station; 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number of individuals of species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N is the number of all individuals in the survey station.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AD376A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D7C9DC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0BE518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049BD1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40F06CFB" w14:textId="77777777">
        <w:tc>
          <w:tcPr>
            <w:tcW w:w="794" w:type="dxa"/>
            <w:vMerge/>
            <w:shd w:val="clear" w:color="auto" w:fill="FFFFFF"/>
            <w:vAlign w:val="center"/>
          </w:tcPr>
          <w:p w14:paraId="758C2C6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1D91A08D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6C90F5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1A5F9AA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0BD15A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50F4230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67AFF81E" w14:textId="77777777">
        <w:tc>
          <w:tcPr>
            <w:tcW w:w="794" w:type="dxa"/>
            <w:vMerge/>
            <w:shd w:val="clear" w:color="auto" w:fill="FFFFFF"/>
            <w:vAlign w:val="center"/>
          </w:tcPr>
          <w:p w14:paraId="62919DD1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0760437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13087B8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777C15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840CB2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8BF230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5F9D2A1A" w14:textId="77777777">
        <w:tc>
          <w:tcPr>
            <w:tcW w:w="794" w:type="dxa"/>
            <w:vMerge/>
            <w:shd w:val="clear" w:color="auto" w:fill="FFFFFF"/>
            <w:vAlign w:val="center"/>
          </w:tcPr>
          <w:p w14:paraId="64CE8DA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31D6269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7955441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721058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8DF209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2F1C19C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Good</w:t>
            </w:r>
          </w:p>
        </w:tc>
      </w:tr>
      <w:tr w:rsidR="00E56C6D" w14:paraId="6F785C53" w14:textId="77777777">
        <w:trPr>
          <w:trHeight w:val="638"/>
        </w:trPr>
        <w:tc>
          <w:tcPr>
            <w:tcW w:w="794" w:type="dxa"/>
            <w:vMerge w:val="restart"/>
            <w:shd w:val="clear" w:color="auto" w:fill="FFFFFF"/>
            <w:vAlign w:val="center"/>
          </w:tcPr>
          <w:p w14:paraId="2B651CA2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  <w:lang w:bidi="ar"/>
              </w:rPr>
              <w:t>S7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61084FFC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bidi="ar"/>
                  </w:rPr>
                  <m:t>S7=</m:t>
                </m:r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16"/>
                            <w:szCs w:val="16"/>
                            <w:lang w:bidi="a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/>
                            <w:sz w:val="16"/>
                            <w:szCs w:val="16"/>
                            <w:lang w:bidi="ar"/>
                          </w:rPr>
                          <m:t>×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log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16"/>
                                    <w:szCs w:val="16"/>
                                    <w:lang w:bidi="a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  <w:lang w:bidi="ar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  <w:lang w:bidi="ar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/>
                                    <w:sz w:val="16"/>
                                    <w:szCs w:val="16"/>
                                    <w:lang w:bidi="a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  <w:lang w:bidi="ar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16"/>
                                    <w:szCs w:val="16"/>
                                    <w:lang w:bidi="ar"/>
                                  </w:rPr>
                                  <m:t>i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16"/>
                                <w:szCs w:val="16"/>
                                <w:lang w:bidi="ar"/>
                              </w:rPr>
                            </m:ctrlPr>
                          </m:e>
                        </m:func>
                      </m:e>
                    </m:d>
                  </m:e>
                </m:nary>
              </m:oMath>
            </m:oMathPara>
          </w:p>
          <w:p w14:paraId="16F16E49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n is the number of red tides in the region; 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 the toxicity of the dominant species of red tide, and the T value is 1 when the dominant species is toxic red tide; The T value was 0.67 when the dominant species was harmful red tide organisms; The T value was 0.33 when the dominant species was non-toxic red tide organisms; 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maximum area of red tide (km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 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 the number of days the red tide lasts.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720A40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A41CBF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93B267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4D3E70C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78E7FA16" w14:textId="77777777">
        <w:trPr>
          <w:trHeight w:val="638"/>
        </w:trPr>
        <w:tc>
          <w:tcPr>
            <w:tcW w:w="794" w:type="dxa"/>
            <w:vMerge/>
            <w:shd w:val="clear" w:color="auto" w:fill="FFFFFF"/>
            <w:vAlign w:val="center"/>
          </w:tcPr>
          <w:p w14:paraId="777ACF8A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3D78D6D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FD7041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6C4EE9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C015FC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BC46874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720B2953" w14:textId="77777777">
        <w:trPr>
          <w:trHeight w:val="638"/>
        </w:trPr>
        <w:tc>
          <w:tcPr>
            <w:tcW w:w="794" w:type="dxa"/>
            <w:vMerge/>
            <w:shd w:val="clear" w:color="auto" w:fill="FFFFFF"/>
            <w:vAlign w:val="center"/>
          </w:tcPr>
          <w:p w14:paraId="767216EC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11E66289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4E5ECC8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5DA329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ED2830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CF9465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BE40F77" w14:textId="77777777">
        <w:trPr>
          <w:trHeight w:val="638"/>
        </w:trPr>
        <w:tc>
          <w:tcPr>
            <w:tcW w:w="794" w:type="dxa"/>
            <w:vMerge/>
            <w:shd w:val="clear" w:color="auto" w:fill="FFFFFF"/>
            <w:vAlign w:val="center"/>
          </w:tcPr>
          <w:p w14:paraId="313D532F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18ACF9A2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EF1813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1F7BC4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7FED5B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658E8B3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6123181D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07322C9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R1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2AE44C1B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bidi="ar"/>
                  </w:rPr>
                  <m:t>R1=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  <m:t>F</m:t>
                    </m:r>
                  </m:den>
                </m:f>
              </m:oMath>
            </m:oMathPara>
          </w:p>
          <w:p w14:paraId="13487FB4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is  the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 filter-feeding shellfish and macroalgae cultivation area; F is the total sea area of each evaluation unit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bidi="ar"/>
              </w:rPr>
              <w:t>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5F57D25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72D250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9F34E9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61A11A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438733E8" w14:textId="77777777">
        <w:tc>
          <w:tcPr>
            <w:tcW w:w="794" w:type="dxa"/>
            <w:vMerge/>
            <w:shd w:val="clear" w:color="auto" w:fill="FFFFFF"/>
            <w:vAlign w:val="center"/>
          </w:tcPr>
          <w:p w14:paraId="1A610D71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184D7A0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6F4F071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45CF6E5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1C9FFC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D65C017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109CAD30" w14:textId="77777777">
        <w:tc>
          <w:tcPr>
            <w:tcW w:w="794" w:type="dxa"/>
            <w:vMerge/>
            <w:shd w:val="clear" w:color="auto" w:fill="FFFFFF"/>
            <w:vAlign w:val="center"/>
          </w:tcPr>
          <w:p w14:paraId="34DF275E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FF6240D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0D1FDE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307935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32.32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4AD32F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38857CA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4D1B8276" w14:textId="77777777">
        <w:tc>
          <w:tcPr>
            <w:tcW w:w="794" w:type="dxa"/>
            <w:vMerge/>
            <w:shd w:val="clear" w:color="auto" w:fill="FFFFFF"/>
            <w:vAlign w:val="center"/>
          </w:tcPr>
          <w:p w14:paraId="65ACC4E1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3009DFA7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5D5E37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982E40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D72BE0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5F1ECF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20A0CC56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3368C973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R2 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56051FC9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bidi="ar"/>
                  </w:rPr>
                  <m:t>R2=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16"/>
                        <w:szCs w:val="16"/>
                        <w:lang w:bidi="a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16"/>
                        <w:szCs w:val="16"/>
                        <w:lang w:bidi="ar"/>
                      </w:rPr>
                      <m:t>F</m:t>
                    </m:r>
                  </m:den>
                </m:f>
              </m:oMath>
            </m:oMathPara>
          </w:p>
          <w:p w14:paraId="1DA14826" w14:textId="77777777" w:rsidR="00E56C6D" w:rsidRDefault="00000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Where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 xml:space="preserve"> is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nature reserve area; F is the total sea area of each evaluation unit</w:t>
            </w:r>
            <w:r>
              <w:rPr>
                <w:rFonts w:ascii="Times New Roman" w:hAnsi="Times New Roman" w:cs="Times New Roman" w:hint="eastAsia"/>
                <w:color w:val="000000"/>
                <w:sz w:val="16"/>
                <w:szCs w:val="16"/>
                <w:lang w:bidi="ar"/>
              </w:rPr>
              <w:t>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4F59A36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3CDDCEA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44EA82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7895A9D2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69A00BA8" w14:textId="77777777">
        <w:tc>
          <w:tcPr>
            <w:tcW w:w="794" w:type="dxa"/>
            <w:vMerge/>
            <w:shd w:val="clear" w:color="auto" w:fill="FFFFFF"/>
            <w:vAlign w:val="center"/>
          </w:tcPr>
          <w:p w14:paraId="53CBBA36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49B38195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67F146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43ECD7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26.58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85D5FD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0131ABF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Fair</w:t>
            </w:r>
          </w:p>
        </w:tc>
      </w:tr>
      <w:tr w:rsidR="00E56C6D" w14:paraId="5AE5E3CC" w14:textId="77777777">
        <w:tc>
          <w:tcPr>
            <w:tcW w:w="794" w:type="dxa"/>
            <w:vMerge/>
            <w:shd w:val="clear" w:color="auto" w:fill="FFFFFF"/>
            <w:vAlign w:val="center"/>
          </w:tcPr>
          <w:p w14:paraId="3BEC2AD0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E333963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3E2D844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3384E4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21F629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91522D4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Very poor</w:t>
            </w:r>
          </w:p>
        </w:tc>
      </w:tr>
      <w:tr w:rsidR="00E56C6D" w14:paraId="62E45CFA" w14:textId="77777777">
        <w:tc>
          <w:tcPr>
            <w:tcW w:w="794" w:type="dxa"/>
            <w:vMerge/>
            <w:shd w:val="clear" w:color="auto" w:fill="FFFFFF"/>
            <w:vAlign w:val="center"/>
          </w:tcPr>
          <w:p w14:paraId="4060FF92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6439648B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08D326E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7882FC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45.80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E9EBB0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1A7A5A3C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2FCB05FA" w14:textId="77777777">
        <w:tc>
          <w:tcPr>
            <w:tcW w:w="794" w:type="dxa"/>
            <w:vMerge w:val="restart"/>
            <w:shd w:val="clear" w:color="auto" w:fill="FFFFFF"/>
            <w:vAlign w:val="center"/>
          </w:tcPr>
          <w:p w14:paraId="6DCFD0F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R3 </w:t>
            </w:r>
          </w:p>
        </w:tc>
        <w:tc>
          <w:tcPr>
            <w:tcW w:w="7855" w:type="dxa"/>
            <w:vMerge w:val="restart"/>
            <w:shd w:val="clear" w:color="auto" w:fill="FFFFFF"/>
            <w:vAlign w:val="center"/>
          </w:tcPr>
          <w:p w14:paraId="58906E05" w14:textId="77777777" w:rsidR="00E56C6D" w:rsidRDefault="00000000">
            <w:pPr>
              <w:pStyle w:val="Caption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fishing moratorium in 2020 ranged from May 1st to September 16th within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Sansha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Bay.</w:t>
            </w:r>
          </w:p>
        </w:tc>
        <w:tc>
          <w:tcPr>
            <w:tcW w:w="880" w:type="dxa"/>
            <w:shd w:val="clear" w:color="auto" w:fill="FFFFFF"/>
            <w:vAlign w:val="center"/>
          </w:tcPr>
          <w:p w14:paraId="37D98B0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2FB6B9B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FFFBA9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60A4DD4F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73C273F6" w14:textId="77777777">
        <w:tc>
          <w:tcPr>
            <w:tcW w:w="794" w:type="dxa"/>
            <w:vMerge/>
            <w:shd w:val="clear" w:color="auto" w:fill="FFFFFF"/>
            <w:vAlign w:val="center"/>
          </w:tcPr>
          <w:p w14:paraId="1AB11F57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180C061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2051ECF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01FC359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3A1B43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D8C205E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3DEE6EEB" w14:textId="77777777">
        <w:tc>
          <w:tcPr>
            <w:tcW w:w="794" w:type="dxa"/>
            <w:vMerge/>
            <w:shd w:val="clear" w:color="auto" w:fill="FFFFFF"/>
            <w:vAlign w:val="center"/>
          </w:tcPr>
          <w:p w14:paraId="05E79EF4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shd w:val="clear" w:color="auto" w:fill="FFFFFF"/>
            <w:vAlign w:val="center"/>
          </w:tcPr>
          <w:p w14:paraId="21C9B06A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14:paraId="518187B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7140033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FC94F3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8F0EE30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  <w:tr w:rsidR="00E56C6D" w14:paraId="34E53312" w14:textId="77777777">
        <w:tc>
          <w:tcPr>
            <w:tcW w:w="794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F221225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5" w:type="dxa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91F2168" w14:textId="77777777" w:rsidR="00E56C6D" w:rsidRDefault="00E56C6D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A51785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2814D4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57DBFA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42E7256" w14:textId="77777777" w:rsidR="00E56C6D" w:rsidRDefault="00000000">
            <w:pPr>
              <w:pStyle w:val="Caption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Excellent</w:t>
            </w:r>
          </w:p>
        </w:tc>
      </w:tr>
    </w:tbl>
    <w:p w14:paraId="57E50DAF" w14:textId="77777777" w:rsidR="00E56C6D" w:rsidRDefault="00E56C6D">
      <w:pPr>
        <w:rPr>
          <w:rFonts w:ascii="Times New Roman" w:hAnsi="Times New Roman" w:cs="Times New Roman"/>
          <w:sz w:val="20"/>
          <w:szCs w:val="20"/>
        </w:rPr>
      </w:pPr>
    </w:p>
    <w:p w14:paraId="094ACBBE" w14:textId="77777777" w:rsidR="00E56C6D" w:rsidRDefault="00E56C6D">
      <w:pPr>
        <w:rPr>
          <w:rFonts w:ascii="Times New Roman" w:hAnsi="Times New Roman" w:cs="Times New Roman"/>
          <w:sz w:val="20"/>
          <w:szCs w:val="20"/>
        </w:rPr>
      </w:pPr>
    </w:p>
    <w:p w14:paraId="1576F159" w14:textId="77777777" w:rsidR="00E56C6D" w:rsidRDefault="00000000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lastRenderedPageBreak/>
        <w:t>Table S5</w:t>
      </w:r>
    </w:p>
    <w:p w14:paraId="0F159516" w14:textId="77777777" w:rsidR="00E56C6D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calculation process of </w:t>
      </w:r>
      <w:bookmarkStart w:id="1" w:name="_Hlk152578546"/>
      <w:bookmarkStart w:id="2" w:name="_Hlk152574729"/>
      <w:r>
        <w:rPr>
          <w:rFonts w:ascii="Times New Roman" w:hAnsi="Times New Roman" w:cs="Times New Roman" w:hint="eastAsia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ntropy </w:t>
      </w:r>
      <w:r>
        <w:rPr>
          <w:rFonts w:ascii="Times New Roman" w:hAnsi="Times New Roman" w:cs="Times New Roman" w:hint="eastAsia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eight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ethod</w:t>
      </w:r>
      <w:bookmarkEnd w:id="2"/>
    </w:p>
    <w:tbl>
      <w:tblPr>
        <w:tblW w:w="4996" w:type="pct"/>
        <w:tblLook w:val="04A0" w:firstRow="1" w:lastRow="0" w:firstColumn="1" w:lastColumn="0" w:noHBand="0" w:noVBand="1"/>
      </w:tblPr>
      <w:tblGrid>
        <w:gridCol w:w="2889"/>
        <w:gridCol w:w="1991"/>
        <w:gridCol w:w="1595"/>
        <w:gridCol w:w="3272"/>
        <w:gridCol w:w="2886"/>
        <w:gridCol w:w="1530"/>
      </w:tblGrid>
      <w:tr w:rsidR="00E56C6D" w14:paraId="1056E428" w14:textId="77777777">
        <w:trPr>
          <w:trHeight w:val="555"/>
          <w:tblHeader/>
        </w:trPr>
        <w:tc>
          <w:tcPr>
            <w:tcW w:w="10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A0537D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bookmarkStart w:id="3" w:name="OLE_LINK44" w:colFirst="2" w:colLast="2"/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 xml:space="preserve"> Target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 layer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53C44EA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Criterion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 layers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42CB0F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ndex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8E5D35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Values of 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Information entropy value (e)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9A93C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Values of 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Information utility(d)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24AEE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Weight</w:t>
            </w: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(%)</w:t>
            </w:r>
          </w:p>
        </w:tc>
      </w:tr>
      <w:tr w:rsidR="00E56C6D" w14:paraId="14FE23E1" w14:textId="77777777">
        <w:trPr>
          <w:cantSplit/>
          <w:trHeight w:val="280"/>
        </w:trPr>
        <w:tc>
          <w:tcPr>
            <w:tcW w:w="101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B9F55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Health level of aquaculture ecosystem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19C60AF" w14:textId="77777777" w:rsidR="00E56C6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Pressure</w:t>
            </w:r>
          </w:p>
          <w:p w14:paraId="77360D7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（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27.96%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B04E2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3DF33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86930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4264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8.04</w:t>
            </w:r>
          </w:p>
        </w:tc>
      </w:tr>
      <w:tr w:rsidR="00E56C6D" w14:paraId="3966A724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32249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74987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C6F0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C0EB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E9FD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79907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8.27</w:t>
            </w:r>
          </w:p>
        </w:tc>
      </w:tr>
      <w:tr w:rsidR="00E56C6D" w14:paraId="4942C5B1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6E4D3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536D7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B594D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1B1767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D9F76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BB51E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6.19</w:t>
            </w:r>
          </w:p>
        </w:tc>
      </w:tr>
      <w:tr w:rsidR="00E56C6D" w14:paraId="5AC19A7A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A6F3EA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E81EF8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8C41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7A8CE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63C9BE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F4EE0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5.47</w:t>
            </w:r>
          </w:p>
        </w:tc>
      </w:tr>
      <w:tr w:rsidR="00E56C6D" w14:paraId="1E6E9A8A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00F83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A700296" w14:textId="77777777" w:rsidR="00E56C6D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State</w:t>
            </w:r>
          </w:p>
          <w:p w14:paraId="262000D9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（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50.52%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D3BD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D1A4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686C4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CC6A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6.46</w:t>
            </w:r>
          </w:p>
        </w:tc>
      </w:tr>
      <w:tr w:rsidR="00E56C6D" w14:paraId="366891AE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2B62BF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77FF38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6EC4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3069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C14599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97B786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17.78</w:t>
            </w:r>
          </w:p>
        </w:tc>
      </w:tr>
      <w:tr w:rsidR="00E56C6D" w14:paraId="3FEA278D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A99FBE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22C90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489C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63543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63E5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B312E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6.43</w:t>
            </w:r>
          </w:p>
        </w:tc>
      </w:tr>
      <w:tr w:rsidR="00E56C6D" w14:paraId="1DAFBFF6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C2611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4D057C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83F7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679E9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FD1C2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EF1D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6.72</w:t>
            </w:r>
          </w:p>
        </w:tc>
      </w:tr>
      <w:tr w:rsidR="00E56C6D" w14:paraId="75E08178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3FC75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90844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1F0AF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F4A60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1735E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3B26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6.57</w:t>
            </w:r>
          </w:p>
        </w:tc>
      </w:tr>
      <w:tr w:rsidR="00E56C6D" w14:paraId="56988FDE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D3C730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8D5A2D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92CB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S6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637E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CAD8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A0EDA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6.57</w:t>
            </w:r>
          </w:p>
        </w:tc>
      </w:tr>
      <w:tr w:rsidR="00E56C6D" w14:paraId="51AD069A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D42D36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74A3C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479C9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S7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E261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72747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AA51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56C6D" w14:paraId="0B349458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E31D34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45D3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ar"/>
              </w:rPr>
              <w:t>Response</w:t>
            </w:r>
          </w:p>
          <w:p w14:paraId="67D99EB0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（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21.52%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9A24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242B2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59184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C292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7.66</w:t>
            </w:r>
          </w:p>
        </w:tc>
      </w:tr>
      <w:tr w:rsidR="00E56C6D" w14:paraId="439A7E1A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BA425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517C6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DFC5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687A6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7EB076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491C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13.86</w:t>
            </w:r>
          </w:p>
        </w:tc>
      </w:tr>
      <w:tr w:rsidR="00E56C6D" w14:paraId="2C711C88" w14:textId="77777777">
        <w:trPr>
          <w:cantSplit/>
          <w:trHeight w:val="280"/>
        </w:trPr>
        <w:tc>
          <w:tcPr>
            <w:tcW w:w="1019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8E4855D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3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11DCF311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465821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53C2E3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0C655A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3D1387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bookmarkEnd w:id="3"/>
    </w:tbl>
    <w:p w14:paraId="0A605052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2BF61522" w14:textId="77777777" w:rsidR="00E56C6D" w:rsidRDefault="00000000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lastRenderedPageBreak/>
        <w:t>Table S6</w:t>
      </w:r>
    </w:p>
    <w:p w14:paraId="1A958DCC" w14:textId="77777777" w:rsidR="00E56C6D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calculation process of analytical hierarchy process method</w:t>
      </w:r>
    </w:p>
    <w:tbl>
      <w:tblPr>
        <w:tblW w:w="4994" w:type="pct"/>
        <w:tblLook w:val="04A0" w:firstRow="1" w:lastRow="0" w:firstColumn="1" w:lastColumn="0" w:noHBand="0" w:noVBand="1"/>
      </w:tblPr>
      <w:tblGrid>
        <w:gridCol w:w="1381"/>
        <w:gridCol w:w="1262"/>
        <w:gridCol w:w="891"/>
        <w:gridCol w:w="1381"/>
        <w:gridCol w:w="1086"/>
        <w:gridCol w:w="1406"/>
        <w:gridCol w:w="1333"/>
        <w:gridCol w:w="1042"/>
        <w:gridCol w:w="1280"/>
        <w:gridCol w:w="1546"/>
        <w:gridCol w:w="1549"/>
      </w:tblGrid>
      <w:tr w:rsidR="00E56C6D" w14:paraId="12A259D5" w14:textId="77777777">
        <w:trPr>
          <w:trHeight w:val="278"/>
          <w:tblHeader/>
        </w:trPr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/>
            <w:vAlign w:val="center"/>
          </w:tcPr>
          <w:p w14:paraId="766D99C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Criterion layer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18337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Pressure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3D50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State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107E0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Response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BECDFE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igenvector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F17D1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Weight</w:t>
            </w:r>
          </w:p>
          <w:p w14:paraId="0C599456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9C4FB4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aximum eigenvalue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AA8986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CI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6AD16A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RI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F0B389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CR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247B7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Consistency Test</w:t>
            </w:r>
          </w:p>
        </w:tc>
      </w:tr>
      <w:tr w:rsidR="00E56C6D" w14:paraId="4F28113F" w14:textId="77777777">
        <w:trPr>
          <w:cantSplit/>
          <w:trHeight w:val="278"/>
        </w:trPr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 w14:paraId="795CF7A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Pressure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69200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BFA77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9/34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499CB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8/17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CF69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0.413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CD8DCD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13.763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59DC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3.041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41DC5C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FC15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0.520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7F8B3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CAE50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Pass</w:t>
            </w:r>
          </w:p>
        </w:tc>
      </w:tr>
      <w:tr w:rsidR="00E56C6D" w14:paraId="2627F896" w14:textId="77777777">
        <w:trPr>
          <w:cantSplit/>
          <w:trHeight w:val="278"/>
        </w:trPr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A8417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State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A36E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34/9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B91FD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893B1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13/4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6B36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1.872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EE83C4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62.391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1B2E6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8D9F9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F1D0A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A04F1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C5223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418919B1" w14:textId="77777777">
        <w:trPr>
          <w:cantSplit/>
          <w:trHeight w:val="278"/>
        </w:trPr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6784D4F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bidi="ar"/>
              </w:rPr>
              <w:t>Response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03AC018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17/8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58E81DE0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4/13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CF0D50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3EA854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0.715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BCC786E" w14:textId="77777777" w:rsidR="00E56C6D" w:rsidRDefault="00000000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23.846</w:t>
            </w:r>
          </w:p>
        </w:tc>
        <w:tc>
          <w:tcPr>
            <w:tcW w:w="470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E34EC99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F65A537" w14:textId="77777777" w:rsidR="00E56C6D" w:rsidRDefault="00E56C6D">
            <w:pPr>
              <w:pStyle w:val="Caption"/>
              <w:spacing w:line="360" w:lineRule="auto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97FFDBC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E35C51B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FD74BF0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3AB7D88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24FBA944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65996DE4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4A19BC03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584EA66A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5C531CDA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7B86CA0F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7D028CBE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65DE596B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1E195C94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4E015329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23E02AFB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69DDA5EA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7732EDD4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77DAC676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1EFCA52A" w14:textId="77777777" w:rsidR="00E56C6D" w:rsidRDefault="00E56C6D">
      <w:pPr>
        <w:rPr>
          <w:rFonts w:ascii="Times New Roman" w:eastAsia="SimSun" w:hAnsi="Times New Roman" w:cs="Times New Roman"/>
          <w:b/>
          <w:bCs/>
          <w:color w:val="3E3D40"/>
          <w:sz w:val="20"/>
          <w:szCs w:val="20"/>
          <w:shd w:val="clear" w:color="auto" w:fill="FFFFFF"/>
        </w:rPr>
      </w:pPr>
    </w:p>
    <w:p w14:paraId="5D58FF51" w14:textId="77777777" w:rsidR="00E56C6D" w:rsidRDefault="00000000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 w:hint="eastAsia"/>
          <w:b/>
          <w:bCs/>
          <w:color w:val="3E3D40"/>
          <w:sz w:val="20"/>
          <w:szCs w:val="20"/>
          <w:shd w:val="clear" w:color="auto" w:fill="FFFFFF"/>
        </w:rPr>
        <w:lastRenderedPageBreak/>
        <w:t>Table S7</w:t>
      </w:r>
    </w:p>
    <w:p w14:paraId="3A47B612" w14:textId="77777777" w:rsidR="00E56C6D" w:rsidRDefault="00000000">
      <w:pPr>
        <w:pStyle w:val="NormalIndent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The calculation process of the </w:t>
      </w:r>
      <w:r>
        <w:rPr>
          <w:rFonts w:ascii="Times New Roman" w:hAnsi="Times New Roman" w:hint="eastAsia"/>
          <w:sz w:val="20"/>
          <w:szCs w:val="20"/>
        </w:rPr>
        <w:t xml:space="preserve">index </w:t>
      </w:r>
      <w:r>
        <w:rPr>
          <w:rFonts w:ascii="Times New Roman" w:hAnsi="Times New Roman"/>
          <w:sz w:val="20"/>
          <w:szCs w:val="20"/>
        </w:rPr>
        <w:t>layer of analytical hierarchy process method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"/>
        <w:gridCol w:w="501"/>
        <w:gridCol w:w="501"/>
        <w:gridCol w:w="501"/>
        <w:gridCol w:w="501"/>
        <w:gridCol w:w="501"/>
        <w:gridCol w:w="581"/>
        <w:gridCol w:w="501"/>
        <w:gridCol w:w="501"/>
        <w:gridCol w:w="581"/>
        <w:gridCol w:w="501"/>
        <w:gridCol w:w="501"/>
        <w:gridCol w:w="501"/>
        <w:gridCol w:w="501"/>
        <w:gridCol w:w="501"/>
        <w:gridCol w:w="989"/>
        <w:gridCol w:w="675"/>
        <w:gridCol w:w="1616"/>
        <w:gridCol w:w="576"/>
        <w:gridCol w:w="576"/>
        <w:gridCol w:w="576"/>
        <w:gridCol w:w="1300"/>
      </w:tblGrid>
      <w:tr w:rsidR="00E56C6D" w14:paraId="00349B0A" w14:textId="77777777">
        <w:trPr>
          <w:trHeight w:val="397"/>
          <w:tblHeader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C209CBD" w14:textId="77777777" w:rsidR="00E56C6D" w:rsidRDefault="00000000">
            <w:pPr>
              <w:pStyle w:val="Caption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ndex</w:t>
            </w:r>
          </w:p>
          <w:p w14:paraId="3A29F47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layer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93A7E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9E529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351E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91B9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A3B36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25C6D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49F2E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88F1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9632E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BC80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A63F1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CE265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A10C0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5651A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86BAC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igenvector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B9031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Weight</w:t>
            </w:r>
          </w:p>
          <w:p w14:paraId="5DB97C0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7E22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aximum eigenvalue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0AA75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CI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2738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78B8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CR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00FA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Consistency Test</w:t>
            </w:r>
          </w:p>
        </w:tc>
      </w:tr>
      <w:tr w:rsidR="00E56C6D" w14:paraId="2942C10B" w14:textId="77777777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C724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29B92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0286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7/18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0A526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2/7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81D9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1/4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44AC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967A9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EA67E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9FAE8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F6523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BC1F0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E573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47108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51258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18D1C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3B7A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0.339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A242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8.471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A419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4.142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E2172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9E942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0.890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6480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0.053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250BC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Pass</w:t>
            </w:r>
          </w:p>
        </w:tc>
      </w:tr>
      <w:tr w:rsidR="00E56C6D" w14:paraId="30AFDD6C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4895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6310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18/7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D4235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C128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F83A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6/23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BA4B8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DB000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9C2C6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0905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E051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51E2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2111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55F5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66B5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1867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900EC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3748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15.370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E96A0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48CD8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C0432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9E82D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FCE37B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4E4C8168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E35E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6A53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2C7DE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6E1B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EA27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B9FC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0D4207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AACAE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5E66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D45D3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8435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B79C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CA59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9257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9FF68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0F21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3D81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24.248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5904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C7D7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5DBF9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4E3ED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6900B1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0CEE8927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D5D5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2449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CE565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23/6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D2CFE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F70C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6F05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0F164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7094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A931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39FE6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254F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3735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D572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56A7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3068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DF1C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2.076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275B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  <w:t>51.912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A5CA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E01E9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391F4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30F76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50932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72A011C3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0434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2F2A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30EE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EF2B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2C8B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B446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C5CD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379A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DEC2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4/15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A97A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9/35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792B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9/34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45C2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9/26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B05707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781F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25D3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8FCBF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FD42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4.477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A18A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7.591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0CBF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3E4C0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1.360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F886D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0.072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979B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Pass</w:t>
            </w:r>
          </w:p>
        </w:tc>
      </w:tr>
      <w:tr w:rsidR="00E56C6D" w14:paraId="752DE949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6585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077D5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0188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993B7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48E7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9A9B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1C17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75A6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8/21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4046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7994D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10/37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1045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5/16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0ECA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4/15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2A09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7EBB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9DB8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808E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9B87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5.724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5A7E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F85058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F159D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CF31D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77986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391A5B85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B8D0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E3AF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894C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FA27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81D0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E43B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23/7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7FFA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21/8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88349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5524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9/23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43339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1EAC4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3EEC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4/13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ABC04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C2CE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43E5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94D7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D228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8.164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349A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9E2C2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04735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885D5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32474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2F8DD817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35CDF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A5B1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F622B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F267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2AAF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B5D7D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15/4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6349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29/8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C446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23/9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8B1B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E7210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A2DE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FF18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109BA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F716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1EC82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F12F1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7BA81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12.453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AAF1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C14E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B561D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348BE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A48F6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2E58AE37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7B23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CA2E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13C8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BAFA8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E84B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7362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35/9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655AC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37/10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91BC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31/7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B68B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C78D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4937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A217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5/3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26E8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80A6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8358D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4515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1BF5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24.945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6432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C4AB7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B082D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057AF2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A4C2A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59284228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04E5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A620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095F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7021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938B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20CC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34/9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082D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16/5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8181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30/7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912E1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18/7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19B8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D8FB0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281E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16/5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F20C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F9A7F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AEA77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B8B8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460D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26.680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48EF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E938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E28B6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8CAE53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89425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158A85EE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ED5F7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351FA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CCB75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358E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977CC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9A6D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26/9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379A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15/4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FB25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13/4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8D0C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22/7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E25BB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3/5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A3CB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5/16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7304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34BA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9892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E737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0197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D821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17.558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34A2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05F56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61D50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F7350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77119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160C4472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0B7A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17B5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64ED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BA6BF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C938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3C595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FB96C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96258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E71F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783D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AEC1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0CFCE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70DF6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6B2B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37AA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49CB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D67C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12.642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43AAD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3.043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BEDD0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F452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0.520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C443A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0.041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2503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Pass</w:t>
            </w:r>
          </w:p>
        </w:tc>
      </w:tr>
      <w:tr w:rsidR="00E56C6D" w14:paraId="698A35FC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AA838E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5DCF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BC03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A8E0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82A7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010100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02F9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7DD45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47375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3C20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6645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3945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E1BA2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24/7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6C369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35768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7/13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D0D7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A268C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34.939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58D4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AD39F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55AA1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2CF2C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E2880E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6C6D" w14:paraId="3DF563C9" w14:textId="77777777">
        <w:trPr>
          <w:cantSplit/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645E786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2CFFDDB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04AB644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D3F245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A623569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4A7D72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5F512F7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5E5388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5B5EEE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F9BE55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AB951ED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288FAD1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C0AF85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24/7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BE7232F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D3DB7A3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3BAC1D4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1.573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EAAC525" w14:textId="77777777" w:rsidR="00E56C6D" w:rsidRDefault="00000000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FangSong_GB2312" w:hAnsi="Times New Roman" w:cs="Times New Roman" w:hint="eastAsia"/>
                <w:color w:val="000000"/>
                <w:sz w:val="16"/>
                <w:szCs w:val="16"/>
              </w:rPr>
              <w:t>52.419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85A0232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0130543" w14:textId="77777777" w:rsidR="00E56C6D" w:rsidRDefault="00E56C6D">
            <w:pPr>
              <w:pStyle w:val="Caption"/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4BDD806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2151B40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EC31B27" w14:textId="77777777" w:rsidR="00E56C6D" w:rsidRDefault="00E56C6D">
            <w:pPr>
              <w:jc w:val="center"/>
              <w:rPr>
                <w:rFonts w:ascii="Times New Roman" w:eastAsia="FangSong_GB2312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A01EDD7" w14:textId="77777777" w:rsidR="00E56C6D" w:rsidRDefault="00E56C6D">
      <w:pPr>
        <w:rPr>
          <w:rFonts w:ascii="Times New Roman" w:hAnsi="Times New Roman" w:cs="Times New Roman"/>
          <w:sz w:val="20"/>
          <w:szCs w:val="20"/>
        </w:rPr>
        <w:sectPr w:rsidR="00E56C6D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070E0017" w14:textId="77777777" w:rsidR="00E56C6D" w:rsidRDefault="00000000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lastRenderedPageBreak/>
        <w:drawing>
          <wp:inline distT="0" distB="0" distL="0" distR="0" wp14:anchorId="69F3EE58" wp14:editId="4E0B8534">
            <wp:extent cx="5039995" cy="3519805"/>
            <wp:effectExtent l="0" t="0" r="1905" b="10795"/>
            <wp:docPr id="98785879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58794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51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2190" w14:textId="77777777" w:rsidR="00E56C6D" w:rsidRDefault="00000000">
      <w:pPr>
        <w:adjustRightInd w:val="0"/>
        <w:snapToGrid w:val="0"/>
        <w:spacing w:line="360" w:lineRule="auto"/>
        <w:ind w:firstLine="42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Fig. </w:t>
      </w:r>
      <w:r>
        <w:rPr>
          <w:rFonts w:ascii="Times New Roman" w:hAnsi="Times New Roman" w:hint="eastAsia"/>
          <w:b/>
          <w:bCs/>
          <w:sz w:val="16"/>
          <w:szCs w:val="16"/>
        </w:rPr>
        <w:t>S1.</w:t>
      </w:r>
      <w:r>
        <w:rPr>
          <w:rFonts w:ascii="Times New Roman" w:hAnsi="Times New Roman"/>
          <w:sz w:val="16"/>
          <w:szCs w:val="16"/>
        </w:rPr>
        <w:t xml:space="preserve"> Composite index of pressure, </w:t>
      </w:r>
      <w:proofErr w:type="gramStart"/>
      <w:r>
        <w:rPr>
          <w:rFonts w:ascii="Times New Roman" w:hAnsi="Times New Roman"/>
          <w:sz w:val="16"/>
          <w:szCs w:val="16"/>
        </w:rPr>
        <w:t>state</w:t>
      </w:r>
      <w:proofErr w:type="gramEnd"/>
      <w:r>
        <w:rPr>
          <w:rFonts w:ascii="Times New Roman" w:hAnsi="Times New Roman"/>
          <w:sz w:val="16"/>
          <w:szCs w:val="16"/>
        </w:rPr>
        <w:t xml:space="preserve"> and response layers in each sub-region of </w:t>
      </w:r>
      <w:proofErr w:type="spellStart"/>
      <w:r>
        <w:rPr>
          <w:rFonts w:ascii="Times New Roman" w:hAnsi="Times New Roman"/>
          <w:sz w:val="16"/>
          <w:szCs w:val="16"/>
        </w:rPr>
        <w:t>Sansha</w:t>
      </w:r>
      <w:proofErr w:type="spellEnd"/>
      <w:r>
        <w:rPr>
          <w:rFonts w:ascii="Times New Roman" w:hAnsi="Times New Roman"/>
          <w:sz w:val="16"/>
          <w:szCs w:val="16"/>
        </w:rPr>
        <w:t xml:space="preserve"> Bay</w:t>
      </w:r>
    </w:p>
    <w:p w14:paraId="34E2556C" w14:textId="77777777" w:rsidR="00E56C6D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`</w:t>
      </w:r>
    </w:p>
    <w:sectPr w:rsidR="00E56C6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8C5E" w14:textId="77777777" w:rsidR="003D79A5" w:rsidRDefault="003D79A5">
      <w:r>
        <w:separator/>
      </w:r>
    </w:p>
  </w:endnote>
  <w:endnote w:type="continuationSeparator" w:id="0">
    <w:p w14:paraId="57FAB7AE" w14:textId="77777777" w:rsidR="003D79A5" w:rsidRDefault="003D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FangSong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C0E" w14:textId="77777777" w:rsidR="00E56C6D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A2428" wp14:editId="1D6A0F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32CE8" w14:textId="77777777" w:rsidR="00E56C6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A242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F32CE8" w14:textId="77777777" w:rsidR="00E56C6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2935" w14:textId="77777777" w:rsidR="003D79A5" w:rsidRDefault="003D79A5">
      <w:r>
        <w:separator/>
      </w:r>
    </w:p>
  </w:footnote>
  <w:footnote w:type="continuationSeparator" w:id="0">
    <w:p w14:paraId="02269770" w14:textId="77777777" w:rsidR="003D79A5" w:rsidRDefault="003D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EE7C2E"/>
    <w:multiLevelType w:val="singleLevel"/>
    <w:tmpl w:val="A2EE7C2E"/>
    <w:lvl w:ilvl="0">
      <w:start w:val="1"/>
      <w:numFmt w:val="lowerLetter"/>
      <w:suff w:val="space"/>
      <w:lvlText w:val="%1."/>
      <w:lvlJc w:val="left"/>
    </w:lvl>
  </w:abstractNum>
  <w:num w:numId="1" w16cid:durableId="10326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Q3YWE3OGE5ODQyNjZhMjEzODM0ZTViN2I4ZjJiMjIifQ=="/>
  </w:docVars>
  <w:rsids>
    <w:rsidRoot w:val="00E56C6D"/>
    <w:rsid w:val="003D79A5"/>
    <w:rsid w:val="00983D77"/>
    <w:rsid w:val="00A42231"/>
    <w:rsid w:val="00E56C6D"/>
    <w:rsid w:val="01253318"/>
    <w:rsid w:val="0AC93A22"/>
    <w:rsid w:val="1CAB1BA5"/>
    <w:rsid w:val="280539E4"/>
    <w:rsid w:val="44D07161"/>
    <w:rsid w:val="5365503A"/>
    <w:rsid w:val="539A1AD1"/>
    <w:rsid w:val="55564D8D"/>
    <w:rsid w:val="68344483"/>
    <w:rsid w:val="6FE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64033"/>
  <w15:docId w15:val="{7594832C-2EB8-4DB5-A819-3671014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uiPriority="35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autoRedefine/>
    <w:qFormat/>
    <w:pPr>
      <w:ind w:firstLine="420"/>
    </w:pPr>
    <w:rPr>
      <w:rFonts w:cs="Times New Roman"/>
    </w:rPr>
  </w:style>
  <w:style w:type="paragraph" w:styleId="Caption">
    <w:name w:val="caption"/>
    <w:basedOn w:val="Normal"/>
    <w:next w:val="Normal"/>
    <w:autoRedefine/>
    <w:uiPriority w:val="35"/>
    <w:unhideWhenUsed/>
    <w:qFormat/>
    <w:rPr>
      <w:rFonts w:asciiTheme="majorHAnsi" w:eastAsia="SimHei" w:hAnsiTheme="majorHAnsi" w:cstheme="majorBidi"/>
      <w:sz w:val="20"/>
      <w:szCs w:val="20"/>
    </w:rPr>
  </w:style>
  <w:style w:type="paragraph" w:styleId="CommentText">
    <w:name w:val="annotation text"/>
    <w:basedOn w:val="Normal"/>
    <w:qFormat/>
    <w:pPr>
      <w:jc w:val="left"/>
    </w:pPr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10</Pages>
  <Words>1503</Words>
  <Characters>8571</Characters>
  <Application>Microsoft Office Word</Application>
  <DocSecurity>0</DocSecurity>
  <Lines>71</Lines>
  <Paragraphs>20</Paragraphs>
  <ScaleCrop>false</ScaleCrop>
  <Company>Frontiers Media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富川良吉</dc:creator>
  <cp:lastModifiedBy>Valentina Martini</cp:lastModifiedBy>
  <cp:revision>2</cp:revision>
  <dcterms:created xsi:type="dcterms:W3CDTF">2024-05-02T13:33:00Z</dcterms:created>
  <dcterms:modified xsi:type="dcterms:W3CDTF">2024-05-27T08:51:00Z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A03F7B919BA9448DB30385099020645A_13</vt:lpwstr>
  </property>
</Properties>
</file>