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853333E" w14:textId="51785185" w:rsidR="00E40ED0" w:rsidRPr="00D5568C" w:rsidRDefault="00E40ED0" w:rsidP="00B86BBA">
      <w:pPr>
        <w:pStyle w:val="AuthorList"/>
      </w:pPr>
      <w:bookmarkStart w:id="0" w:name="_Toc160401956"/>
      <w:r w:rsidRPr="00C77044">
        <w:rPr>
          <w:bCs/>
        </w:rPr>
        <w:t xml:space="preserve">Supplementary Table </w:t>
      </w:r>
      <w:r>
        <w:rPr>
          <w:bCs/>
        </w:rPr>
        <w:t>1</w:t>
      </w:r>
      <w:r>
        <w:t>. Composition of the study diabetes-specific formula per serving</w:t>
      </w:r>
      <w:bookmarkEnd w:id="0"/>
    </w:p>
    <w:tbl>
      <w:tblPr>
        <w:tblStyle w:val="GridTable1Light"/>
        <w:tblW w:w="6913" w:type="dxa"/>
        <w:jc w:val="center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2"/>
        <w:gridCol w:w="234"/>
        <w:gridCol w:w="1404"/>
        <w:gridCol w:w="235"/>
        <w:gridCol w:w="3168"/>
      </w:tblGrid>
      <w:tr w:rsidR="00E40ED0" w:rsidRPr="00781D30" w14:paraId="65F8A646" w14:textId="77777777" w:rsidTr="00B86B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bottom w:val="single" w:sz="4" w:space="0" w:color="auto"/>
            </w:tcBorders>
          </w:tcPr>
          <w:p w14:paraId="1AE1A66B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Cs w:val="0"/>
                <w:color w:val="000000"/>
                <w:szCs w:val="24"/>
                <w:lang w:eastAsia="de-DE" w:bidi="en-US"/>
              </w:rPr>
              <w:t>Nutrient</w:t>
            </w:r>
          </w:p>
        </w:tc>
        <w:tc>
          <w:tcPr>
            <w:tcW w:w="234" w:type="dxa"/>
            <w:tcBorders>
              <w:bottom w:val="nil"/>
            </w:tcBorders>
          </w:tcPr>
          <w:p w14:paraId="5DBA28FE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bottom w:val="single" w:sz="4" w:space="0" w:color="auto"/>
            </w:tcBorders>
          </w:tcPr>
          <w:p w14:paraId="49C3751C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Unit</w:t>
            </w:r>
          </w:p>
        </w:tc>
        <w:tc>
          <w:tcPr>
            <w:tcW w:w="235" w:type="dxa"/>
            <w:tcBorders>
              <w:bottom w:val="nil"/>
            </w:tcBorders>
          </w:tcPr>
          <w:p w14:paraId="6A708F08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bottom w:val="single" w:sz="4" w:space="0" w:color="auto"/>
            </w:tcBorders>
          </w:tcPr>
          <w:p w14:paraId="7B2C1A44" w14:textId="77777777" w:rsidR="00E40ED0" w:rsidRPr="00B86BBA" w:rsidRDefault="00E40ED0" w:rsidP="002B14C5">
            <w:pPr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Diabetes-specific formula</w:t>
            </w:r>
          </w:p>
        </w:tc>
      </w:tr>
      <w:tr w:rsidR="00E40ED0" w:rsidRPr="00781D30" w14:paraId="38EBA1BE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single" w:sz="4" w:space="0" w:color="auto"/>
              <w:bottom w:val="nil"/>
            </w:tcBorders>
            <w:vAlign w:val="center"/>
          </w:tcPr>
          <w:p w14:paraId="0F0FCA23" w14:textId="77777777" w:rsidR="00E40ED0" w:rsidRPr="00B86BBA" w:rsidRDefault="00E40ED0" w:rsidP="002B14C5">
            <w:pPr>
              <w:adjustRightInd w:val="0"/>
              <w:snapToGrid w:val="0"/>
              <w:spacing w:after="0"/>
              <w:rPr>
                <w:rFonts w:eastAsia="Times New Roman" w:cs="Times New Roman"/>
                <w:snapToGrid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Energy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6BCA5A1C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  <w:bottom w:val="nil"/>
            </w:tcBorders>
            <w:vAlign w:val="center"/>
          </w:tcPr>
          <w:p w14:paraId="4CEFC341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napToGrid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kcal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252281C9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3168" w:type="dxa"/>
            <w:tcBorders>
              <w:top w:val="single" w:sz="4" w:space="0" w:color="auto"/>
              <w:bottom w:val="nil"/>
            </w:tcBorders>
            <w:vAlign w:val="center"/>
          </w:tcPr>
          <w:p w14:paraId="37D9C872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napToGrid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228</w:t>
            </w:r>
          </w:p>
        </w:tc>
      </w:tr>
      <w:tr w:rsidR="00E40ED0" w:rsidRPr="00781D30" w14:paraId="55D7B337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42A8D82E" w14:textId="77777777" w:rsidR="00E40ED0" w:rsidRPr="00B86BBA" w:rsidRDefault="00E40ED0" w:rsidP="002B14C5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Protein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627A349A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0540D443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g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231BB96D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79A54F14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10.2</w:t>
            </w:r>
          </w:p>
        </w:tc>
      </w:tr>
      <w:tr w:rsidR="00E40ED0" w:rsidRPr="00781D30" w14:paraId="3E72BA6A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4F03360C" w14:textId="77777777" w:rsidR="00E40ED0" w:rsidRPr="00B86BBA" w:rsidRDefault="00E40ED0" w:rsidP="002B14C5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Fat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493D47DF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4EFB03DD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g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0ED00490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5D4BC288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8.7</w:t>
            </w:r>
          </w:p>
        </w:tc>
      </w:tr>
      <w:tr w:rsidR="00E40ED0" w:rsidRPr="00781D30" w14:paraId="029CB60F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52665AA2" w14:textId="77777777" w:rsidR="00E40ED0" w:rsidRPr="00B86BBA" w:rsidRDefault="00E40ED0" w:rsidP="002B14C5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Carbohydrate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3BAFE8CC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66829BD2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g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3BA0AC98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1E0A0CE0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26.1</w:t>
            </w:r>
          </w:p>
        </w:tc>
      </w:tr>
      <w:tr w:rsidR="00E40ED0" w:rsidRPr="00781D30" w14:paraId="7D86777E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51011844" w14:textId="77777777" w:rsidR="00E40ED0" w:rsidRPr="00B86BBA" w:rsidRDefault="00E40ED0" w:rsidP="002B14C5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Inositol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320CD919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31F1703F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mg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166BE466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4425E9C8" w14:textId="77777777" w:rsidR="00E40ED0" w:rsidRPr="00B86BBA" w:rsidRDefault="00E40ED0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800</w:t>
            </w:r>
          </w:p>
        </w:tc>
      </w:tr>
      <w:tr w:rsidR="006C21AF" w:rsidRPr="00781D30" w14:paraId="70272188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117EE097" w14:textId="1B80749E" w:rsidR="006C21AF" w:rsidRPr="00B86BBA" w:rsidRDefault="006C21AF" w:rsidP="002B14C5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Vitamin D</w:t>
            </w: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vertAlign w:val="subscript"/>
                <w:lang w:eastAsia="de-DE" w:bidi="en-US"/>
              </w:rPr>
              <w:t>3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4B7AC4AA" w14:textId="77777777" w:rsidR="006C21AF" w:rsidRPr="00B86BBA" w:rsidRDefault="006C21AF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3FD7965C" w14:textId="3D919B46" w:rsidR="006C21AF" w:rsidRPr="00B86BBA" w:rsidRDefault="000D2E9F" w:rsidP="006C21AF">
            <w:pPr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µ</w:t>
            </w:r>
            <w:r w:rsidR="006C21AF"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g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4CB010C7" w14:textId="77777777" w:rsidR="006C21AF" w:rsidRPr="00B86BBA" w:rsidRDefault="006C21AF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19807577" w14:textId="3B285988" w:rsidR="006C21AF" w:rsidRPr="00B86BBA" w:rsidRDefault="006C21AF" w:rsidP="006C21AF">
            <w:pPr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6.51</w:t>
            </w:r>
          </w:p>
        </w:tc>
      </w:tr>
      <w:tr w:rsidR="006C21AF" w:rsidRPr="00781D30" w14:paraId="4D69E8C1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2BAAE149" w14:textId="77777777" w:rsidR="006C21AF" w:rsidRPr="00B86BBA" w:rsidRDefault="006C21AF" w:rsidP="006C21AF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5591803D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49F19261" w14:textId="2F804A67" w:rsidR="006C21AF" w:rsidRPr="00B86BBA" w:rsidRDefault="006C21AF" w:rsidP="006C21AF">
            <w:pPr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IU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5389747F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5B46FD22" w14:textId="67B32CC1" w:rsidR="006C21AF" w:rsidRPr="00B86BBA" w:rsidRDefault="006C21AF" w:rsidP="006C21AF">
            <w:pPr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261</w:t>
            </w:r>
          </w:p>
        </w:tc>
      </w:tr>
      <w:tr w:rsidR="006C21AF" w:rsidRPr="00781D30" w14:paraId="32CEA748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6E27C792" w14:textId="63ED79C9" w:rsidR="006C21AF" w:rsidRPr="00B86BBA" w:rsidRDefault="006C21AF" w:rsidP="006C21AF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Vitamin E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07203011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78E0B1BF" w14:textId="0881A1B4" w:rsidR="006C21AF" w:rsidRPr="00B86BBA" w:rsidRDefault="006C21AF" w:rsidP="006C21AF">
            <w:pPr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mg α-TE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5F0FE7B8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00395716" w14:textId="27DE247A" w:rsidR="006C21AF" w:rsidRPr="00B86BBA" w:rsidRDefault="006C21AF" w:rsidP="006C21AF">
            <w:pPr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5.3</w:t>
            </w:r>
          </w:p>
        </w:tc>
      </w:tr>
      <w:tr w:rsidR="006C21AF" w:rsidRPr="00781D30" w14:paraId="5E6B5634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345B4C3F" w14:textId="77777777" w:rsidR="006C21AF" w:rsidRPr="00B86BBA" w:rsidRDefault="006C21AF" w:rsidP="006C21AF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2D88E647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77F70004" w14:textId="7908088D" w:rsidR="006C21AF" w:rsidRPr="00B86BBA" w:rsidRDefault="006C21AF" w:rsidP="006C21AF">
            <w:pPr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IU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59C88B91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7D9F2C16" w14:textId="443CF99D" w:rsidR="006C21AF" w:rsidRPr="00B86BBA" w:rsidRDefault="006C21AF" w:rsidP="006C21AF">
            <w:pPr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7.8</w:t>
            </w:r>
          </w:p>
        </w:tc>
      </w:tr>
      <w:tr w:rsidR="006C21AF" w:rsidRPr="00781D30" w14:paraId="36BF939B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2AA314CF" w14:textId="616B8292" w:rsidR="006C21AF" w:rsidRPr="00B86BBA" w:rsidRDefault="006C21AF" w:rsidP="006C21AF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Folic acid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4D6222BD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291CCA2A" w14:textId="2CABF5E6" w:rsidR="006C21AF" w:rsidRPr="00B86BBA" w:rsidRDefault="002E29EB" w:rsidP="006C21AF">
            <w:pPr>
              <w:adjustRightInd w:val="0"/>
              <w:snapToGrid w:val="0"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µ</w:t>
            </w:r>
            <w:r w:rsidR="006C21AF"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g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508479FC" w14:textId="77777777" w:rsidR="006C21AF" w:rsidRPr="00B86BBA" w:rsidRDefault="006C21AF" w:rsidP="006C21AF">
            <w:pPr>
              <w:adjustRightInd w:val="0"/>
              <w:snapToGrid w:val="0"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4C24B1A3" w14:textId="7A189E68" w:rsidR="006C21AF" w:rsidRPr="00B86BBA" w:rsidRDefault="006C21AF" w:rsidP="006C21AF">
            <w:pPr>
              <w:adjustRightInd w:val="0"/>
              <w:snapToGrid w:val="0"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81</w:t>
            </w:r>
          </w:p>
        </w:tc>
      </w:tr>
      <w:tr w:rsidR="006C21AF" w:rsidRPr="00781D30" w14:paraId="62899159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6E8E6F88" w14:textId="1BFAE356" w:rsidR="006C21AF" w:rsidRPr="00B86BBA" w:rsidRDefault="006C21AF" w:rsidP="006C21AF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Potassium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6959A685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184BA3C9" w14:textId="4E0340C0" w:rsidR="006C21AF" w:rsidRPr="00B86BBA" w:rsidRDefault="006C21AF" w:rsidP="006C21AF">
            <w:pPr>
              <w:adjustRightInd w:val="0"/>
              <w:snapToGrid w:val="0"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mg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28D7266B" w14:textId="77777777" w:rsidR="006C21AF" w:rsidRPr="00B86BBA" w:rsidRDefault="006C21AF" w:rsidP="006C21AF">
            <w:pPr>
              <w:adjustRightInd w:val="0"/>
              <w:snapToGrid w:val="0"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7F9A6E62" w14:textId="0BC98222" w:rsidR="006C21AF" w:rsidRPr="00B86BBA" w:rsidRDefault="006C21AF" w:rsidP="006C21AF">
            <w:pPr>
              <w:adjustRightInd w:val="0"/>
              <w:snapToGrid w:val="0"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370</w:t>
            </w:r>
          </w:p>
        </w:tc>
      </w:tr>
      <w:tr w:rsidR="006C21AF" w:rsidRPr="00781D30" w14:paraId="2BF67EC6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5299E4F6" w14:textId="1735FBDD" w:rsidR="006C21AF" w:rsidRPr="00B86BBA" w:rsidRDefault="006C21AF" w:rsidP="006C21AF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Calcium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74F1A534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755BB50C" w14:textId="24D0191C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mg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5A3D829F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04C8F1F2" w14:textId="289A44DE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223</w:t>
            </w:r>
          </w:p>
        </w:tc>
      </w:tr>
      <w:tr w:rsidR="006C21AF" w:rsidRPr="00781D30" w14:paraId="2B56EA6E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nil"/>
            </w:tcBorders>
            <w:vAlign w:val="center"/>
          </w:tcPr>
          <w:p w14:paraId="2A6A2BB3" w14:textId="5229B3CB" w:rsidR="006C21AF" w:rsidRPr="00B86BBA" w:rsidRDefault="006C21AF" w:rsidP="006C21AF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Zinc</w:t>
            </w:r>
          </w:p>
        </w:tc>
        <w:tc>
          <w:tcPr>
            <w:tcW w:w="234" w:type="dxa"/>
            <w:tcBorders>
              <w:top w:val="nil"/>
              <w:bottom w:val="nil"/>
            </w:tcBorders>
          </w:tcPr>
          <w:p w14:paraId="461B4D97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nil"/>
            </w:tcBorders>
            <w:vAlign w:val="center"/>
          </w:tcPr>
          <w:p w14:paraId="207C7259" w14:textId="3E0C730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mg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613B87A9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nil"/>
            </w:tcBorders>
            <w:vAlign w:val="center"/>
          </w:tcPr>
          <w:p w14:paraId="43D05B9A" w14:textId="350A9980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3.0</w:t>
            </w:r>
          </w:p>
        </w:tc>
      </w:tr>
      <w:tr w:rsidR="006C21AF" w:rsidRPr="00781D30" w14:paraId="4A46221B" w14:textId="77777777" w:rsidTr="006C21AF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nil"/>
              <w:bottom w:val="single" w:sz="4" w:space="0" w:color="auto"/>
            </w:tcBorders>
            <w:vAlign w:val="center"/>
          </w:tcPr>
          <w:p w14:paraId="406C3C60" w14:textId="526E0FBB" w:rsidR="006C21AF" w:rsidRPr="00B86BBA" w:rsidRDefault="006C21AF" w:rsidP="006C21AF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Chromium</w:t>
            </w:r>
          </w:p>
        </w:tc>
        <w:tc>
          <w:tcPr>
            <w:tcW w:w="234" w:type="dxa"/>
            <w:tcBorders>
              <w:top w:val="nil"/>
              <w:bottom w:val="single" w:sz="4" w:space="0" w:color="auto"/>
            </w:tcBorders>
          </w:tcPr>
          <w:p w14:paraId="1355147B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04" w:type="dxa"/>
            <w:tcBorders>
              <w:top w:val="nil"/>
              <w:bottom w:val="single" w:sz="4" w:space="0" w:color="auto"/>
            </w:tcBorders>
            <w:vAlign w:val="center"/>
          </w:tcPr>
          <w:p w14:paraId="41FF71D9" w14:textId="15FEAAFE" w:rsidR="006C21AF" w:rsidRPr="00B86BBA" w:rsidRDefault="000D2E9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µ</w:t>
            </w:r>
            <w:r w:rsidR="006C21AF"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g</w:t>
            </w:r>
          </w:p>
        </w:tc>
        <w:tc>
          <w:tcPr>
            <w:tcW w:w="235" w:type="dxa"/>
            <w:tcBorders>
              <w:top w:val="nil"/>
              <w:bottom w:val="single" w:sz="4" w:space="0" w:color="auto"/>
            </w:tcBorders>
          </w:tcPr>
          <w:p w14:paraId="7FBF7063" w14:textId="77777777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3168" w:type="dxa"/>
            <w:tcBorders>
              <w:top w:val="nil"/>
              <w:bottom w:val="single" w:sz="4" w:space="0" w:color="auto"/>
            </w:tcBorders>
            <w:vAlign w:val="center"/>
          </w:tcPr>
          <w:p w14:paraId="6E478F02" w14:textId="09FF5265" w:rsidR="006C21AF" w:rsidRPr="00B86BBA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39.6</w:t>
            </w:r>
          </w:p>
        </w:tc>
      </w:tr>
      <w:tr w:rsidR="006C21AF" w:rsidRPr="00781D30" w14:paraId="62F4FB4A" w14:textId="77777777" w:rsidTr="00B86BB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2" w:type="dxa"/>
            <w:tcBorders>
              <w:top w:val="single" w:sz="4" w:space="0" w:color="auto"/>
            </w:tcBorders>
            <w:vAlign w:val="center"/>
          </w:tcPr>
          <w:p w14:paraId="79101D9C" w14:textId="77777777" w:rsidR="006C21AF" w:rsidRPr="003509F3" w:rsidRDefault="006C21AF" w:rsidP="006C21AF">
            <w:pPr>
              <w:adjustRightInd w:val="0"/>
              <w:snapToGrid w:val="0"/>
              <w:spacing w:after="0"/>
              <w:jc w:val="center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234" w:type="dxa"/>
            <w:tcBorders>
              <w:top w:val="single" w:sz="4" w:space="0" w:color="auto"/>
            </w:tcBorders>
          </w:tcPr>
          <w:p w14:paraId="7A4CD0D8" w14:textId="77777777" w:rsidR="006C21AF" w:rsidRPr="003509F3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1404" w:type="dxa"/>
            <w:tcBorders>
              <w:top w:val="single" w:sz="4" w:space="0" w:color="auto"/>
            </w:tcBorders>
            <w:vAlign w:val="center"/>
          </w:tcPr>
          <w:p w14:paraId="6FF4F350" w14:textId="77777777" w:rsidR="006C21AF" w:rsidRPr="003509F3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235" w:type="dxa"/>
            <w:tcBorders>
              <w:top w:val="single" w:sz="4" w:space="0" w:color="auto"/>
            </w:tcBorders>
          </w:tcPr>
          <w:p w14:paraId="23274637" w14:textId="77777777" w:rsidR="006C21AF" w:rsidRPr="003509F3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e-DE" w:bidi="en-US"/>
              </w:rPr>
            </w:pPr>
          </w:p>
        </w:tc>
        <w:tc>
          <w:tcPr>
            <w:tcW w:w="3168" w:type="dxa"/>
            <w:tcBorders>
              <w:top w:val="single" w:sz="4" w:space="0" w:color="auto"/>
            </w:tcBorders>
            <w:vAlign w:val="center"/>
          </w:tcPr>
          <w:p w14:paraId="34BD7317" w14:textId="77777777" w:rsidR="006C21AF" w:rsidRPr="003509F3" w:rsidRDefault="006C21AF" w:rsidP="006C21AF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sz w:val="20"/>
                <w:szCs w:val="20"/>
                <w:lang w:eastAsia="de-DE" w:bidi="en-US"/>
              </w:rPr>
            </w:pPr>
          </w:p>
        </w:tc>
      </w:tr>
    </w:tbl>
    <w:p w14:paraId="4F8B9A03" w14:textId="77777777" w:rsidR="00B86BBA" w:rsidRDefault="00B86BBA" w:rsidP="00B86BBA">
      <w:pPr>
        <w:pStyle w:val="AuthorList"/>
        <w:rPr>
          <w:lang w:eastAsia="de-DE" w:bidi="en-US"/>
        </w:rPr>
      </w:pPr>
      <w:bookmarkStart w:id="1" w:name="_Toc160401957"/>
    </w:p>
    <w:p w14:paraId="5208943D" w14:textId="77777777" w:rsidR="00B86BBA" w:rsidRDefault="00B86BBA">
      <w:pPr>
        <w:spacing w:before="0" w:after="200" w:line="276" w:lineRule="auto"/>
        <w:rPr>
          <w:rFonts w:cs="Times New Roman"/>
          <w:b/>
          <w:szCs w:val="24"/>
          <w:lang w:eastAsia="de-DE" w:bidi="en-US"/>
        </w:rPr>
      </w:pPr>
      <w:r>
        <w:rPr>
          <w:lang w:eastAsia="de-DE" w:bidi="en-US"/>
        </w:rPr>
        <w:br w:type="page"/>
      </w:r>
    </w:p>
    <w:p w14:paraId="21E0E9ED" w14:textId="39A03471" w:rsidR="00B86BBA" w:rsidRPr="00C77044" w:rsidRDefault="00B86BBA" w:rsidP="00B86BBA">
      <w:pPr>
        <w:pStyle w:val="AuthorList"/>
        <w:rPr>
          <w:lang w:eastAsia="de-DE" w:bidi="en-US"/>
        </w:rPr>
      </w:pPr>
      <w:r w:rsidRPr="00692CC7">
        <w:rPr>
          <w:lang w:eastAsia="de-DE" w:bidi="en-US"/>
        </w:rPr>
        <w:lastRenderedPageBreak/>
        <w:t xml:space="preserve">Supplementary </w:t>
      </w:r>
      <w:r w:rsidRPr="00781D30">
        <w:rPr>
          <w:lang w:eastAsia="de-DE" w:bidi="en-US"/>
        </w:rPr>
        <w:t xml:space="preserve">Table </w:t>
      </w:r>
      <w:r>
        <w:rPr>
          <w:lang w:eastAsia="de-DE" w:bidi="en-US"/>
        </w:rPr>
        <w:t>2</w:t>
      </w:r>
      <w:r w:rsidRPr="00781D30">
        <w:rPr>
          <w:lang w:eastAsia="de-DE" w:bidi="en-US"/>
        </w:rPr>
        <w:t xml:space="preserve">. </w:t>
      </w:r>
      <w:r>
        <w:rPr>
          <w:lang w:eastAsia="de-DE" w:bidi="en-US"/>
        </w:rPr>
        <w:t xml:space="preserve">Baseline </w:t>
      </w:r>
      <w:r w:rsidRPr="00692CC7">
        <w:rPr>
          <w:lang w:eastAsia="de-DE" w:bidi="en-US"/>
        </w:rPr>
        <w:t>body composition, blood pressure, and b</w:t>
      </w:r>
      <w:r>
        <w:rPr>
          <w:lang w:eastAsia="de-DE" w:bidi="en-US"/>
        </w:rPr>
        <w:t>iochemical outcomes</w:t>
      </w:r>
      <w:r w:rsidRPr="00692CC7">
        <w:rPr>
          <w:lang w:eastAsia="de-DE" w:bidi="en-US"/>
        </w:rPr>
        <w:t xml:space="preserve"> </w:t>
      </w:r>
      <w:r w:rsidRPr="00781D30">
        <w:rPr>
          <w:lang w:eastAsia="de-DE" w:bidi="en-US"/>
        </w:rPr>
        <w:t>of study participants</w:t>
      </w:r>
      <w:bookmarkEnd w:id="1"/>
      <w:r w:rsidRPr="00692CC7">
        <w:rPr>
          <w:lang w:eastAsia="de-DE" w:bidi="en-US"/>
        </w:rPr>
        <w:t xml:space="preserve"> </w:t>
      </w:r>
    </w:p>
    <w:tbl>
      <w:tblPr>
        <w:tblStyle w:val="GridTable1Light"/>
        <w:tblW w:w="9241" w:type="dxa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625"/>
        <w:gridCol w:w="110"/>
        <w:gridCol w:w="1420"/>
        <w:gridCol w:w="110"/>
        <w:gridCol w:w="1476"/>
        <w:gridCol w:w="144"/>
        <w:gridCol w:w="1476"/>
      </w:tblGrid>
      <w:tr w:rsidR="00B86BBA" w:rsidRPr="00B86BBA" w14:paraId="4CE15505" w14:textId="77777777" w:rsidTr="00171F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7AECD5" w14:textId="77777777" w:rsidR="00B86BBA" w:rsidRPr="00B86BBA" w:rsidRDefault="00B86BBA" w:rsidP="002B14C5">
            <w:pPr>
              <w:adjustRightInd w:val="0"/>
              <w:snapToGrid w:val="0"/>
              <w:spacing w:after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Variables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DC8903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 xml:space="preserve">All participants </w:t>
            </w: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br/>
              <w:t>(</w:t>
            </w:r>
            <w:r w:rsidRPr="00B86BBA">
              <w:rPr>
                <w:rFonts w:eastAsia="Times New Roman" w:cs="Times New Roman"/>
                <w:i/>
                <w:iCs/>
                <w:color w:val="000000"/>
                <w:szCs w:val="24"/>
                <w:lang w:eastAsia="de-DE" w:bidi="en-US"/>
              </w:rPr>
              <w:t>n</w:t>
            </w: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 xml:space="preserve"> = 235)</w:t>
            </w:r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810592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E79" w14:textId="65F28E97" w:rsidR="00B86BBA" w:rsidRPr="00B86BBA" w:rsidRDefault="00F81E9D" w:rsidP="002B14C5">
            <w:pPr>
              <w:adjustRightInd w:val="0"/>
              <w:snapToGrid w:val="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DSF</w:t>
            </w: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 xml:space="preserve"> </w:t>
            </w:r>
            <w:r w:rsidR="00B86BBA"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br/>
              <w:t>(</w:t>
            </w:r>
            <w:r w:rsidR="00B86BBA" w:rsidRPr="00B86BBA">
              <w:rPr>
                <w:rFonts w:eastAsia="Times New Roman" w:cs="Times New Roman"/>
                <w:i/>
                <w:iCs/>
                <w:color w:val="000000"/>
                <w:szCs w:val="24"/>
                <w:lang w:eastAsia="de-DE" w:bidi="en-US"/>
              </w:rPr>
              <w:t>n</w:t>
            </w:r>
            <w:r w:rsidR="00B86BBA"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 xml:space="preserve"> = 117)</w:t>
            </w:r>
          </w:p>
        </w:tc>
        <w:tc>
          <w:tcPr>
            <w:tcW w:w="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9816C8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AEDF43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 xml:space="preserve">Control </w:t>
            </w: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br/>
              <w:t>(</w:t>
            </w:r>
            <w:r w:rsidRPr="00B86BBA">
              <w:rPr>
                <w:rFonts w:eastAsia="Times New Roman" w:cs="Times New Roman"/>
                <w:i/>
                <w:iCs/>
                <w:color w:val="000000"/>
                <w:szCs w:val="24"/>
                <w:lang w:eastAsia="de-DE" w:bidi="en-US"/>
              </w:rPr>
              <w:t xml:space="preserve">n </w:t>
            </w: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= 118)</w:t>
            </w:r>
          </w:p>
        </w:tc>
        <w:tc>
          <w:tcPr>
            <w:tcW w:w="14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B7B056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F4800D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i/>
                <w:iCs/>
                <w:color w:val="000000"/>
                <w:szCs w:val="24"/>
                <w:lang w:eastAsia="de-DE" w:bidi="en-US"/>
              </w:rPr>
              <w:t>P</w:t>
            </w: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 xml:space="preserve"> value</w:t>
            </w:r>
          </w:p>
        </w:tc>
      </w:tr>
      <w:tr w:rsidR="00B86BBA" w:rsidRPr="00B86BBA" w14:paraId="33A2F97D" w14:textId="77777777" w:rsidTr="00171F6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87775B" w14:textId="77777777" w:rsidR="00B86BBA" w:rsidRPr="00B86BBA" w:rsidRDefault="00B86BBA" w:rsidP="002B14C5">
            <w:pPr>
              <w:adjustRightInd w:val="0"/>
              <w:snapToGrid w:val="0"/>
              <w:spacing w:after="0"/>
              <w:ind w:left="96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 xml:space="preserve">Body composition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FAD665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 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2FFFAFBE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05D7B3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 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1E30D967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10322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4EB20A77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1F484C47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</w:tr>
      <w:tr w:rsidR="00B86BBA" w:rsidRPr="00B86BBA" w14:paraId="3695FDB8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A0502" w14:textId="77777777" w:rsidR="00B86BBA" w:rsidRPr="00B86BBA" w:rsidRDefault="00B86BBA" w:rsidP="002B14C5">
            <w:pPr>
              <w:adjustRightInd w:val="0"/>
              <w:snapToGrid w:val="0"/>
              <w:spacing w:after="0"/>
              <w:ind w:left="165" w:hanging="9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Fat mass (kg)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ED3F9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27.40 ± 0.45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7606E4C6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380A9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27.79 ± 0.64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2CEB8945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DE68B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27.01 ± 0.64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41825CF7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558A1" w14:textId="77777777" w:rsidR="00B86BBA" w:rsidRPr="00B86BBA" w:rsidRDefault="00B86BBA" w:rsidP="002B14C5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0.210</w:t>
            </w:r>
          </w:p>
        </w:tc>
      </w:tr>
      <w:tr w:rsidR="00F81E9D" w:rsidRPr="00B86BBA" w14:paraId="11FA912B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73C9E" w14:textId="63CFD54B" w:rsidR="00F81E9D" w:rsidRPr="00DA7F55" w:rsidRDefault="00F81E9D" w:rsidP="00F81E9D">
            <w:pPr>
              <w:adjustRightInd w:val="0"/>
              <w:snapToGrid w:val="0"/>
              <w:spacing w:after="0"/>
              <w:ind w:left="165" w:hanging="9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DA7F55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Fat mass (%)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D4AFF" w14:textId="37368785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37.48 ± 0.53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04A2EB10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070CB" w14:textId="41F9DB06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38.49 ± 0.74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6C940D7C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64410" w14:textId="295449A0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36.50 ± 0.73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64FDD095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7DBDC" w14:textId="21994DCD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0.027</w:t>
            </w:r>
          </w:p>
        </w:tc>
      </w:tr>
      <w:tr w:rsidR="00F81E9D" w:rsidRPr="00B86BBA" w14:paraId="0454EFF5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33E88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165" w:hanging="9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Fat-free mass (kg)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2B435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46.03 ± 0.66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2CF83610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ED15D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44.55 ± 0.82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09F2B68E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209ED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47.46 ± 1.00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4953A69C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B7C86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0.020</w:t>
            </w:r>
          </w:p>
        </w:tc>
      </w:tr>
      <w:tr w:rsidR="00F81E9D" w:rsidRPr="00B86BBA" w14:paraId="2841BDE6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F443F" w14:textId="2669B68B" w:rsidR="00F81E9D" w:rsidRPr="00DA7F55" w:rsidRDefault="00F81E9D" w:rsidP="00F81E9D">
            <w:pPr>
              <w:adjustRightInd w:val="0"/>
              <w:snapToGrid w:val="0"/>
              <w:spacing w:after="0"/>
              <w:ind w:left="165" w:hanging="9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DA7F55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Fat-free mass (%)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A1150" w14:textId="408CB0FD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62.52 ± 0.53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44E6D73F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C53AA" w14:textId="706EA01E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61.51 ± 0.74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2D82A169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70E44" w14:textId="5F01804E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63.50 ± 0.73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7D6B075D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671A0" w14:textId="57A40F45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0.027</w:t>
            </w:r>
          </w:p>
        </w:tc>
      </w:tr>
      <w:tr w:rsidR="00F81E9D" w:rsidRPr="00B86BBA" w14:paraId="44C5E074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64439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165" w:hanging="9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Visceral adipose tissue (L)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41DB7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3.18 ± 0.08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3624DB9C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9B940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3.09 ± 0.11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7314B453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6B974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3.26 ± 0.12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26158729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EF8A7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0.243</w:t>
            </w:r>
          </w:p>
        </w:tc>
      </w:tr>
      <w:tr w:rsidR="00F81E9D" w:rsidRPr="00B86BBA" w14:paraId="58D0778B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0AE69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165" w:hanging="9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Total body water (%)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FDE0B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46.28 ± 0.35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20A6150E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27163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45.59 ± 0.50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0D449864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6FB5D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46.95 ± 0.49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0A35D9C2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F9914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0.026</w:t>
            </w:r>
          </w:p>
        </w:tc>
      </w:tr>
      <w:tr w:rsidR="00F81E9D" w:rsidRPr="00B86BBA" w14:paraId="34250D86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7032F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96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Phase angle (°)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20D4B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5.70 ± 0.00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0C14F3AE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103D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5.60 ± 0.10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7ADCA636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14C57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5.80 ± 0.10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473AA702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5C5E1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0.148</w:t>
            </w:r>
          </w:p>
        </w:tc>
      </w:tr>
      <w:tr w:rsidR="00F81E9D" w:rsidRPr="00B86BBA" w14:paraId="33E0A55A" w14:textId="77777777" w:rsidTr="00171F6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849DC8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96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Blood pressure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A5BBCD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 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2F227F84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2AED6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 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057A3750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A8BD4C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3072E028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420E2650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</w:tr>
      <w:tr w:rsidR="00F81E9D" w:rsidRPr="00B86BBA" w14:paraId="6E0BCC52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442D0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96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Systolic blood pressure (mmHg)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40C98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131.20 ± 0.90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2C93CD54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8EC81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130.40 ± 1.20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4BD5D44C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E53BB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132.00 ± 1.20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231F0AE5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1C47C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0.362</w:t>
            </w:r>
          </w:p>
        </w:tc>
      </w:tr>
      <w:tr w:rsidR="00F81E9D" w:rsidRPr="00B86BBA" w14:paraId="03785096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A489E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96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Diastolic blood pressure (mmHg)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0C5B8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79.60 ± 0.60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189DE209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543F7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79.60 ± 0.90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0B3D5820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A8962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79.60 ± 0.80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51255290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D2F9D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0.883</w:t>
            </w:r>
          </w:p>
        </w:tc>
      </w:tr>
      <w:tr w:rsidR="00F81E9D" w:rsidRPr="00B86BBA" w14:paraId="7CFDCF8E" w14:textId="77777777" w:rsidTr="00171F62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846F6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288" w:hanging="213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Biochemical outcomes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87153E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 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7246EF78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5DC9DA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 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77158263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381A23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 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764F6217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</w:tcPr>
          <w:p w14:paraId="5E730118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</w:tr>
      <w:tr w:rsidR="00F81E9D" w:rsidRPr="00B86BBA" w14:paraId="5FB31592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0729F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96" w:hanging="21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Insulin (</w:t>
            </w:r>
            <w:proofErr w:type="spellStart"/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μIU</w:t>
            </w:r>
            <w:proofErr w:type="spellEnd"/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/mL)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A174E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15.81 ± 0.90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582CC122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A1F3A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14.64 ± 0.91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618CD7CC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FA43E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16.97 ± 1.54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6B8CD761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FA3FE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0.185</w:t>
            </w:r>
          </w:p>
        </w:tc>
      </w:tr>
      <w:tr w:rsidR="00F81E9D" w:rsidRPr="00B86BBA" w14:paraId="641976C6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F7B1F" w14:textId="2555192A" w:rsidR="00F81E9D" w:rsidRPr="00B86BBA" w:rsidRDefault="00F81E9D" w:rsidP="00F81E9D">
            <w:pPr>
              <w:adjustRightInd w:val="0"/>
              <w:snapToGrid w:val="0"/>
              <w:spacing w:after="0"/>
              <w:ind w:left="96" w:hanging="21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 xml:space="preserve">HOMA-β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3427C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109.00 ± 17.71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518A4A04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6536B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93.56 ± 10.76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41FB1327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A8C7E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123.92 ± 33.24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0D8CA900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C15B4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0.424</w:t>
            </w:r>
          </w:p>
        </w:tc>
      </w:tr>
      <w:tr w:rsidR="00F81E9D" w:rsidRPr="00B86BBA" w14:paraId="3C8945B9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88B5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96" w:hanging="21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HOMA-IR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F6E7B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5.31 ± 0.31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2E3E3FA6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C8A6A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4.90 ± 0.35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52F6C672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7D742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5.73 ± 0.50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7379E2A1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82AA8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0.163</w:t>
            </w:r>
          </w:p>
        </w:tc>
      </w:tr>
      <w:tr w:rsidR="00F81E9D" w:rsidRPr="00B86BBA" w14:paraId="49459CBE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4AA1D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96" w:hanging="21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 xml:space="preserve">Total cholesterol (mmol/L)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F078E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4.31 ± 0.06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3F11B784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A1022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4.24 ± 0.08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6E099F46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01FBE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4.38 ± 0.08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0B3E714D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D5011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0.263</w:t>
            </w:r>
          </w:p>
        </w:tc>
      </w:tr>
      <w:tr w:rsidR="00F81E9D" w:rsidRPr="00B86BBA" w14:paraId="32AD0530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B0A68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288" w:hanging="213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 xml:space="preserve">Triglycerides (mmol/L)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AE20A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1.75 ± 0.07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09EE848F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01D38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1.64 ± 0.09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684DBAD1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4DD17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1.85 ± 0.10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1AA263D2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C260F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0.123</w:t>
            </w:r>
          </w:p>
        </w:tc>
      </w:tr>
      <w:tr w:rsidR="00F81E9D" w:rsidRPr="00B86BBA" w14:paraId="5B20E57F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CBFF4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288" w:hanging="213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 xml:space="preserve">HDL cholesterol (mmol/L)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CD25A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1.20 ± 0.02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262E90F3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B9457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1.23 ± 0.03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16F6B42F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B3C1B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1.16 ± 0.02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59ED80CB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2D34D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0.053</w:t>
            </w:r>
          </w:p>
        </w:tc>
      </w:tr>
      <w:tr w:rsidR="00F81E9D" w:rsidRPr="00B86BBA" w14:paraId="6D08577B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11FA4" w14:textId="77777777" w:rsidR="00F81E9D" w:rsidRPr="00B86BBA" w:rsidRDefault="00F81E9D" w:rsidP="00F81E9D">
            <w:pPr>
              <w:adjustRightInd w:val="0"/>
              <w:snapToGrid w:val="0"/>
              <w:spacing w:after="0"/>
              <w:ind w:left="93" w:hanging="18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 xml:space="preserve">LDL cholesterol (mmol/L) </w:t>
            </w:r>
          </w:p>
        </w:tc>
        <w:tc>
          <w:tcPr>
            <w:tcW w:w="16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79CA2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2.33 ± 0.05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2D40ECB0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4DCC0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2.27 ± 0.07</w:t>
            </w:r>
          </w:p>
        </w:tc>
        <w:tc>
          <w:tcPr>
            <w:tcW w:w="110" w:type="dxa"/>
            <w:tcBorders>
              <w:top w:val="nil"/>
              <w:left w:val="nil"/>
              <w:bottom w:val="nil"/>
              <w:right w:val="nil"/>
            </w:tcBorders>
          </w:tcPr>
          <w:p w14:paraId="51559029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849A3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2.40 ± 0.08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397DDCC3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8B09EB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0.215</w:t>
            </w:r>
          </w:p>
        </w:tc>
      </w:tr>
      <w:tr w:rsidR="00F81E9D" w:rsidRPr="00B86BBA" w14:paraId="68EF7E33" w14:textId="77777777" w:rsidTr="00171F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110516" w14:textId="154705FE" w:rsidR="00F81E9D" w:rsidRPr="00B86BBA" w:rsidRDefault="00F81E9D" w:rsidP="00F81E9D">
            <w:pPr>
              <w:adjustRightInd w:val="0"/>
              <w:snapToGrid w:val="0"/>
              <w:spacing w:after="0"/>
              <w:ind w:left="85" w:hanging="10"/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 xml:space="preserve">Total </w:t>
            </w:r>
            <w:proofErr w:type="spellStart"/>
            <w:proofErr w:type="gramStart"/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cholesterol</w:t>
            </w:r>
            <w:r w:rsidR="00907961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:</w:t>
            </w: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>HDL</w:t>
            </w:r>
            <w:proofErr w:type="spellEnd"/>
            <w:proofErr w:type="gramEnd"/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 xml:space="preserve"> </w:t>
            </w:r>
            <w:r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 xml:space="preserve">cholesterol </w:t>
            </w:r>
            <w:r w:rsidRPr="00B86BBA">
              <w:rPr>
                <w:rFonts w:eastAsia="Times New Roman" w:cs="Times New Roman"/>
                <w:b w:val="0"/>
                <w:bCs w:val="0"/>
                <w:color w:val="000000"/>
                <w:szCs w:val="24"/>
                <w:lang w:eastAsia="de-DE" w:bidi="en-US"/>
              </w:rPr>
              <w:t xml:space="preserve">ratio 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FD237D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3.78 ± 0.08</w:t>
            </w:r>
          </w:p>
        </w:tc>
        <w:tc>
          <w:tcPr>
            <w:tcW w:w="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474E0C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8A01D1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3.65 ± 0.12</w:t>
            </w:r>
          </w:p>
        </w:tc>
        <w:tc>
          <w:tcPr>
            <w:tcW w:w="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74987F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0B3DB8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3.92 ± 0.10</w:t>
            </w:r>
          </w:p>
        </w:tc>
        <w:tc>
          <w:tcPr>
            <w:tcW w:w="1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4B7FCD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72D202" w14:textId="77777777" w:rsidR="00F81E9D" w:rsidRPr="00B86BBA" w:rsidRDefault="00F81E9D" w:rsidP="00F81E9D">
            <w:pPr>
              <w:adjustRightInd w:val="0"/>
              <w:snapToGrid w:val="0"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4"/>
                <w:lang w:eastAsia="de-DE" w:bidi="en-US"/>
              </w:rPr>
            </w:pPr>
            <w:r w:rsidRPr="00B86BBA">
              <w:rPr>
                <w:rFonts w:eastAsia="Times New Roman" w:cs="Times New Roman"/>
                <w:color w:val="000000"/>
                <w:szCs w:val="24"/>
                <w:lang w:eastAsia="de-DE" w:bidi="en-US"/>
              </w:rPr>
              <w:t>0.088</w:t>
            </w:r>
          </w:p>
        </w:tc>
      </w:tr>
    </w:tbl>
    <w:p w14:paraId="46C964E3" w14:textId="60BD9EB7" w:rsidR="00B86BBA" w:rsidRPr="00B86BBA" w:rsidRDefault="00B86BBA" w:rsidP="00171F62">
      <w:pPr>
        <w:ind w:left="360"/>
        <w:rPr>
          <w:rFonts w:eastAsia="Times New Roman" w:cs="Times New Roman"/>
          <w:color w:val="000000"/>
          <w:szCs w:val="24"/>
          <w:lang w:eastAsia="de-DE" w:bidi="en-US"/>
        </w:rPr>
      </w:pPr>
      <w:r w:rsidRPr="00B86BBA">
        <w:rPr>
          <w:rFonts w:eastAsia="Times New Roman" w:cs="Times New Roman"/>
          <w:color w:val="000000"/>
          <w:szCs w:val="24"/>
          <w:lang w:eastAsia="de-DE" w:bidi="en-US"/>
        </w:rPr>
        <w:t xml:space="preserve">Mean values ± SEM are reported. For some variables, sample sizes are smaller than the overall stated sample sizes. </w:t>
      </w:r>
      <w:r w:rsidR="000D2E9F">
        <w:rPr>
          <w:rFonts w:eastAsia="Times New Roman" w:cs="Times New Roman"/>
          <w:color w:val="000000"/>
          <w:szCs w:val="24"/>
          <w:lang w:eastAsia="de-DE" w:bidi="en-US"/>
        </w:rPr>
        <w:t xml:space="preserve">DSF, diabetes-specific formula; </w:t>
      </w:r>
      <w:r w:rsidRPr="00B86BBA">
        <w:rPr>
          <w:rFonts w:eastAsia="Times New Roman" w:cs="Times New Roman"/>
          <w:color w:val="000000"/>
          <w:szCs w:val="24"/>
          <w:lang w:eastAsia="de-DE" w:bidi="en-US"/>
        </w:rPr>
        <w:t>HDL, high-density lipoprotein; HOMA-β, homeostasis model assessment of beta-cell function; HOMA-IR, homeostasis model assessment of insulin resistance; LDL, low-density lipoprotein.</w:t>
      </w:r>
    </w:p>
    <w:p w14:paraId="4916FCC9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11EC8DA1" w14:textId="297EB524" w:rsidR="00994A3D" w:rsidRPr="001549D3" w:rsidRDefault="00392EBA" w:rsidP="00994A3D">
      <w:pPr>
        <w:keepNext/>
        <w:jc w:val="center"/>
        <w:rPr>
          <w:rFonts w:cs="Times New Roman"/>
          <w:szCs w:val="24"/>
        </w:rPr>
      </w:pPr>
      <w:r w:rsidRPr="00E12D04">
        <w:rPr>
          <w:noProof/>
        </w:rPr>
        <w:drawing>
          <wp:inline distT="0" distB="0" distL="0" distR="0" wp14:anchorId="7CF7E64A" wp14:editId="4D4A9846">
            <wp:extent cx="5943600" cy="3452495"/>
            <wp:effectExtent l="0" t="0" r="0" b="1460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7821D1DD-F138-4254-9E27-A2662C7BDA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B020E77" w14:textId="272FF2EC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DA7F5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E90FC8" w:rsidRPr="00E90FC8">
        <w:rPr>
          <w:rFonts w:cs="Times New Roman"/>
          <w:szCs w:val="24"/>
        </w:rPr>
        <w:t>Change in HbA1c (%) from day 0 by treatment group and number of DSF servings</w:t>
      </w:r>
    </w:p>
    <w:p w14:paraId="5523684E" w14:textId="498E6649" w:rsidR="00C7132B" w:rsidRDefault="00F81E9D" w:rsidP="00C7132B">
      <w:pPr>
        <w:pStyle w:val="MDPI51figurecaption"/>
        <w:ind w:left="0"/>
        <w:rPr>
          <w:rFonts w:ascii="Times New Roman" w:hAnsi="Times New Roman"/>
          <w:sz w:val="24"/>
          <w:szCs w:val="24"/>
        </w:rPr>
      </w:pPr>
      <w:r w:rsidRPr="00F81E9D">
        <w:rPr>
          <w:rFonts w:ascii="Times New Roman" w:hAnsi="Times New Roman"/>
          <w:sz w:val="24"/>
          <w:szCs w:val="24"/>
        </w:rPr>
        <w:t xml:space="preserve">Analysis of covariance (ANCOVA), adjusting for treatment group, site, and baseline value for </w:t>
      </w:r>
      <w:r w:rsidR="005E73B0">
        <w:rPr>
          <w:rFonts w:ascii="Times New Roman" w:hAnsi="Times New Roman"/>
          <w:sz w:val="24"/>
          <w:szCs w:val="24"/>
        </w:rPr>
        <w:t>HbA1c</w:t>
      </w:r>
      <w:r w:rsidRPr="00F81E9D">
        <w:rPr>
          <w:rFonts w:ascii="Times New Roman" w:hAnsi="Times New Roman"/>
          <w:sz w:val="24"/>
          <w:szCs w:val="24"/>
        </w:rPr>
        <w:t xml:space="preserve">. Stepdown Bonferroni (Holm) </w:t>
      </w:r>
      <w:r w:rsidRPr="00F81E9D">
        <w:rPr>
          <w:rFonts w:ascii="Times New Roman" w:hAnsi="Times New Roman"/>
          <w:i/>
          <w:iCs/>
          <w:sz w:val="24"/>
          <w:szCs w:val="24"/>
        </w:rPr>
        <w:t>P</w:t>
      </w:r>
      <w:r w:rsidRPr="00F81E9D">
        <w:rPr>
          <w:rFonts w:ascii="Times New Roman" w:hAnsi="Times New Roman"/>
          <w:sz w:val="24"/>
          <w:szCs w:val="24"/>
        </w:rPr>
        <w:t xml:space="preserve"> value adjustments were made to account for multiple comparison</w:t>
      </w:r>
      <w:r w:rsidR="00FE250E">
        <w:rPr>
          <w:rFonts w:ascii="Times New Roman" w:hAnsi="Times New Roman"/>
          <w:sz w:val="24"/>
          <w:szCs w:val="24"/>
        </w:rPr>
        <w:t>s</w:t>
      </w:r>
      <w:r w:rsidRPr="00F81E9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C7132B" w:rsidRPr="00D955CA">
        <w:rPr>
          <w:rFonts w:ascii="Times New Roman" w:hAnsi="Times New Roman"/>
          <w:sz w:val="24"/>
          <w:szCs w:val="24"/>
        </w:rPr>
        <w:t>DSF, diabetes-specific formula; HbA1c, glycated hemoglobin.</w:t>
      </w:r>
    </w:p>
    <w:p w14:paraId="1DF9C76E" w14:textId="77777777" w:rsidR="0000136D" w:rsidRDefault="0000136D" w:rsidP="00C7132B">
      <w:pPr>
        <w:pStyle w:val="MDPI51figurecaption"/>
        <w:ind w:left="0"/>
        <w:rPr>
          <w:rFonts w:ascii="Times New Roman" w:hAnsi="Times New Roman"/>
          <w:sz w:val="24"/>
          <w:szCs w:val="24"/>
        </w:rPr>
      </w:pPr>
    </w:p>
    <w:p w14:paraId="27027F45" w14:textId="77777777" w:rsidR="00F81E9D" w:rsidRDefault="00F81E9D" w:rsidP="00F81E9D">
      <w:pPr>
        <w:pStyle w:val="MDPI51figurecaption"/>
        <w:ind w:left="0"/>
        <w:jc w:val="center"/>
        <w:rPr>
          <w:rFonts w:ascii="Times New Roman" w:hAnsi="Times New Roman"/>
          <w:sz w:val="24"/>
          <w:szCs w:val="24"/>
        </w:rPr>
      </w:pPr>
      <w:r w:rsidRPr="0055159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BA311E8" wp14:editId="59F2B3BE">
            <wp:extent cx="5943600" cy="3456432"/>
            <wp:effectExtent l="0" t="0" r="0" b="10795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B6293DE5-BE96-4271-BAAA-BEFDE8936D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5D947C5" w14:textId="64B62571" w:rsidR="00F81E9D" w:rsidRDefault="00F81E9D" w:rsidP="00F81E9D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E90FC8">
        <w:rPr>
          <w:rFonts w:cs="Times New Roman"/>
          <w:szCs w:val="24"/>
        </w:rPr>
        <w:t xml:space="preserve">Change in </w:t>
      </w:r>
      <w:r w:rsidR="00D23ABC">
        <w:rPr>
          <w:rFonts w:cs="Times New Roman"/>
          <w:szCs w:val="24"/>
        </w:rPr>
        <w:t>v</w:t>
      </w:r>
      <w:r>
        <w:rPr>
          <w:rFonts w:cs="Times New Roman"/>
          <w:szCs w:val="24"/>
        </w:rPr>
        <w:t xml:space="preserve">isceral </w:t>
      </w:r>
      <w:r w:rsidR="00D23ABC">
        <w:rPr>
          <w:rFonts w:cs="Times New Roman"/>
          <w:szCs w:val="24"/>
        </w:rPr>
        <w:t>a</w:t>
      </w:r>
      <w:r>
        <w:rPr>
          <w:rFonts w:cs="Times New Roman"/>
          <w:szCs w:val="24"/>
        </w:rPr>
        <w:t xml:space="preserve">dipose </w:t>
      </w:r>
      <w:r w:rsidR="00D23ABC">
        <w:rPr>
          <w:rFonts w:cs="Times New Roman"/>
          <w:szCs w:val="24"/>
        </w:rPr>
        <w:t>t</w:t>
      </w:r>
      <w:r>
        <w:rPr>
          <w:rFonts w:cs="Times New Roman"/>
          <w:szCs w:val="24"/>
        </w:rPr>
        <w:t>issue</w:t>
      </w:r>
      <w:r w:rsidRPr="00E90FC8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L</w:t>
      </w:r>
      <w:r w:rsidRPr="00E90FC8">
        <w:rPr>
          <w:rFonts w:cs="Times New Roman"/>
          <w:szCs w:val="24"/>
        </w:rPr>
        <w:t>) from day 0 by treatment group and number of DSF servings</w:t>
      </w:r>
    </w:p>
    <w:p w14:paraId="517E7315" w14:textId="5C0553AB" w:rsidR="00F81E9D" w:rsidRDefault="00F81E9D" w:rsidP="00F81E9D">
      <w:pPr>
        <w:pStyle w:val="MDPI51figurecaption"/>
        <w:ind w:left="0"/>
        <w:rPr>
          <w:rFonts w:ascii="Times New Roman" w:hAnsi="Times New Roman"/>
          <w:sz w:val="24"/>
          <w:szCs w:val="24"/>
        </w:rPr>
      </w:pPr>
      <w:r w:rsidRPr="00F81E9D">
        <w:rPr>
          <w:rFonts w:ascii="Times New Roman" w:hAnsi="Times New Roman"/>
          <w:sz w:val="24"/>
          <w:szCs w:val="24"/>
        </w:rPr>
        <w:t>Analysis of covariance (ANCOVA), adjusting for treatment group, site, randomization strat</w:t>
      </w:r>
      <w:r w:rsidR="002E29EB">
        <w:rPr>
          <w:rFonts w:ascii="Times New Roman" w:hAnsi="Times New Roman"/>
          <w:sz w:val="24"/>
          <w:szCs w:val="24"/>
        </w:rPr>
        <w:t>um</w:t>
      </w:r>
      <w:r w:rsidRPr="00F81E9D">
        <w:rPr>
          <w:rFonts w:ascii="Times New Roman" w:hAnsi="Times New Roman"/>
          <w:sz w:val="24"/>
          <w:szCs w:val="24"/>
        </w:rPr>
        <w:t xml:space="preserve"> HbA1c level, and baseline value for </w:t>
      </w:r>
      <w:r w:rsidR="005E73B0">
        <w:rPr>
          <w:rFonts w:ascii="Times New Roman" w:hAnsi="Times New Roman"/>
          <w:sz w:val="24"/>
          <w:szCs w:val="24"/>
        </w:rPr>
        <w:t>visceral adipose tissue (L)</w:t>
      </w:r>
      <w:r w:rsidRPr="00F81E9D">
        <w:rPr>
          <w:rFonts w:ascii="Times New Roman" w:hAnsi="Times New Roman"/>
          <w:sz w:val="24"/>
          <w:szCs w:val="24"/>
        </w:rPr>
        <w:t xml:space="preserve">. Stepdown Bonferroni (Holm) </w:t>
      </w:r>
      <w:r w:rsidRPr="00F81E9D">
        <w:rPr>
          <w:rFonts w:ascii="Times New Roman" w:hAnsi="Times New Roman"/>
          <w:i/>
          <w:iCs/>
          <w:sz w:val="24"/>
          <w:szCs w:val="24"/>
        </w:rPr>
        <w:t>P</w:t>
      </w:r>
      <w:r w:rsidRPr="00F81E9D">
        <w:rPr>
          <w:rFonts w:ascii="Times New Roman" w:hAnsi="Times New Roman"/>
          <w:sz w:val="24"/>
          <w:szCs w:val="24"/>
        </w:rPr>
        <w:t xml:space="preserve"> value adjustments were made to account for multiple comparison</w:t>
      </w:r>
      <w:r w:rsidR="00FE250E">
        <w:rPr>
          <w:rFonts w:ascii="Times New Roman" w:hAnsi="Times New Roman"/>
          <w:sz w:val="24"/>
          <w:szCs w:val="24"/>
        </w:rPr>
        <w:t>s</w:t>
      </w:r>
      <w:r w:rsidRPr="00F81E9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955CA">
        <w:rPr>
          <w:rFonts w:ascii="Times New Roman" w:hAnsi="Times New Roman"/>
          <w:sz w:val="24"/>
          <w:szCs w:val="24"/>
        </w:rPr>
        <w:t>DSF, diabetes-specific formula; HbA1c, glycated hemoglobin.</w:t>
      </w:r>
    </w:p>
    <w:p w14:paraId="7CB3AA72" w14:textId="376FCCD8" w:rsidR="00F81E9D" w:rsidRDefault="00F81E9D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0AC4422" w14:textId="183425A2" w:rsidR="00F81E9D" w:rsidRDefault="00F81E9D" w:rsidP="00F81E9D">
      <w:pPr>
        <w:pStyle w:val="MDPI51figurecaption"/>
        <w:ind w:left="0"/>
        <w:jc w:val="left"/>
        <w:rPr>
          <w:rFonts w:ascii="Times New Roman" w:eastAsiaTheme="minorHAnsi" w:hAnsi="Times New Roman"/>
          <w:bCs/>
          <w:color w:val="auto"/>
          <w:sz w:val="24"/>
          <w:szCs w:val="24"/>
          <w:lang w:eastAsia="en-US" w:bidi="ar-SA"/>
        </w:rPr>
      </w:pPr>
      <w:r w:rsidRPr="0055159A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BBEAD03" wp14:editId="4D000BB4">
            <wp:extent cx="5943600" cy="3456432"/>
            <wp:effectExtent l="0" t="0" r="0" b="10795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B6293DE5-BE96-4271-BAAA-BEFDE8936D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2A511D">
        <w:rPr>
          <w:rFonts w:ascii="Times New Roman" w:eastAsiaTheme="minorHAnsi" w:hAnsi="Times New Roman"/>
          <w:b/>
          <w:color w:val="auto"/>
          <w:sz w:val="24"/>
          <w:szCs w:val="24"/>
          <w:lang w:eastAsia="en-US" w:bidi="ar-SA"/>
        </w:rPr>
        <w:t xml:space="preserve">Supplementary Figure </w:t>
      </w:r>
      <w:r>
        <w:rPr>
          <w:rFonts w:ascii="Times New Roman" w:eastAsiaTheme="minorHAnsi" w:hAnsi="Times New Roman"/>
          <w:b/>
          <w:color w:val="auto"/>
          <w:sz w:val="24"/>
          <w:szCs w:val="24"/>
          <w:lang w:eastAsia="en-US" w:bidi="ar-SA"/>
        </w:rPr>
        <w:t>3</w:t>
      </w:r>
      <w:r w:rsidRPr="002A511D">
        <w:rPr>
          <w:rFonts w:ascii="Times New Roman" w:eastAsiaTheme="minorHAnsi" w:hAnsi="Times New Roman"/>
          <w:b/>
          <w:color w:val="auto"/>
          <w:sz w:val="24"/>
          <w:szCs w:val="24"/>
          <w:lang w:eastAsia="en-US" w:bidi="ar-SA"/>
        </w:rPr>
        <w:t xml:space="preserve">. </w:t>
      </w:r>
      <w:r w:rsidRPr="002A511D">
        <w:rPr>
          <w:rFonts w:ascii="Times New Roman" w:eastAsiaTheme="minorHAnsi" w:hAnsi="Times New Roman"/>
          <w:bCs/>
          <w:color w:val="auto"/>
          <w:sz w:val="24"/>
          <w:szCs w:val="24"/>
          <w:lang w:eastAsia="en-US" w:bidi="ar-SA"/>
        </w:rPr>
        <w:t xml:space="preserve">Change in </w:t>
      </w:r>
      <w:r w:rsidR="00D23ABC">
        <w:rPr>
          <w:rFonts w:ascii="Times New Roman" w:eastAsiaTheme="minorHAnsi" w:hAnsi="Times New Roman"/>
          <w:bCs/>
          <w:color w:val="auto"/>
          <w:sz w:val="24"/>
          <w:szCs w:val="24"/>
          <w:lang w:eastAsia="en-US" w:bidi="ar-SA"/>
        </w:rPr>
        <w:t>v</w:t>
      </w:r>
      <w:r w:rsidRPr="002A511D">
        <w:rPr>
          <w:rFonts w:ascii="Times New Roman" w:eastAsiaTheme="minorHAnsi" w:hAnsi="Times New Roman"/>
          <w:bCs/>
          <w:color w:val="auto"/>
          <w:sz w:val="24"/>
          <w:szCs w:val="24"/>
          <w:lang w:eastAsia="en-US" w:bidi="ar-SA"/>
        </w:rPr>
        <w:t xml:space="preserve">isceral </w:t>
      </w:r>
      <w:r w:rsidR="00D23ABC">
        <w:rPr>
          <w:rFonts w:ascii="Times New Roman" w:eastAsiaTheme="minorHAnsi" w:hAnsi="Times New Roman"/>
          <w:bCs/>
          <w:color w:val="auto"/>
          <w:sz w:val="24"/>
          <w:szCs w:val="24"/>
          <w:lang w:eastAsia="en-US" w:bidi="ar-SA"/>
        </w:rPr>
        <w:t>a</w:t>
      </w:r>
      <w:r w:rsidRPr="002A511D">
        <w:rPr>
          <w:rFonts w:ascii="Times New Roman" w:eastAsiaTheme="minorHAnsi" w:hAnsi="Times New Roman"/>
          <w:bCs/>
          <w:color w:val="auto"/>
          <w:sz w:val="24"/>
          <w:szCs w:val="24"/>
          <w:lang w:eastAsia="en-US" w:bidi="ar-SA"/>
        </w:rPr>
        <w:t xml:space="preserve">dipose </w:t>
      </w:r>
      <w:r w:rsidR="00D23ABC">
        <w:rPr>
          <w:rFonts w:ascii="Times New Roman" w:eastAsiaTheme="minorHAnsi" w:hAnsi="Times New Roman"/>
          <w:bCs/>
          <w:color w:val="auto"/>
          <w:sz w:val="24"/>
          <w:szCs w:val="24"/>
          <w:lang w:eastAsia="en-US" w:bidi="ar-SA"/>
        </w:rPr>
        <w:t>t</w:t>
      </w:r>
      <w:r w:rsidRPr="002A511D">
        <w:rPr>
          <w:rFonts w:ascii="Times New Roman" w:eastAsiaTheme="minorHAnsi" w:hAnsi="Times New Roman"/>
          <w:bCs/>
          <w:color w:val="auto"/>
          <w:sz w:val="24"/>
          <w:szCs w:val="24"/>
          <w:lang w:eastAsia="en-US" w:bidi="ar-SA"/>
        </w:rPr>
        <w:t>issue (%) from day 0 by treatment group and number of DSF servings</w:t>
      </w:r>
    </w:p>
    <w:p w14:paraId="65D23403" w14:textId="53679C2A" w:rsidR="00F81E9D" w:rsidRDefault="005E73B0" w:rsidP="00F81E9D">
      <w:pPr>
        <w:pStyle w:val="MDPI51figurecaption"/>
        <w:ind w:left="0"/>
        <w:rPr>
          <w:rFonts w:ascii="Times New Roman" w:hAnsi="Times New Roman"/>
          <w:sz w:val="24"/>
          <w:szCs w:val="24"/>
        </w:rPr>
      </w:pPr>
      <w:r w:rsidRPr="00F81E9D">
        <w:rPr>
          <w:rFonts w:ascii="Times New Roman" w:hAnsi="Times New Roman"/>
          <w:sz w:val="24"/>
          <w:szCs w:val="24"/>
        </w:rPr>
        <w:t>Analysis of covariance (ANCOVA), adjusting for treatment group, site, randomization strat</w:t>
      </w:r>
      <w:r w:rsidR="002E29EB">
        <w:rPr>
          <w:rFonts w:ascii="Times New Roman" w:hAnsi="Times New Roman"/>
          <w:sz w:val="24"/>
          <w:szCs w:val="24"/>
        </w:rPr>
        <w:t>um</w:t>
      </w:r>
      <w:r w:rsidRPr="00F81E9D">
        <w:rPr>
          <w:rFonts w:ascii="Times New Roman" w:hAnsi="Times New Roman"/>
          <w:sz w:val="24"/>
          <w:szCs w:val="24"/>
        </w:rPr>
        <w:t xml:space="preserve"> HbA1c level, and baseline value for </w:t>
      </w:r>
      <w:r>
        <w:rPr>
          <w:rFonts w:ascii="Times New Roman" w:hAnsi="Times New Roman"/>
          <w:sz w:val="24"/>
          <w:szCs w:val="24"/>
        </w:rPr>
        <w:t>visceral adipose tissue (%)</w:t>
      </w:r>
      <w:r w:rsidRPr="00F81E9D">
        <w:rPr>
          <w:rFonts w:ascii="Times New Roman" w:hAnsi="Times New Roman"/>
          <w:sz w:val="24"/>
          <w:szCs w:val="24"/>
        </w:rPr>
        <w:t xml:space="preserve">. </w:t>
      </w:r>
      <w:r w:rsidR="00F81E9D" w:rsidRPr="00F81E9D">
        <w:rPr>
          <w:rFonts w:ascii="Times New Roman" w:hAnsi="Times New Roman"/>
          <w:sz w:val="24"/>
          <w:szCs w:val="24"/>
        </w:rPr>
        <w:t xml:space="preserve">Stepdown Bonferroni (Holm) </w:t>
      </w:r>
      <w:r w:rsidR="00F81E9D" w:rsidRPr="00F81E9D">
        <w:rPr>
          <w:rFonts w:ascii="Times New Roman" w:hAnsi="Times New Roman"/>
          <w:i/>
          <w:iCs/>
          <w:sz w:val="24"/>
          <w:szCs w:val="24"/>
        </w:rPr>
        <w:t>P</w:t>
      </w:r>
      <w:r w:rsidR="00F81E9D" w:rsidRPr="00F81E9D">
        <w:rPr>
          <w:rFonts w:ascii="Times New Roman" w:hAnsi="Times New Roman"/>
          <w:sz w:val="24"/>
          <w:szCs w:val="24"/>
        </w:rPr>
        <w:t xml:space="preserve"> value adjustments were made to account for multiple comparison</w:t>
      </w:r>
      <w:r w:rsidR="00FE250E">
        <w:rPr>
          <w:rFonts w:ascii="Times New Roman" w:hAnsi="Times New Roman"/>
          <w:sz w:val="24"/>
          <w:szCs w:val="24"/>
        </w:rPr>
        <w:t>s</w:t>
      </w:r>
      <w:r w:rsidR="00F81E9D" w:rsidRPr="00F81E9D">
        <w:rPr>
          <w:rFonts w:ascii="Times New Roman" w:hAnsi="Times New Roman"/>
          <w:sz w:val="24"/>
          <w:szCs w:val="24"/>
        </w:rPr>
        <w:t>.</w:t>
      </w:r>
      <w:r w:rsidR="00F81E9D">
        <w:rPr>
          <w:rFonts w:ascii="Times New Roman" w:hAnsi="Times New Roman"/>
          <w:sz w:val="24"/>
          <w:szCs w:val="24"/>
        </w:rPr>
        <w:t xml:space="preserve"> </w:t>
      </w:r>
      <w:r w:rsidR="00F81E9D" w:rsidRPr="00D955CA">
        <w:rPr>
          <w:rFonts w:ascii="Times New Roman" w:hAnsi="Times New Roman"/>
          <w:sz w:val="24"/>
          <w:szCs w:val="24"/>
        </w:rPr>
        <w:t>DSF, diabetes-specific formula; HbA1c, glycated hemoglobin.</w:t>
      </w:r>
    </w:p>
    <w:p w14:paraId="7AE51C2E" w14:textId="77777777" w:rsidR="00F81E9D" w:rsidRPr="002A511D" w:rsidRDefault="00F81E9D" w:rsidP="00F81E9D">
      <w:pPr>
        <w:pStyle w:val="MDPI51figurecaption"/>
        <w:ind w:left="0"/>
        <w:jc w:val="left"/>
        <w:rPr>
          <w:rFonts w:ascii="Times New Roman" w:eastAsiaTheme="minorHAnsi" w:hAnsi="Times New Roman"/>
          <w:b/>
          <w:color w:val="auto"/>
          <w:sz w:val="24"/>
          <w:szCs w:val="24"/>
          <w:lang w:eastAsia="en-US" w:bidi="ar-SA"/>
        </w:rPr>
      </w:pPr>
    </w:p>
    <w:p w14:paraId="5712403A" w14:textId="77777777" w:rsidR="00F81E9D" w:rsidRPr="002A511D" w:rsidRDefault="00F81E9D" w:rsidP="00F81E9D">
      <w:pPr>
        <w:keepNext/>
        <w:rPr>
          <w:rFonts w:cs="Times New Roman"/>
          <w:szCs w:val="24"/>
        </w:rPr>
      </w:pPr>
    </w:p>
    <w:p w14:paraId="33CB2B96" w14:textId="77777777" w:rsidR="0000136D" w:rsidRPr="00D955CA" w:rsidRDefault="0000136D" w:rsidP="00C7132B">
      <w:pPr>
        <w:pStyle w:val="MDPI51figurecaption"/>
        <w:ind w:left="0"/>
        <w:rPr>
          <w:rFonts w:ascii="Times New Roman" w:hAnsi="Times New Roman"/>
          <w:sz w:val="24"/>
          <w:szCs w:val="24"/>
        </w:rPr>
      </w:pPr>
    </w:p>
    <w:p w14:paraId="10486EAD" w14:textId="09DE6831" w:rsidR="00116A10" w:rsidRDefault="00A43D5A" w:rsidP="003C51D0">
      <w:pPr>
        <w:keepNext/>
        <w:rPr>
          <w:rFonts w:cs="Times New Roman"/>
          <w:b/>
          <w:szCs w:val="24"/>
        </w:rPr>
      </w:pPr>
      <w:r w:rsidRPr="00A43D5A">
        <w:rPr>
          <w:rFonts w:cs="Times New Roman"/>
          <w:b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72DDDA" wp14:editId="78547AD6">
                <wp:simplePos x="0" y="0"/>
                <wp:positionH relativeFrom="column">
                  <wp:posOffset>4622</wp:posOffset>
                </wp:positionH>
                <wp:positionV relativeFrom="paragraph">
                  <wp:posOffset>177</wp:posOffset>
                </wp:positionV>
                <wp:extent cx="552893" cy="52099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93" cy="52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73CAA" w14:textId="32DB4711" w:rsidR="00A43D5A" w:rsidRPr="00A43D5A" w:rsidRDefault="00A43D5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43D5A">
                              <w:rPr>
                                <w:b/>
                                <w:bCs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72DD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5pt;margin-top:0;width:43.55pt;height:4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8Bd9wEAAMwDAAAOAAAAZHJzL2Uyb0RvYy54bWysU9uO2yAQfa/Uf0C8N3bcuI2tOKvtbreq&#10;tL1Iu/0AgnGMCgwFEjv9+g7Ym43at1X9gBgPnJlz5rC5GrUiR+G8BNPQ5SKnRBgOrTT7hv54vHuz&#10;psQHZlqmwIiGnoSnV9vXrzaDrUUBPahWOIIgxteDbWgfgq2zzPNeaOYXYIXBZAdOs4Ch22etYwOi&#10;a5UVef4uG8C11gEX3uPf2ylJtwm/6wQP37rOi0BUQ7G3kFaX1l1cs+2G1XvHbC/53AZ7QReaSYNF&#10;z1C3LDBycPIfKC25Aw9dWHDQGXSd5CJxQDbL/C82Dz2zInFBcbw9y+T/Hyz/enyw3x0J4wcYcYCJ&#10;hLf3wH96YuCmZ2Yvrp2DoResxcLLKFk2WF/PV6PUvvYRZDd8gRaHzA4BEtDYOR1VQZ4E0XEAp7Po&#10;YgyE48+yLNbVW0o4psoir6oyVWD102XrfPgkQJO4aajDmSZwdrz3ITbD6qcjsZaBO6lUmqsyZGho&#10;VRZlunCR0TKg7ZTUDV3n8ZuMEDl+NG26HJhU0x4LKDOTjjwnxmHcjXgwkt9Be0L6DiZ74XPATQ/u&#10;NyUDWquh/teBOUGJ+mxQwmq5WkUvpmBVvi8wcJeZ3WWGGY5QDQ2UTNubkPw7cb1GqTuZZHjuZO4V&#10;LZPUme0dPXkZp1PPj3D7BwAA//8DAFBLAwQUAAYACAAAACEAsWi1etkAAAADAQAADwAAAGRycy9k&#10;b3ducmV2LnhtbEyPzU7DMBCE70i8g7WVuNF1K6BtiFMhEFcqyo/Umxtvk4h4HcVuE96+y4meVqMZ&#10;zX6Tr0ffqhP1sQlsYDbVoIjL4BquDHx+vN4uQcVk2dk2MBn4pQjr4voqt5kLA7/TaZsqJSUcM2ug&#10;TqnLEGNZk7dxGjpi8Q6h9zaJ7Ct0vR2k3Lc41/oBvW1YPtS2o+eayp/t0Rv4ejvsvu/0pnrx990Q&#10;Ro3sV2jMzWR8egSVaEz/YfjDF3QohGkfjuyiag0sJGdA5oi3XMiKvdy5BixyvGQvzgAAAP//AwBQ&#10;SwECLQAUAAYACAAAACEAtoM4kv4AAADhAQAAEwAAAAAAAAAAAAAAAAAAAAAAW0NvbnRlbnRfVHlw&#10;ZXNdLnhtbFBLAQItABQABgAIAAAAIQA4/SH/1gAAAJQBAAALAAAAAAAAAAAAAAAAAC8BAABfcmVs&#10;cy8ucmVsc1BLAQItABQABgAIAAAAIQA2u8Bd9wEAAMwDAAAOAAAAAAAAAAAAAAAAAC4CAABkcnMv&#10;ZTJvRG9jLnhtbFBLAQItABQABgAIAAAAIQCxaLV62QAAAAMBAAAPAAAAAAAAAAAAAAAAAFEEAABk&#10;cnMvZG93bnJldi54bWxQSwUGAAAAAAQABADzAAAAVwUAAAAA&#10;" filled="f" stroked="f">
                <v:textbox>
                  <w:txbxContent>
                    <w:p w14:paraId="1CA73CAA" w14:textId="32DB4711" w:rsidR="00A43D5A" w:rsidRPr="00A43D5A" w:rsidRDefault="00A43D5A">
                      <w:pPr>
                        <w:rPr>
                          <w:b/>
                          <w:bCs/>
                        </w:rPr>
                      </w:pPr>
                      <w:r w:rsidRPr="00A43D5A">
                        <w:rPr>
                          <w:b/>
                          <w:bCs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116839" w:rsidRPr="00A60381">
        <w:rPr>
          <w:noProof/>
        </w:rPr>
        <w:drawing>
          <wp:inline distT="0" distB="0" distL="0" distR="0" wp14:anchorId="6AEF540D" wp14:editId="40F28CE4">
            <wp:extent cx="5793105" cy="3349256"/>
            <wp:effectExtent l="0" t="0" r="17145" b="381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5CA2F7E5-6957-4569-8327-4E40C00295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E32C30B" w14:textId="125AC341" w:rsidR="00D94077" w:rsidRDefault="00D94077" w:rsidP="003C51D0">
      <w:pPr>
        <w:keepNext/>
        <w:rPr>
          <w:rFonts w:cs="Times New Roman"/>
          <w:b/>
          <w:szCs w:val="24"/>
        </w:rPr>
      </w:pPr>
    </w:p>
    <w:p w14:paraId="4DDDCC30" w14:textId="59CAB449" w:rsidR="003C51D0" w:rsidRDefault="00D94077" w:rsidP="003C51D0">
      <w:pPr>
        <w:keepNext/>
        <w:rPr>
          <w:rFonts w:cs="Times New Roman"/>
          <w:bCs/>
          <w:szCs w:val="24"/>
        </w:rPr>
      </w:pPr>
      <w:r w:rsidRPr="00A43D5A">
        <w:rPr>
          <w:rFonts w:cs="Times New Roman"/>
          <w:b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56D97A" wp14:editId="0DB37DD5">
                <wp:simplePos x="0" y="0"/>
                <wp:positionH relativeFrom="column">
                  <wp:posOffset>28575</wp:posOffset>
                </wp:positionH>
                <wp:positionV relativeFrom="paragraph">
                  <wp:posOffset>8255</wp:posOffset>
                </wp:positionV>
                <wp:extent cx="552450" cy="5207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2494" w14:textId="65ECD444" w:rsidR="00A43D5A" w:rsidRPr="00A43D5A" w:rsidRDefault="00A43D5A" w:rsidP="00A43D5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43D5A">
                              <w:rPr>
                                <w:b/>
                                <w:bCs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  <w:r w:rsidRPr="00A43D5A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6D97A" id="_x0000_s1027" type="#_x0000_t202" style="position:absolute;margin-left:2.25pt;margin-top:.65pt;width:43.5pt;height: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+u+QEAANMDAAAOAAAAZHJzL2Uyb0RvYy54bWysU11v2yAUfZ+0/4B4X+xY8dpaIVXXrtOk&#10;7kPq9gMIxjEacBmQ2Nmv3wW7abS+VfMDunB9D/ece1hfj0aTg/RBgWV0uSgpkVZAq+yO0Z8/7t9d&#10;UhIity3XYCWjRxno9ebtm/XgGllBD7qVniCIDc3gGO1jdE1RBNFLw8MCnLSY7MAbHnHrd0Xr+YDo&#10;RhdVWb4vBvCt8yBkCHh6NyXpJuN3nRTxW9cFGYlmFHuLefV53aa12Kx5s/Pc9UrMbfBXdGG4snjp&#10;CeqOR072Xr2AMkp4CNDFhQBTQNcpITMHZLMs/2Hz2HMnMxcUJ7iTTOH/wYqvh0f33ZM4foARB5hJ&#10;BPcA4lcgFm57bnfyxnsYeslbvHiZJCsGF5q5NEkdmpBAtsMXaHHIfB8hA42dN0kV5EkQHQdwPIku&#10;x0gEHtZ1taoxIzBVV+VFmYdS8Oap2PkQP0kwJAWMepxpBueHhxBTM7x5+iXdZeFeaZ3nqi0ZGL2q&#10;qzoXnGWMimg7rQyjl2X6JiMkjh9tm4sjV3qK8QJtZ9KJ58Q4jtuRqHZWJGmwhfaIKniYXIavAoMe&#10;/B9KBnQYo+H3nntJif5sUcmr5WqVLJk3q/qiwo0/z2zPM9wKhGI0UjKFtzHbeKJ8g4p3Kqvx3Mnc&#10;MjonizS7PFnzfJ//en6Lm78AAAD//wMAUEsDBBQABgAIAAAAIQBUw59j2QAAAAUBAAAPAAAAZHJz&#10;L2Rvd25yZXYueG1sTI7LTsMwEEX3SPyDNUjsqF3SojbNpEIgtiDKQ+rOjadJRDyOYrcJf8+wguV9&#10;6N5TbCffqTMNsQ2MMJ8ZUMRVcC3XCO9vTzcrUDFZdrYLTAjfFGFbXl4UNndh5Fc671KtZIRjbhGa&#10;lPpc61g15G2chZ5YsmMYvE0ih1q7wY4y7jt9a8yd9rZleWhsTw8NVV+7k0f4eD7uPxfmpX70y34M&#10;k9Hs1xrx+mq634BKNKW/MvziCzqUwnQIJ3ZRdQiLpRTFzkBJup6LPCCssgx0Wej/9OUPAAAA//8D&#10;AFBLAQItABQABgAIAAAAIQC2gziS/gAAAOEBAAATAAAAAAAAAAAAAAAAAAAAAABbQ29udGVudF9U&#10;eXBlc10ueG1sUEsBAi0AFAAGAAgAAAAhADj9If/WAAAAlAEAAAsAAAAAAAAAAAAAAAAALwEAAF9y&#10;ZWxzLy5yZWxzUEsBAi0AFAAGAAgAAAAhAGWgz675AQAA0wMAAA4AAAAAAAAAAAAAAAAALgIAAGRy&#10;cy9lMm9Eb2MueG1sUEsBAi0AFAAGAAgAAAAhAFTDn2PZAAAABQEAAA8AAAAAAAAAAAAAAAAAUwQA&#10;AGRycy9kb3ducmV2LnhtbFBLBQYAAAAABAAEAPMAAABZBQAAAAA=&#10;" filled="f" stroked="f">
                <v:textbox>
                  <w:txbxContent>
                    <w:p w14:paraId="4B372494" w14:textId="65ECD444" w:rsidR="00A43D5A" w:rsidRPr="00A43D5A" w:rsidRDefault="00A43D5A" w:rsidP="00A43D5A">
                      <w:pPr>
                        <w:rPr>
                          <w:b/>
                          <w:bCs/>
                        </w:rPr>
                      </w:pPr>
                      <w:r w:rsidRPr="00A43D5A">
                        <w:rPr>
                          <w:b/>
                          <w:bCs/>
                        </w:rPr>
                        <w:t>(</w:t>
                      </w:r>
                      <w:r>
                        <w:rPr>
                          <w:b/>
                          <w:bCs/>
                        </w:rPr>
                        <w:t>B</w:t>
                      </w:r>
                      <w:r w:rsidRPr="00A43D5A">
                        <w:rPr>
                          <w:b/>
                          <w:b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6158D" w:rsidRPr="00A60381">
        <w:rPr>
          <w:noProof/>
        </w:rPr>
        <w:drawing>
          <wp:inline distT="0" distB="0" distL="0" distR="0" wp14:anchorId="57C05548" wp14:editId="089494E2">
            <wp:extent cx="5793475" cy="3442904"/>
            <wp:effectExtent l="0" t="0" r="17145" b="5715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CDE162A6-9940-48AC-AF75-BFE83DC382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F85A5B" w:rsidRPr="0001436A">
        <w:rPr>
          <w:rFonts w:cs="Times New Roman"/>
          <w:b/>
          <w:szCs w:val="24"/>
        </w:rPr>
        <w:t xml:space="preserve">Supplementary Figure </w:t>
      </w:r>
      <w:r w:rsidR="00D23ABC">
        <w:rPr>
          <w:rFonts w:cs="Times New Roman"/>
          <w:b/>
          <w:szCs w:val="24"/>
        </w:rPr>
        <w:t>4</w:t>
      </w:r>
      <w:r w:rsidR="003C51D0" w:rsidRPr="003C51D0">
        <w:rPr>
          <w:rFonts w:cs="Times New Roman"/>
          <w:b/>
          <w:szCs w:val="24"/>
        </w:rPr>
        <w:t xml:space="preserve">. </w:t>
      </w:r>
      <w:r w:rsidR="003C51D0" w:rsidRPr="003C51D0">
        <w:rPr>
          <w:rFonts w:cs="Times New Roman"/>
          <w:bCs/>
          <w:szCs w:val="24"/>
        </w:rPr>
        <w:t>Study compliance over 90 days in the DSF group (A) and percent of participants by compliance categories</w:t>
      </w:r>
      <w:r w:rsidR="00116A10">
        <w:rPr>
          <w:rFonts w:cs="Times New Roman"/>
          <w:b/>
          <w:szCs w:val="24"/>
        </w:rPr>
        <w:t xml:space="preserve"> </w:t>
      </w:r>
      <w:r w:rsidR="00116A10" w:rsidRPr="00116A10">
        <w:rPr>
          <w:rFonts w:cs="Times New Roman"/>
          <w:bCs/>
          <w:szCs w:val="24"/>
        </w:rPr>
        <w:t>(B)</w:t>
      </w:r>
    </w:p>
    <w:p w14:paraId="7BA869C9" w14:textId="485A1A29" w:rsidR="00F85A5B" w:rsidRPr="00D955CA" w:rsidRDefault="00A43D5A" w:rsidP="00A53B2E">
      <w:pPr>
        <w:rPr>
          <w:rFonts w:eastAsia="Times New Roman" w:cs="Times New Roman"/>
          <w:color w:val="000000"/>
          <w:szCs w:val="24"/>
          <w:lang w:eastAsia="de-DE" w:bidi="en-US"/>
        </w:rPr>
      </w:pPr>
      <w:r w:rsidRPr="00D955CA">
        <w:rPr>
          <w:rFonts w:eastAsia="Times New Roman" w:cs="Times New Roman"/>
          <w:color w:val="000000"/>
          <w:szCs w:val="24"/>
          <w:lang w:eastAsia="de-DE" w:bidi="en-US"/>
        </w:rPr>
        <w:t>DSF, diabetes-specific formula.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A7897" w14:textId="77777777" w:rsidR="007E13EC" w:rsidRDefault="007E13EC" w:rsidP="00117666">
      <w:pPr>
        <w:spacing w:after="0"/>
      </w:pPr>
      <w:r>
        <w:separator/>
      </w:r>
    </w:p>
  </w:endnote>
  <w:endnote w:type="continuationSeparator" w:id="0">
    <w:p w14:paraId="759F35F8" w14:textId="77777777" w:rsidR="007E13EC" w:rsidRDefault="007E13E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D23ABC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D23AB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D23AB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D23ABC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D23AB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D23AB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957AA" w14:textId="77777777" w:rsidR="007E13EC" w:rsidRDefault="007E13EC" w:rsidP="00117666">
      <w:pPr>
        <w:spacing w:after="0"/>
      </w:pPr>
      <w:r>
        <w:separator/>
      </w:r>
    </w:p>
  </w:footnote>
  <w:footnote w:type="continuationSeparator" w:id="0">
    <w:p w14:paraId="46EE3BAB" w14:textId="77777777" w:rsidR="007E13EC" w:rsidRDefault="007E13E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D23ABC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D23ABC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0136D"/>
    <w:rsid w:val="0001436A"/>
    <w:rsid w:val="00034304"/>
    <w:rsid w:val="00035434"/>
    <w:rsid w:val="00052A14"/>
    <w:rsid w:val="00077D53"/>
    <w:rsid w:val="000C7C00"/>
    <w:rsid w:val="000D2E9F"/>
    <w:rsid w:val="00105FD9"/>
    <w:rsid w:val="00116839"/>
    <w:rsid w:val="00116A10"/>
    <w:rsid w:val="00117666"/>
    <w:rsid w:val="001549D3"/>
    <w:rsid w:val="00160065"/>
    <w:rsid w:val="00165FF6"/>
    <w:rsid w:val="00171F62"/>
    <w:rsid w:val="00177D84"/>
    <w:rsid w:val="001B4C1D"/>
    <w:rsid w:val="002214A3"/>
    <w:rsid w:val="0026158D"/>
    <w:rsid w:val="00267D18"/>
    <w:rsid w:val="002868E2"/>
    <w:rsid w:val="002869C3"/>
    <w:rsid w:val="002936E4"/>
    <w:rsid w:val="002B4A57"/>
    <w:rsid w:val="002C74CA"/>
    <w:rsid w:val="002E29EB"/>
    <w:rsid w:val="003544FB"/>
    <w:rsid w:val="00392EBA"/>
    <w:rsid w:val="003C51D0"/>
    <w:rsid w:val="003D2D47"/>
    <w:rsid w:val="003D2F2D"/>
    <w:rsid w:val="00401590"/>
    <w:rsid w:val="00437067"/>
    <w:rsid w:val="00447801"/>
    <w:rsid w:val="00452E9C"/>
    <w:rsid w:val="004606E5"/>
    <w:rsid w:val="00461AB3"/>
    <w:rsid w:val="004735C8"/>
    <w:rsid w:val="004914EE"/>
    <w:rsid w:val="004961FF"/>
    <w:rsid w:val="004A658F"/>
    <w:rsid w:val="00516FFE"/>
    <w:rsid w:val="00517A89"/>
    <w:rsid w:val="005250F2"/>
    <w:rsid w:val="00582A8B"/>
    <w:rsid w:val="00593EEA"/>
    <w:rsid w:val="005A5EEE"/>
    <w:rsid w:val="005E73B0"/>
    <w:rsid w:val="006375C7"/>
    <w:rsid w:val="00654E8F"/>
    <w:rsid w:val="00660D05"/>
    <w:rsid w:val="006820B1"/>
    <w:rsid w:val="006B7D14"/>
    <w:rsid w:val="006C21AF"/>
    <w:rsid w:val="00701727"/>
    <w:rsid w:val="0070566C"/>
    <w:rsid w:val="00714C50"/>
    <w:rsid w:val="00725A7D"/>
    <w:rsid w:val="00742882"/>
    <w:rsid w:val="007501BE"/>
    <w:rsid w:val="00790BB3"/>
    <w:rsid w:val="007C206C"/>
    <w:rsid w:val="007E13EC"/>
    <w:rsid w:val="00803D24"/>
    <w:rsid w:val="00817DD6"/>
    <w:rsid w:val="00885156"/>
    <w:rsid w:val="00907961"/>
    <w:rsid w:val="009151AA"/>
    <w:rsid w:val="0093429D"/>
    <w:rsid w:val="00943573"/>
    <w:rsid w:val="00970F7D"/>
    <w:rsid w:val="00994A3D"/>
    <w:rsid w:val="009C2B12"/>
    <w:rsid w:val="009C70F3"/>
    <w:rsid w:val="00A174D9"/>
    <w:rsid w:val="00A35E76"/>
    <w:rsid w:val="00A43D5A"/>
    <w:rsid w:val="00A53B2E"/>
    <w:rsid w:val="00A569CD"/>
    <w:rsid w:val="00A97C84"/>
    <w:rsid w:val="00AB5EE2"/>
    <w:rsid w:val="00AB6715"/>
    <w:rsid w:val="00AB6BEE"/>
    <w:rsid w:val="00B1671E"/>
    <w:rsid w:val="00B25EB8"/>
    <w:rsid w:val="00B354E1"/>
    <w:rsid w:val="00B37F4D"/>
    <w:rsid w:val="00B86BBA"/>
    <w:rsid w:val="00BE32EB"/>
    <w:rsid w:val="00C52A7B"/>
    <w:rsid w:val="00C56BAF"/>
    <w:rsid w:val="00C679AA"/>
    <w:rsid w:val="00C7132B"/>
    <w:rsid w:val="00C75972"/>
    <w:rsid w:val="00CC0A3A"/>
    <w:rsid w:val="00CD066B"/>
    <w:rsid w:val="00CE4FEE"/>
    <w:rsid w:val="00D23ABC"/>
    <w:rsid w:val="00D94077"/>
    <w:rsid w:val="00D955CA"/>
    <w:rsid w:val="00DA7F55"/>
    <w:rsid w:val="00DB451F"/>
    <w:rsid w:val="00DB59C3"/>
    <w:rsid w:val="00DC259A"/>
    <w:rsid w:val="00DC661C"/>
    <w:rsid w:val="00DE23E8"/>
    <w:rsid w:val="00E40ED0"/>
    <w:rsid w:val="00E52377"/>
    <w:rsid w:val="00E64E17"/>
    <w:rsid w:val="00E802A1"/>
    <w:rsid w:val="00E866C9"/>
    <w:rsid w:val="00E90FC8"/>
    <w:rsid w:val="00EA3D3C"/>
    <w:rsid w:val="00F46900"/>
    <w:rsid w:val="00F61D89"/>
    <w:rsid w:val="00F73169"/>
    <w:rsid w:val="00F81E9D"/>
    <w:rsid w:val="00F85A5B"/>
    <w:rsid w:val="00FE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styleId="GridTable1Light">
    <w:name w:val="Grid Table 1 Light"/>
    <w:basedOn w:val="TableNormal"/>
    <w:uiPriority w:val="46"/>
    <w:rsid w:val="00E40ED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DPI51figurecaption">
    <w:name w:val="MDPI_5.1_figure_caption"/>
    <w:rsid w:val="00C7132B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chart" Target="charts/chart4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'Dose response'!$Z$11</c:f>
              <c:strCache>
                <c:ptCount val="1"/>
                <c:pt idx="0">
                  <c:v>Control</c:v>
                </c:pt>
              </c:strCache>
            </c:strRef>
          </c:tx>
          <c:spPr>
            <a:ln w="25400">
              <a:solidFill>
                <a:srgbClr val="4E6A74"/>
              </a:solidFill>
              <a:prstDash val="solid"/>
            </a:ln>
            <a:effectLst/>
          </c:spPr>
          <c:marker>
            <c:symbol val="triangle"/>
            <c:size val="8"/>
            <c:spPr>
              <a:solidFill>
                <a:srgbClr val="4E6A74"/>
              </a:solidFill>
              <a:ln>
                <a:solidFill>
                  <a:srgbClr val="4E6A74"/>
                </a:solidFill>
              </a:ln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B08-4708-B592-65147B42C6D7}"/>
                </c:ext>
              </c:extLst>
            </c:dLbl>
            <c:dLbl>
              <c:idx val="1"/>
              <c:layout>
                <c:manualLayout>
                  <c:x val="-7.5585789871504853E-3"/>
                  <c:y val="-4.8790007806401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B08-4708-B592-65147B42C6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'Dose response'!$Z$15:$Z$17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0.06</c:v>
                  </c:pt>
                  <c:pt idx="2">
                    <c:v>7.0000000000000007E-2</c:v>
                  </c:pt>
                </c:numCache>
              </c:numRef>
            </c:plus>
            <c:minus>
              <c:numRef>
                <c:f>'Dose response'!$Z$15:$Z$17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0.06</c:v>
                  </c:pt>
                  <c:pt idx="2">
                    <c:v>7.0000000000000007E-2</c:v>
                  </c:pt>
                </c:numCache>
              </c:numRef>
            </c:minus>
            <c:spPr>
              <a:ln>
                <a:solidFill>
                  <a:srgbClr val="4E6A74"/>
                </a:solidFill>
              </a:ln>
            </c:spPr>
          </c:errBars>
          <c:cat>
            <c:strRef>
              <c:f>'Dose response'!$Y$12:$Y$14</c:f>
              <c:strCache>
                <c:ptCount val="3"/>
                <c:pt idx="0">
                  <c:v>Day 0</c:v>
                </c:pt>
                <c:pt idx="1">
                  <c:v>Day 45</c:v>
                </c:pt>
                <c:pt idx="2">
                  <c:v>Day 90</c:v>
                </c:pt>
              </c:strCache>
            </c:strRef>
          </c:cat>
          <c:val>
            <c:numRef>
              <c:f>'Dose response'!$Z$12:$Z$14</c:f>
              <c:numCache>
                <c:formatCode>General</c:formatCode>
                <c:ptCount val="3"/>
                <c:pt idx="0">
                  <c:v>0</c:v>
                </c:pt>
                <c:pt idx="1">
                  <c:v>-0.26</c:v>
                </c:pt>
                <c:pt idx="2">
                  <c:v>-0.21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B08-4708-B592-65147B42C6D7}"/>
            </c:ext>
          </c:extLst>
        </c:ser>
        <c:ser>
          <c:idx val="1"/>
          <c:order val="1"/>
          <c:tx>
            <c:strRef>
              <c:f>'Dose response'!$AA$11</c:f>
              <c:strCache>
                <c:ptCount val="1"/>
                <c:pt idx="0">
                  <c:v>1 DSF serving per day</c:v>
                </c:pt>
              </c:strCache>
            </c:strRef>
          </c:tx>
          <c:spPr>
            <a:ln>
              <a:solidFill>
                <a:srgbClr val="009FC2"/>
              </a:solidFill>
            </a:ln>
            <a:effectLst/>
          </c:spPr>
          <c:marker>
            <c:symbol val="circle"/>
            <c:size val="8"/>
            <c:spPr>
              <a:solidFill>
                <a:srgbClr val="009FC2"/>
              </a:solidFill>
              <a:ln>
                <a:solidFill>
                  <a:srgbClr val="009FC2"/>
                </a:solidFill>
              </a:ln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B08-4708-B592-65147B42C6D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B08-4708-B592-65147B42C6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'Dose response'!$AA$15:$AA$17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0.08</c:v>
                  </c:pt>
                  <c:pt idx="2">
                    <c:v>0.1</c:v>
                  </c:pt>
                </c:numCache>
              </c:numRef>
            </c:plus>
            <c:minus>
              <c:numRef>
                <c:f>'Dose response'!$AA$15:$AA$17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0.08</c:v>
                  </c:pt>
                  <c:pt idx="2">
                    <c:v>0.1</c:v>
                  </c:pt>
                </c:numCache>
              </c:numRef>
            </c:minus>
            <c:spPr>
              <a:ln>
                <a:solidFill>
                  <a:srgbClr val="009FC2"/>
                </a:solidFill>
              </a:ln>
            </c:spPr>
          </c:errBars>
          <c:cat>
            <c:strRef>
              <c:f>'Dose response'!$Y$12:$Y$14</c:f>
              <c:strCache>
                <c:ptCount val="3"/>
                <c:pt idx="0">
                  <c:v>Day 0</c:v>
                </c:pt>
                <c:pt idx="1">
                  <c:v>Day 45</c:v>
                </c:pt>
                <c:pt idx="2">
                  <c:v>Day 90</c:v>
                </c:pt>
              </c:strCache>
            </c:strRef>
          </c:cat>
          <c:val>
            <c:numRef>
              <c:f>'Dose response'!$AA$12:$AA$14</c:f>
              <c:numCache>
                <c:formatCode>General</c:formatCode>
                <c:ptCount val="3"/>
                <c:pt idx="0">
                  <c:v>0</c:v>
                </c:pt>
                <c:pt idx="1">
                  <c:v>-0.44</c:v>
                </c:pt>
                <c:pt idx="2">
                  <c:v>-0.46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B08-4708-B592-65147B42C6D7}"/>
            </c:ext>
          </c:extLst>
        </c:ser>
        <c:ser>
          <c:idx val="2"/>
          <c:order val="2"/>
          <c:tx>
            <c:strRef>
              <c:f>'Dose response'!$AB$11</c:f>
              <c:strCache>
                <c:ptCount val="1"/>
                <c:pt idx="0">
                  <c:v>2 DSF servings per day</c:v>
                </c:pt>
              </c:strCache>
            </c:strRef>
          </c:tx>
          <c:spPr>
            <a:ln>
              <a:solidFill>
                <a:srgbClr val="00539E"/>
              </a:solidFill>
            </a:ln>
          </c:spPr>
          <c:marker>
            <c:symbol val="square"/>
            <c:size val="7"/>
            <c:spPr>
              <a:solidFill>
                <a:srgbClr val="00539E"/>
              </a:solidFill>
              <a:ln w="22225">
                <a:solidFill>
                  <a:srgbClr val="00539E"/>
                </a:solidFill>
              </a:ln>
            </c:spPr>
          </c:marker>
          <c:dLbls>
            <c:dLbl>
              <c:idx val="1"/>
              <c:layout>
                <c:manualLayout>
                  <c:x val="-1.889644746787604E-3"/>
                  <c:y val="-3.90320062451210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B08-4708-B592-65147B42C6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'Dose response'!$AB$15:$AB$17</c:f>
                <c:numCache>
                  <c:formatCode>General</c:formatCode>
                  <c:ptCount val="3"/>
                  <c:pt idx="1">
                    <c:v>0.08</c:v>
                  </c:pt>
                  <c:pt idx="2">
                    <c:v>0.09</c:v>
                  </c:pt>
                </c:numCache>
              </c:numRef>
            </c:plus>
            <c:minus>
              <c:numRef>
                <c:f>'Dose response'!$AB$15:$AB$17</c:f>
                <c:numCache>
                  <c:formatCode>General</c:formatCode>
                  <c:ptCount val="3"/>
                  <c:pt idx="1">
                    <c:v>0.08</c:v>
                  </c:pt>
                  <c:pt idx="2">
                    <c:v>0.09</c:v>
                  </c:pt>
                </c:numCache>
              </c:numRef>
            </c:minus>
            <c:spPr>
              <a:ln>
                <a:solidFill>
                  <a:srgbClr val="00539E"/>
                </a:solidFill>
              </a:ln>
            </c:spPr>
          </c:errBars>
          <c:cat>
            <c:strRef>
              <c:f>'Dose response'!$Y$12:$Y$14</c:f>
              <c:strCache>
                <c:ptCount val="3"/>
                <c:pt idx="0">
                  <c:v>Day 0</c:v>
                </c:pt>
                <c:pt idx="1">
                  <c:v>Day 45</c:v>
                </c:pt>
                <c:pt idx="2">
                  <c:v>Day 90</c:v>
                </c:pt>
              </c:strCache>
            </c:strRef>
          </c:cat>
          <c:val>
            <c:numRef>
              <c:f>'Dose response'!$AB$12:$AB$14</c:f>
              <c:numCache>
                <c:formatCode>General</c:formatCode>
                <c:ptCount val="3"/>
                <c:pt idx="1">
                  <c:v>-0.44</c:v>
                </c:pt>
                <c:pt idx="2">
                  <c:v>-0.54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2B08-4708-B592-65147B42C6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6620688"/>
        <c:axId val="736623968"/>
      </c:lineChart>
      <c:catAx>
        <c:axId val="73662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623968"/>
        <c:crosses val="autoZero"/>
        <c:auto val="1"/>
        <c:lblAlgn val="ctr"/>
        <c:lblOffset val="100"/>
        <c:noMultiLvlLbl val="0"/>
      </c:catAx>
      <c:valAx>
        <c:axId val="7366239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>
                    <a:solidFill>
                      <a:schemeClr val="tx1"/>
                    </a:solidFill>
                  </a:rPr>
                  <a:t>Change in HbA1c from</a:t>
                </a:r>
                <a:r>
                  <a:rPr lang="en-US" sz="1400" baseline="0">
                    <a:solidFill>
                      <a:schemeClr val="tx1"/>
                    </a:solidFill>
                  </a:rPr>
                  <a:t> Day 0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6206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96217734687926"/>
          <c:y val="0.91706159680859567"/>
          <c:w val="0.81602478261645883"/>
          <c:h val="6.34224000688438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'Dose response'!$Z$62</c:f>
              <c:strCache>
                <c:ptCount val="1"/>
                <c:pt idx="0">
                  <c:v>Control</c:v>
                </c:pt>
              </c:strCache>
            </c:strRef>
          </c:tx>
          <c:spPr>
            <a:ln>
              <a:solidFill>
                <a:srgbClr val="4E6A74"/>
              </a:solidFill>
              <a:prstDash val="solid"/>
            </a:ln>
            <a:effectLst/>
          </c:spPr>
          <c:marker>
            <c:symbol val="triangle"/>
            <c:size val="8"/>
            <c:spPr>
              <a:solidFill>
                <a:srgbClr val="4E6A74"/>
              </a:solidFill>
              <a:ln>
                <a:solidFill>
                  <a:srgbClr val="4E6A74"/>
                </a:solidFill>
              </a:ln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DB0-4C23-B261-8CA821D49962}"/>
                </c:ext>
              </c:extLst>
            </c:dLbl>
            <c:dLbl>
              <c:idx val="1"/>
              <c:layout>
                <c:manualLayout>
                  <c:x val="-7.8346673280123027E-17"/>
                  <c:y val="2.93955539224692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DB0-4C23-B261-8CA821D49962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en-US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'Dose response'!$Z$66:$Z$68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2.8920000000000001E-2</c:v>
                  </c:pt>
                  <c:pt idx="2">
                    <c:v>3.2219999999999999E-2</c:v>
                  </c:pt>
                </c:numCache>
              </c:numRef>
            </c:plus>
            <c:minus>
              <c:numRef>
                <c:f>'Dose response'!$Z$66:$Z$68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2.8920000000000001E-2</c:v>
                  </c:pt>
                  <c:pt idx="2">
                    <c:v>3.2219999999999999E-2</c:v>
                  </c:pt>
                </c:numCache>
              </c:numRef>
            </c:minus>
            <c:spPr>
              <a:ln>
                <a:solidFill>
                  <a:srgbClr val="4E6A74"/>
                </a:solidFill>
              </a:ln>
            </c:spPr>
          </c:errBars>
          <c:cat>
            <c:strRef>
              <c:f>'Dose response'!$Y$63:$Y$65</c:f>
              <c:strCache>
                <c:ptCount val="3"/>
                <c:pt idx="0">
                  <c:v>Day 0</c:v>
                </c:pt>
                <c:pt idx="1">
                  <c:v>Day 45</c:v>
                </c:pt>
                <c:pt idx="2">
                  <c:v>Day 90</c:v>
                </c:pt>
              </c:strCache>
            </c:strRef>
          </c:cat>
          <c:val>
            <c:numRef>
              <c:f>'Dose response'!$Z$63:$Z$65</c:f>
              <c:numCache>
                <c:formatCode>General</c:formatCode>
                <c:ptCount val="3"/>
                <c:pt idx="0">
                  <c:v>0</c:v>
                </c:pt>
                <c:pt idx="1">
                  <c:v>-8.004E-2</c:v>
                </c:pt>
                <c:pt idx="2">
                  <c:v>-6.5110000000000001E-2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DB0-4C23-B261-8CA821D49962}"/>
            </c:ext>
          </c:extLst>
        </c:ser>
        <c:ser>
          <c:idx val="1"/>
          <c:order val="1"/>
          <c:tx>
            <c:strRef>
              <c:f>'Dose response'!$AA$62</c:f>
              <c:strCache>
                <c:ptCount val="1"/>
                <c:pt idx="0">
                  <c:v>1 DSF serving per day</c:v>
                </c:pt>
              </c:strCache>
            </c:strRef>
          </c:tx>
          <c:spPr>
            <a:ln>
              <a:solidFill>
                <a:srgbClr val="009FC2"/>
              </a:solidFill>
            </a:ln>
            <a:effectLst/>
          </c:spPr>
          <c:marker>
            <c:symbol val="circle"/>
            <c:size val="8"/>
            <c:spPr>
              <a:solidFill>
                <a:srgbClr val="009FC2"/>
              </a:solidFill>
              <a:ln>
                <a:solidFill>
                  <a:srgbClr val="009FC2"/>
                </a:solidFill>
              </a:ln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DB0-4C23-B261-8CA821D49962}"/>
                </c:ext>
              </c:extLst>
            </c:dLbl>
            <c:dLbl>
              <c:idx val="1"/>
              <c:layout>
                <c:manualLayout>
                  <c:x val="-7.8346673280123027E-17"/>
                  <c:y val="6.61399963255557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B0-4C23-B261-8CA821D49962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en-US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'Dose response'!$AA$66:$AA$68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4.3549999999999998E-2</c:v>
                  </c:pt>
                  <c:pt idx="2">
                    <c:v>4.8500000000000001E-2</c:v>
                  </c:pt>
                </c:numCache>
              </c:numRef>
            </c:plus>
            <c:minus>
              <c:numRef>
                <c:f>'Dose response'!$AA$66:$AA$68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4.3549999999999998E-2</c:v>
                  </c:pt>
                  <c:pt idx="2">
                    <c:v>4.8500000000000001E-2</c:v>
                  </c:pt>
                </c:numCache>
              </c:numRef>
            </c:minus>
            <c:spPr>
              <a:ln>
                <a:solidFill>
                  <a:srgbClr val="009FC2"/>
                </a:solidFill>
              </a:ln>
            </c:spPr>
          </c:errBars>
          <c:cat>
            <c:strRef>
              <c:f>'Dose response'!$Y$63:$Y$65</c:f>
              <c:strCache>
                <c:ptCount val="3"/>
                <c:pt idx="0">
                  <c:v>Day 0</c:v>
                </c:pt>
                <c:pt idx="1">
                  <c:v>Day 45</c:v>
                </c:pt>
                <c:pt idx="2">
                  <c:v>Day 90</c:v>
                </c:pt>
              </c:strCache>
            </c:strRef>
          </c:cat>
          <c:val>
            <c:numRef>
              <c:f>'Dose response'!$AA$63:$AA$65</c:f>
              <c:numCache>
                <c:formatCode>General</c:formatCode>
                <c:ptCount val="3"/>
                <c:pt idx="0">
                  <c:v>0</c:v>
                </c:pt>
                <c:pt idx="1">
                  <c:v>-0.18870000000000001</c:v>
                </c:pt>
                <c:pt idx="2">
                  <c:v>-0.22500000000000001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DB0-4C23-B261-8CA821D49962}"/>
            </c:ext>
          </c:extLst>
        </c:ser>
        <c:ser>
          <c:idx val="2"/>
          <c:order val="2"/>
          <c:tx>
            <c:strRef>
              <c:f>'Dose response'!$AB$62</c:f>
              <c:strCache>
                <c:ptCount val="1"/>
                <c:pt idx="0">
                  <c:v>2 DSF servings per day</c:v>
                </c:pt>
              </c:strCache>
            </c:strRef>
          </c:tx>
          <c:spPr>
            <a:ln>
              <a:solidFill>
                <a:srgbClr val="00539E"/>
              </a:solidFill>
            </a:ln>
          </c:spPr>
          <c:marker>
            <c:symbol val="square"/>
            <c:size val="7"/>
            <c:spPr>
              <a:solidFill>
                <a:srgbClr val="00539E"/>
              </a:solidFill>
              <a:ln w="25400">
                <a:solidFill>
                  <a:srgbClr val="00539E"/>
                </a:solidFill>
              </a:ln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DB0-4C23-B261-8CA821D49962}"/>
                </c:ext>
              </c:extLst>
            </c:dLbl>
            <c:dLbl>
              <c:idx val="2"/>
              <c:layout>
                <c:manualLayout>
                  <c:x val="-1.5669334656024605E-16"/>
                  <c:y val="-2.93955539224691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B0-4C23-B261-8CA821D49962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en-US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'Dose response'!$AB$66:$AB$68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3.9359999999999999E-2</c:v>
                  </c:pt>
                  <c:pt idx="2">
                    <c:v>4.4069999999999998E-2</c:v>
                  </c:pt>
                </c:numCache>
              </c:numRef>
            </c:plus>
            <c:minus>
              <c:numRef>
                <c:f>'Dose response'!$AB$66:$AB$68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3.9359999999999999E-2</c:v>
                  </c:pt>
                  <c:pt idx="2">
                    <c:v>4.4069999999999998E-2</c:v>
                  </c:pt>
                </c:numCache>
              </c:numRef>
            </c:minus>
            <c:spPr>
              <a:ln>
                <a:solidFill>
                  <a:srgbClr val="00539E"/>
                </a:solidFill>
              </a:ln>
            </c:spPr>
          </c:errBars>
          <c:cat>
            <c:strRef>
              <c:f>'Dose response'!$Y$63:$Y$65</c:f>
              <c:strCache>
                <c:ptCount val="3"/>
                <c:pt idx="0">
                  <c:v>Day 0</c:v>
                </c:pt>
                <c:pt idx="1">
                  <c:v>Day 45</c:v>
                </c:pt>
                <c:pt idx="2">
                  <c:v>Day 90</c:v>
                </c:pt>
              </c:strCache>
            </c:strRef>
          </c:cat>
          <c:val>
            <c:numRef>
              <c:f>'Dose response'!$AB$63:$AB$65</c:f>
              <c:numCache>
                <c:formatCode>General</c:formatCode>
                <c:ptCount val="3"/>
                <c:pt idx="0">
                  <c:v>0</c:v>
                </c:pt>
                <c:pt idx="1">
                  <c:v>-0.13639999999999999</c:v>
                </c:pt>
                <c:pt idx="2">
                  <c:v>-0.22040000000000001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1DB0-4C23-B261-8CA821D49962}"/>
            </c:ext>
          </c:extLst>
        </c:ser>
        <c:dLbls>
          <c:dLblPos val="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36620688"/>
        <c:axId val="736623968"/>
      </c:lineChart>
      <c:catAx>
        <c:axId val="73662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623968"/>
        <c:crosses val="autoZero"/>
        <c:auto val="1"/>
        <c:lblAlgn val="ctr"/>
        <c:lblOffset val="100"/>
        <c:noMultiLvlLbl val="0"/>
      </c:catAx>
      <c:valAx>
        <c:axId val="7366239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dirty="0">
                    <a:solidFill>
                      <a:schemeClr val="tx1"/>
                    </a:solidFill>
                  </a:rPr>
                  <a:t>Change in Visceral</a:t>
                </a:r>
                <a:r>
                  <a:rPr lang="en-US" sz="1400" baseline="0" dirty="0">
                    <a:solidFill>
                      <a:schemeClr val="tx1"/>
                    </a:solidFill>
                  </a:rPr>
                  <a:t> Adipose Tissue </a:t>
                </a:r>
                <a:r>
                  <a:rPr lang="en-US" sz="1400" dirty="0">
                    <a:solidFill>
                      <a:schemeClr val="tx1"/>
                    </a:solidFill>
                  </a:rPr>
                  <a:t>from</a:t>
                </a:r>
                <a:r>
                  <a:rPr lang="en-US" sz="1400" baseline="0" dirty="0">
                    <a:solidFill>
                      <a:schemeClr val="tx1"/>
                    </a:solidFill>
                  </a:rPr>
                  <a:t> Day 0 (L)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6206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258920015950387"/>
          <c:y val="0.91706159680859567"/>
          <c:w val="0.83741079984049616"/>
          <c:h val="6.34224000688438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'Dose response'!$Z$62</c:f>
              <c:strCache>
                <c:ptCount val="1"/>
                <c:pt idx="0">
                  <c:v>Control</c:v>
                </c:pt>
              </c:strCache>
            </c:strRef>
          </c:tx>
          <c:spPr>
            <a:ln>
              <a:solidFill>
                <a:srgbClr val="4E6A74"/>
              </a:solidFill>
              <a:prstDash val="solid"/>
            </a:ln>
            <a:effectLst/>
          </c:spPr>
          <c:marker>
            <c:symbol val="triangle"/>
            <c:size val="8"/>
            <c:spPr>
              <a:solidFill>
                <a:srgbClr val="4E6A74"/>
              </a:solidFill>
              <a:ln>
                <a:solidFill>
                  <a:srgbClr val="4E6A74"/>
                </a:solidFill>
              </a:ln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EF-466E-9F85-B1D64C69622E}"/>
                </c:ext>
              </c:extLst>
            </c:dLbl>
            <c:dLbl>
              <c:idx val="1"/>
              <c:layout>
                <c:manualLayout>
                  <c:x val="0"/>
                  <c:y val="2.2046665441851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EF-466E-9F85-B1D64C69622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en-US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'Dose response'!$Z$66:$Z$68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1.2145999999999999</c:v>
                  </c:pt>
                  <c:pt idx="2">
                    <c:v>1.2212000000000001</c:v>
                  </c:pt>
                </c:numCache>
              </c:numRef>
            </c:plus>
            <c:minus>
              <c:numRef>
                <c:f>'Dose response'!$Z$66:$Z$68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1.2145999999999999</c:v>
                  </c:pt>
                  <c:pt idx="2">
                    <c:v>1.2212000000000001</c:v>
                  </c:pt>
                </c:numCache>
              </c:numRef>
            </c:minus>
            <c:spPr>
              <a:ln>
                <a:solidFill>
                  <a:srgbClr val="4E6A74"/>
                </a:solidFill>
              </a:ln>
            </c:spPr>
          </c:errBars>
          <c:cat>
            <c:strRef>
              <c:f>'Dose response'!$Y$63:$Y$65</c:f>
              <c:strCache>
                <c:ptCount val="3"/>
                <c:pt idx="0">
                  <c:v>Day 0</c:v>
                </c:pt>
                <c:pt idx="1">
                  <c:v>Day 45</c:v>
                </c:pt>
                <c:pt idx="2">
                  <c:v>Day 90</c:v>
                </c:pt>
              </c:strCache>
            </c:strRef>
          </c:cat>
          <c:val>
            <c:numRef>
              <c:f>'Dose response'!$Z$63:$Z$65</c:f>
              <c:numCache>
                <c:formatCode>General</c:formatCode>
                <c:ptCount val="3"/>
                <c:pt idx="0">
                  <c:v>0</c:v>
                </c:pt>
                <c:pt idx="1">
                  <c:v>-1.6006</c:v>
                </c:pt>
                <c:pt idx="2">
                  <c:v>-0.85509999999999997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5EF-466E-9F85-B1D64C69622E}"/>
            </c:ext>
          </c:extLst>
        </c:ser>
        <c:ser>
          <c:idx val="1"/>
          <c:order val="1"/>
          <c:tx>
            <c:strRef>
              <c:f>'Dose response'!$AA$62</c:f>
              <c:strCache>
                <c:ptCount val="1"/>
                <c:pt idx="0">
                  <c:v>1 DSF serving per day</c:v>
                </c:pt>
              </c:strCache>
            </c:strRef>
          </c:tx>
          <c:spPr>
            <a:ln>
              <a:solidFill>
                <a:srgbClr val="009FC2"/>
              </a:solidFill>
            </a:ln>
            <a:effectLst/>
          </c:spPr>
          <c:marker>
            <c:symbol val="circle"/>
            <c:size val="8"/>
            <c:spPr>
              <a:solidFill>
                <a:srgbClr val="009FC2"/>
              </a:solidFill>
              <a:ln>
                <a:solidFill>
                  <a:srgbClr val="009FC2"/>
                </a:solidFill>
              </a:ln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EF-466E-9F85-B1D64C69622E}"/>
                </c:ext>
              </c:extLst>
            </c:dLbl>
            <c:dLbl>
              <c:idx val="1"/>
              <c:layout>
                <c:manualLayout>
                  <c:x val="0"/>
                  <c:y val="-1.83722212015433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EF-466E-9F85-B1D64C69622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en-US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'Dose response'!$AA$66:$AA$68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1.8290999999999999</c:v>
                  </c:pt>
                  <c:pt idx="2">
                    <c:v>1.8385</c:v>
                  </c:pt>
                </c:numCache>
              </c:numRef>
            </c:plus>
            <c:minus>
              <c:numRef>
                <c:f>'Dose response'!$AA$66:$AA$68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1.8290999999999999</c:v>
                  </c:pt>
                  <c:pt idx="2">
                    <c:v>1.8385</c:v>
                  </c:pt>
                </c:numCache>
              </c:numRef>
            </c:minus>
            <c:spPr>
              <a:ln>
                <a:solidFill>
                  <a:srgbClr val="009FC2"/>
                </a:solidFill>
              </a:ln>
            </c:spPr>
          </c:errBars>
          <c:cat>
            <c:strRef>
              <c:f>'Dose response'!$Y$63:$Y$65</c:f>
              <c:strCache>
                <c:ptCount val="3"/>
                <c:pt idx="0">
                  <c:v>Day 0</c:v>
                </c:pt>
                <c:pt idx="1">
                  <c:v>Day 45</c:v>
                </c:pt>
                <c:pt idx="2">
                  <c:v>Day 90</c:v>
                </c:pt>
              </c:strCache>
            </c:strRef>
          </c:cat>
          <c:val>
            <c:numRef>
              <c:f>'Dose response'!$AA$63:$AA$65</c:f>
              <c:numCache>
                <c:formatCode>General</c:formatCode>
                <c:ptCount val="3"/>
                <c:pt idx="0">
                  <c:v>0</c:v>
                </c:pt>
                <c:pt idx="1">
                  <c:v>-5.4603999999999999</c:v>
                </c:pt>
                <c:pt idx="2">
                  <c:v>-7.0578000000000003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5EF-466E-9F85-B1D64C69622E}"/>
            </c:ext>
          </c:extLst>
        </c:ser>
        <c:ser>
          <c:idx val="2"/>
          <c:order val="2"/>
          <c:tx>
            <c:strRef>
              <c:f>'Dose response'!$AB$62</c:f>
              <c:strCache>
                <c:ptCount val="1"/>
                <c:pt idx="0">
                  <c:v>2 DSF servings per day</c:v>
                </c:pt>
              </c:strCache>
            </c:strRef>
          </c:tx>
          <c:spPr>
            <a:ln>
              <a:solidFill>
                <a:srgbClr val="00539E"/>
              </a:solidFill>
            </a:ln>
          </c:spPr>
          <c:marker>
            <c:symbol val="square"/>
            <c:size val="7"/>
            <c:spPr>
              <a:solidFill>
                <a:srgbClr val="00539E"/>
              </a:solidFill>
              <a:ln w="25400">
                <a:solidFill>
                  <a:srgbClr val="00539E"/>
                </a:solidFill>
              </a:ln>
            </c:spPr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5EF-466E-9F85-B1D64C69622E}"/>
                </c:ext>
              </c:extLst>
            </c:dLbl>
            <c:dLbl>
              <c:idx val="1"/>
              <c:layout>
                <c:manualLayout>
                  <c:x val="4.2735042735042739E-3"/>
                  <c:y val="-1.83722212015433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5EF-466E-9F85-B1D64C69622E}"/>
                </c:ext>
              </c:extLst>
            </c:dLbl>
            <c:numFmt formatCode="#,##0.0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en-US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'Dose response'!$AB$66:$AB$68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1.653</c:v>
                  </c:pt>
                  <c:pt idx="2">
                    <c:v>1.6707000000000001</c:v>
                  </c:pt>
                </c:numCache>
              </c:numRef>
            </c:plus>
            <c:minus>
              <c:numRef>
                <c:f>'Dose response'!$AB$66:$AB$68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1.653</c:v>
                  </c:pt>
                  <c:pt idx="2">
                    <c:v>1.6707000000000001</c:v>
                  </c:pt>
                </c:numCache>
              </c:numRef>
            </c:minus>
            <c:spPr>
              <a:ln>
                <a:solidFill>
                  <a:srgbClr val="00539E"/>
                </a:solidFill>
              </a:ln>
            </c:spPr>
          </c:errBars>
          <c:cat>
            <c:strRef>
              <c:f>'Dose response'!$Y$63:$Y$65</c:f>
              <c:strCache>
                <c:ptCount val="3"/>
                <c:pt idx="0">
                  <c:v>Day 0</c:v>
                </c:pt>
                <c:pt idx="1">
                  <c:v>Day 45</c:v>
                </c:pt>
                <c:pt idx="2">
                  <c:v>Day 90</c:v>
                </c:pt>
              </c:strCache>
            </c:strRef>
          </c:cat>
          <c:val>
            <c:numRef>
              <c:f>'Dose response'!$AB$63:$AB$65</c:f>
              <c:numCache>
                <c:formatCode>General</c:formatCode>
                <c:ptCount val="3"/>
                <c:pt idx="0">
                  <c:v>0</c:v>
                </c:pt>
                <c:pt idx="1">
                  <c:v>-3.6177000000000001</c:v>
                </c:pt>
                <c:pt idx="2">
                  <c:v>-5.9353999999999996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5EF-466E-9F85-B1D64C69622E}"/>
            </c:ext>
          </c:extLst>
        </c:ser>
        <c:dLbls>
          <c:dLblPos val="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736620688"/>
        <c:axId val="736623968"/>
      </c:lineChart>
      <c:catAx>
        <c:axId val="736620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623968"/>
        <c:crosses val="autoZero"/>
        <c:auto val="1"/>
        <c:lblAlgn val="ctr"/>
        <c:lblOffset val="100"/>
        <c:noMultiLvlLbl val="0"/>
      </c:catAx>
      <c:valAx>
        <c:axId val="7366239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dirty="0">
                    <a:solidFill>
                      <a:schemeClr val="tx1"/>
                    </a:solidFill>
                  </a:rPr>
                  <a:t>Change in Visceral</a:t>
                </a:r>
                <a:r>
                  <a:rPr lang="en-US" sz="1400" baseline="0" dirty="0">
                    <a:solidFill>
                      <a:schemeClr val="tx1"/>
                    </a:solidFill>
                  </a:rPr>
                  <a:t> Adipose Tissue </a:t>
                </a:r>
                <a:r>
                  <a:rPr lang="en-US" sz="1400" dirty="0">
                    <a:solidFill>
                      <a:schemeClr val="tx1"/>
                    </a:solidFill>
                  </a:rPr>
                  <a:t>from</a:t>
                </a:r>
                <a:r>
                  <a:rPr lang="en-US" sz="1400" baseline="0" dirty="0">
                    <a:solidFill>
                      <a:schemeClr val="tx1"/>
                    </a:solidFill>
                  </a:rPr>
                  <a:t> Day 0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366206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6258920015950387"/>
          <c:y val="0.91706159680859567"/>
          <c:w val="0.83741079984049616"/>
          <c:h val="6.34224000688438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815048118985127"/>
          <c:y val="8.0122995574458289E-2"/>
          <c:w val="0.79055293088363965"/>
          <c:h val="0.6787576552930882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009FC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B90-4936-9966-80729E2ACE54}"/>
              </c:ext>
            </c:extLst>
          </c:dPt>
          <c:dPt>
            <c:idx val="2"/>
            <c:invertIfNegative val="0"/>
            <c:bubble3D val="0"/>
            <c:spPr>
              <a:solidFill>
                <a:srgbClr val="0053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B90-4936-9966-80729E2ACE5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'Total compliance'!$A$4:$A$6</c:f>
              <c:strCache>
                <c:ptCount val="3"/>
                <c:pt idx="0">
                  <c:v>Total DSF
(n = 117)</c:v>
                </c:pt>
                <c:pt idx="1">
                  <c:v>1 DSF serving per day 
(n = 49)</c:v>
                </c:pt>
                <c:pt idx="2">
                  <c:v>2 DSF servings per day 
(n = 68)</c:v>
                </c:pt>
              </c:strCache>
            </c:strRef>
          </c:cat>
          <c:val>
            <c:numRef>
              <c:f>'Total compliance'!$B$4:$B$6</c:f>
              <c:numCache>
                <c:formatCode>General</c:formatCode>
                <c:ptCount val="3"/>
                <c:pt idx="0" formatCode="0.0">
                  <c:v>93.8</c:v>
                </c:pt>
                <c:pt idx="1">
                  <c:v>97.9</c:v>
                </c:pt>
                <c:pt idx="2" formatCode="0.0">
                  <c:v>90.9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90-4936-9966-80729E2ACE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overlap val="-79"/>
        <c:axId val="813775839"/>
        <c:axId val="477976287"/>
      </c:barChart>
      <c:catAx>
        <c:axId val="8137758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976287"/>
        <c:crosses val="autoZero"/>
        <c:auto val="1"/>
        <c:lblAlgn val="ctr"/>
        <c:lblOffset val="100"/>
        <c:noMultiLvlLbl val="0"/>
      </c:catAx>
      <c:valAx>
        <c:axId val="477976287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0" i="0" u="none" strike="noStrike" kern="1200" baseline="0" dirty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rPr>
                  <a:t>Compliance (%)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en-US"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37758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050447083945014"/>
          <c:y val="0.12905081200787405"/>
          <c:w val="0.79055293088363965"/>
          <c:h val="0.678757655293088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'Compliance in DSF groups'!$B$3</c:f>
              <c:strCache>
                <c:ptCount val="1"/>
                <c:pt idx="0">
                  <c:v>Total DSF (n = 117)</c:v>
                </c:pt>
              </c:strCache>
            </c:strRef>
          </c:tx>
          <c:spPr>
            <a:solidFill>
              <a:schemeClr val="accent5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2.7777777777778798E-3"/>
                  <c:y val="9.803921568627450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29-432D-ACB6-F01691D181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'Compliance in DSF groups'!$A$4:$A$7</c:f>
              <c:strCache>
                <c:ptCount val="4"/>
                <c:pt idx="0">
                  <c:v>≤ 25%</c:v>
                </c:pt>
                <c:pt idx="1">
                  <c:v>&gt; 25% to ≤ 50%</c:v>
                </c:pt>
                <c:pt idx="2">
                  <c:v>&gt; 50% to &lt; 75%</c:v>
                </c:pt>
                <c:pt idx="3">
                  <c:v>≥ 75%</c:v>
                </c:pt>
              </c:strCache>
            </c:strRef>
          </c:cat>
          <c:val>
            <c:numRef>
              <c:f>'Compliance in DSF groups'!$B$4:$B$7</c:f>
              <c:numCache>
                <c:formatCode>0.0</c:formatCode>
                <c:ptCount val="4"/>
                <c:pt idx="0">
                  <c:v>0</c:v>
                </c:pt>
                <c:pt idx="1">
                  <c:v>3.42</c:v>
                </c:pt>
                <c:pt idx="2">
                  <c:v>2.56</c:v>
                </c:pt>
                <c:pt idx="3">
                  <c:v>94.02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29-432D-ACB6-F01691D18125}"/>
            </c:ext>
          </c:extLst>
        </c:ser>
        <c:ser>
          <c:idx val="1"/>
          <c:order val="1"/>
          <c:tx>
            <c:strRef>
              <c:f>'Compliance in DSF groups'!$C$3</c:f>
              <c:strCache>
                <c:ptCount val="1"/>
                <c:pt idx="0">
                  <c:v>1 DSF serving per day (n = 49)</c:v>
                </c:pt>
              </c:strCache>
            </c:strRef>
          </c:tx>
          <c:spPr>
            <a:solidFill>
              <a:srgbClr val="009FC2"/>
            </a:solidFill>
            <a:ln>
              <a:solidFill>
                <a:srgbClr val="009FC2"/>
              </a:solidFill>
            </a:ln>
            <a:effectLst/>
          </c:spPr>
          <c:invertIfNegative val="0"/>
          <c:dLbls>
            <c:dLbl>
              <c:idx val="3"/>
              <c:layout>
                <c:manualLayout>
                  <c:x val="1.0936132993562145E-7"/>
                  <c:y val="1.22549019607843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666666666666662E-2"/>
                      <c:h val="7.345607534352323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0C29-432D-ACB6-F01691D181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'Compliance in DSF groups'!$A$4:$A$7</c:f>
              <c:strCache>
                <c:ptCount val="4"/>
                <c:pt idx="0">
                  <c:v>≤ 25%</c:v>
                </c:pt>
                <c:pt idx="1">
                  <c:v>&gt; 25% to ≤ 50%</c:v>
                </c:pt>
                <c:pt idx="2">
                  <c:v>&gt; 50% to &lt; 75%</c:v>
                </c:pt>
                <c:pt idx="3">
                  <c:v>≥ 75%</c:v>
                </c:pt>
              </c:strCache>
            </c:strRef>
          </c:cat>
          <c:val>
            <c:numRef>
              <c:f>'Compliance in DSF groups'!$C$4:$C$7</c:f>
              <c:numCache>
                <c:formatCode>0.0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General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C29-432D-ACB6-F01691D18125}"/>
            </c:ext>
          </c:extLst>
        </c:ser>
        <c:ser>
          <c:idx val="2"/>
          <c:order val="2"/>
          <c:tx>
            <c:strRef>
              <c:f>'Compliance in DSF groups'!$D$3</c:f>
              <c:strCache>
                <c:ptCount val="1"/>
                <c:pt idx="0">
                  <c:v>2 DSF servings per day (n = 68)</c:v>
                </c:pt>
              </c:strCache>
            </c:strRef>
          </c:tx>
          <c:spPr>
            <a:solidFill>
              <a:srgbClr val="00539E"/>
            </a:solidFill>
            <a:ln>
              <a:solidFill>
                <a:srgbClr val="00539E"/>
              </a:solidFill>
            </a:ln>
            <a:effectLst/>
          </c:spPr>
          <c:invertIfNegative val="0"/>
          <c:dLbls>
            <c:dLbl>
              <c:idx val="3"/>
              <c:layout>
                <c:manualLayout>
                  <c:x val="2.777777777777676E-3"/>
                  <c:y val="9.53141886675928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C29-432D-ACB6-F01691D1812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'Compliance in DSF groups'!$A$4:$A$7</c:f>
              <c:strCache>
                <c:ptCount val="4"/>
                <c:pt idx="0">
                  <c:v>≤ 25%</c:v>
                </c:pt>
                <c:pt idx="1">
                  <c:v>&gt; 25% to ≤ 50%</c:v>
                </c:pt>
                <c:pt idx="2">
                  <c:v>&gt; 50% to &lt; 75%</c:v>
                </c:pt>
                <c:pt idx="3">
                  <c:v>≥ 75%</c:v>
                </c:pt>
              </c:strCache>
            </c:strRef>
          </c:cat>
          <c:val>
            <c:numRef>
              <c:f>'Compliance in DSF groups'!$D$4:$D$7</c:f>
              <c:numCache>
                <c:formatCode>0.0</c:formatCode>
                <c:ptCount val="4"/>
                <c:pt idx="0">
                  <c:v>0</c:v>
                </c:pt>
                <c:pt idx="1">
                  <c:v>5.88</c:v>
                </c:pt>
                <c:pt idx="2">
                  <c:v>4.41</c:v>
                </c:pt>
                <c:pt idx="3">
                  <c:v>89.71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C29-432D-ACB6-F01691D181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7"/>
        <c:overlap val="-15"/>
        <c:axId val="813775839"/>
        <c:axId val="477976287"/>
      </c:barChart>
      <c:catAx>
        <c:axId val="81377583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dirty="0">
                    <a:solidFill>
                      <a:sysClr val="windowText" lastClr="000000"/>
                    </a:solidFill>
                  </a:rPr>
                  <a:t>Compliance (%)</a:t>
                </a:r>
              </a:p>
            </c:rich>
          </c:tx>
          <c:layout>
            <c:manualLayout>
              <c:xMode val="edge"/>
              <c:yMode val="edge"/>
              <c:x val="0.4025169788098521"/>
              <c:y val="0.9031468722659667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7976287"/>
        <c:crosses val="autoZero"/>
        <c:auto val="1"/>
        <c:lblAlgn val="ctr"/>
        <c:lblOffset val="100"/>
        <c:noMultiLvlLbl val="0"/>
      </c:catAx>
      <c:valAx>
        <c:axId val="477976287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lang="en-US"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rPr>
                  <a:t>Percent of participants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lang="en-US" sz="14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37758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4657477026447277"/>
          <c:y val="0.12402502467094893"/>
          <c:w val="0.39210401099895859"/>
          <c:h val="0.17382616388146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6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Tey, Siew Ling</cp:lastModifiedBy>
  <cp:revision>2</cp:revision>
  <cp:lastPrinted>2024-07-03T12:21:00Z</cp:lastPrinted>
  <dcterms:created xsi:type="dcterms:W3CDTF">2024-07-03T12:26:00Z</dcterms:created>
  <dcterms:modified xsi:type="dcterms:W3CDTF">2024-07-03T12:26:00Z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