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16D1" w14:textId="01ED280C" w:rsidR="0039496C" w:rsidRDefault="00B13577" w:rsidP="0039496C">
      <w:pPr>
        <w:jc w:val="center"/>
        <w:rPr>
          <w:rFonts w:ascii="Times New Roman" w:hAnsi="Times New Roman"/>
          <w:sz w:val="22"/>
          <w:szCs w:val="28"/>
        </w:rPr>
      </w:pPr>
      <w:r>
        <w:rPr>
          <w:noProof/>
        </w:rPr>
        <w:drawing>
          <wp:inline distT="0" distB="0" distL="0" distR="0" wp14:anchorId="6F21439B" wp14:editId="2BCE43BC">
            <wp:extent cx="5768340" cy="6507480"/>
            <wp:effectExtent l="0" t="0" r="3810" b="7620"/>
            <wp:docPr id="6962645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8340" cy="6507480"/>
                    </a:xfrm>
                    <a:prstGeom prst="rect">
                      <a:avLst/>
                    </a:prstGeom>
                    <a:noFill/>
                    <a:ln>
                      <a:noFill/>
                    </a:ln>
                  </pic:spPr>
                </pic:pic>
              </a:graphicData>
            </a:graphic>
          </wp:inline>
        </w:drawing>
      </w:r>
      <w:r w:rsidR="0039496C">
        <w:rPr>
          <w:rFonts w:ascii="Times New Roman" w:hAnsi="Times New Roman"/>
          <w:sz w:val="22"/>
          <w:szCs w:val="28"/>
        </w:rPr>
        <w:t>.</w:t>
      </w:r>
    </w:p>
    <w:p w14:paraId="6DB54B8E" w14:textId="77777777" w:rsidR="0039496C" w:rsidRPr="00FD2B14" w:rsidRDefault="0039496C" w:rsidP="0039496C">
      <w:pPr>
        <w:jc w:val="left"/>
        <w:rPr>
          <w:rFonts w:ascii="Times New Roman" w:hAnsi="Times New Roman"/>
          <w:sz w:val="24"/>
          <w:szCs w:val="32"/>
        </w:rPr>
      </w:pPr>
      <w:r w:rsidRPr="00FD2B14">
        <w:rPr>
          <w:rFonts w:ascii="Times New Roman" w:hAnsi="Times New Roman"/>
          <w:sz w:val="24"/>
          <w:szCs w:val="32"/>
        </w:rPr>
        <w:t>Supplementary Figure 1. Evaluation and Validation of chemokine Related Prognostic Model.</w:t>
      </w:r>
    </w:p>
    <w:p w14:paraId="574CC8D1" w14:textId="31DD3C5F" w:rsidR="00BC744E" w:rsidRPr="00BC744E" w:rsidRDefault="00FD2B14" w:rsidP="0039496C">
      <w:pPr>
        <w:jc w:val="left"/>
        <w:rPr>
          <w:rFonts w:ascii="Times New Roman" w:hAnsi="Times New Roman"/>
          <w:sz w:val="28"/>
          <w:szCs w:val="36"/>
        </w:rPr>
      </w:pPr>
      <w:r w:rsidRPr="00FD2B14">
        <w:rPr>
          <w:rFonts w:ascii="Times New Roman" w:hAnsi="Times New Roman"/>
          <w:sz w:val="24"/>
          <w:szCs w:val="32"/>
        </w:rPr>
        <w:t xml:space="preserve">(A-C) </w:t>
      </w:r>
      <w:proofErr w:type="spellStart"/>
      <w:r w:rsidRPr="00FD2B14">
        <w:rPr>
          <w:rFonts w:ascii="Times New Roman" w:hAnsi="Times New Roman"/>
          <w:sz w:val="24"/>
          <w:szCs w:val="32"/>
        </w:rPr>
        <w:t>Oncoplots</w:t>
      </w:r>
      <w:proofErr w:type="spellEnd"/>
      <w:r w:rsidRPr="00FD2B14">
        <w:rPr>
          <w:rFonts w:ascii="Times New Roman" w:hAnsi="Times New Roman"/>
          <w:sz w:val="24"/>
          <w:szCs w:val="32"/>
        </w:rPr>
        <w:t xml:space="preserve"> and summary plots illustrate the somatic mutation disparity between high and low-risk groups in the TCGA cohort. (D, E) Heatmap displays the correlation of co-occurring and mutually exclusive mutations in groups with varying </w:t>
      </w:r>
      <w:r w:rsidR="006419F5" w:rsidRPr="006419F5">
        <w:rPr>
          <w:rFonts w:ascii="Times New Roman" w:hAnsi="Times New Roman"/>
          <w:sz w:val="24"/>
          <w:szCs w:val="32"/>
        </w:rPr>
        <w:t xml:space="preserve">low-risk groups </w:t>
      </w:r>
      <w:r w:rsidRPr="00FD2B14">
        <w:rPr>
          <w:rFonts w:ascii="Times New Roman" w:hAnsi="Times New Roman"/>
          <w:sz w:val="24"/>
          <w:szCs w:val="32"/>
        </w:rPr>
        <w:t>(axes denote genes; colors indicate correlations: green for co-occurring, brown for mutually exclusive). (F) Diagram depicts highly mutated domains in TP53 and SYNE1 protein structures (lollipop colors signify somatic mutation types). (G) Boxplot represents signature tumor mutation burden variation between risk groups. (H) Association between risk score and TMB (log 10) is shown.</w:t>
      </w:r>
    </w:p>
    <w:p w14:paraId="4BE52B87" w14:textId="15C84115" w:rsidR="0039496C" w:rsidRDefault="009D7C10" w:rsidP="0039496C">
      <w:pPr>
        <w:jc w:val="center"/>
        <w:rPr>
          <w:rFonts w:ascii="Times New Roman" w:hAnsi="Times New Roman"/>
          <w:sz w:val="22"/>
          <w:szCs w:val="28"/>
        </w:rPr>
      </w:pPr>
      <w:r>
        <w:rPr>
          <w:noProof/>
        </w:rPr>
        <w:lastRenderedPageBreak/>
        <w:drawing>
          <wp:inline distT="0" distB="0" distL="0" distR="0" wp14:anchorId="732565E8" wp14:editId="0FF9C429">
            <wp:extent cx="5274310" cy="7549515"/>
            <wp:effectExtent l="0" t="0" r="2540" b="0"/>
            <wp:docPr id="140052329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7549515"/>
                    </a:xfrm>
                    <a:prstGeom prst="rect">
                      <a:avLst/>
                    </a:prstGeom>
                    <a:noFill/>
                    <a:ln>
                      <a:noFill/>
                    </a:ln>
                  </pic:spPr>
                </pic:pic>
              </a:graphicData>
            </a:graphic>
          </wp:inline>
        </w:drawing>
      </w:r>
    </w:p>
    <w:p w14:paraId="31C3B994" w14:textId="77777777" w:rsidR="0039496C" w:rsidRPr="00FD2B14" w:rsidRDefault="0039496C" w:rsidP="0039496C">
      <w:pPr>
        <w:jc w:val="left"/>
        <w:rPr>
          <w:rFonts w:ascii="Times New Roman" w:hAnsi="Times New Roman"/>
          <w:sz w:val="24"/>
          <w:szCs w:val="32"/>
        </w:rPr>
      </w:pPr>
      <w:r w:rsidRPr="00FD2B14">
        <w:rPr>
          <w:rFonts w:ascii="Times New Roman" w:hAnsi="Times New Roman"/>
          <w:sz w:val="24"/>
          <w:szCs w:val="32"/>
        </w:rPr>
        <w:t>Supplementary Figure 2. Drug sensitivity and Correlation analysis</w:t>
      </w:r>
    </w:p>
    <w:p w14:paraId="0F61E1B2" w14:textId="1C865663" w:rsidR="0071327B" w:rsidRDefault="00FD2B14">
      <w:pPr>
        <w:rPr>
          <w:rFonts w:ascii="Times New Roman" w:hAnsi="Times New Roman"/>
          <w:sz w:val="24"/>
          <w:szCs w:val="32"/>
        </w:rPr>
      </w:pPr>
      <w:r w:rsidRPr="00FD2B14">
        <w:rPr>
          <w:rFonts w:ascii="Times New Roman" w:hAnsi="Times New Roman"/>
          <w:sz w:val="24"/>
          <w:szCs w:val="32"/>
        </w:rPr>
        <w:t xml:space="preserve">(A-H) Boxplots illustrate the average discrepancies in the estimated IC50 values of eight representative drugs (5-fluorouracil_1073, oxaliplatin_1089, camptothecin_1003, Irinotecan_1088, KRAS (G12C) inhibitor -12_1885, Sorafenib_1085, </w:t>
      </w:r>
      <w:proofErr w:type="spellStart"/>
      <w:r w:rsidRPr="00FD2B14">
        <w:rPr>
          <w:rFonts w:ascii="Times New Roman" w:hAnsi="Times New Roman"/>
          <w:sz w:val="24"/>
          <w:szCs w:val="32"/>
        </w:rPr>
        <w:t>sepantronium</w:t>
      </w:r>
      <w:proofErr w:type="spellEnd"/>
      <w:r w:rsidRPr="00FD2B14">
        <w:rPr>
          <w:rFonts w:ascii="Times New Roman" w:hAnsi="Times New Roman"/>
          <w:sz w:val="24"/>
          <w:szCs w:val="32"/>
        </w:rPr>
        <w:t xml:space="preserve"> bromide_1941, and Vinorelbine_2048). (I) The association </w:t>
      </w:r>
      <w:r w:rsidR="00FE2018" w:rsidRPr="00FE2018">
        <w:rPr>
          <w:rFonts w:ascii="Times New Roman" w:hAnsi="Times New Roman"/>
          <w:sz w:val="24"/>
          <w:szCs w:val="32"/>
        </w:rPr>
        <w:t xml:space="preserve">between risk score and M2 </w:t>
      </w:r>
      <w:r w:rsidR="00FE2018" w:rsidRPr="00FE2018">
        <w:rPr>
          <w:rFonts w:ascii="Times New Roman" w:hAnsi="Times New Roman"/>
          <w:sz w:val="24"/>
          <w:szCs w:val="32"/>
        </w:rPr>
        <w:lastRenderedPageBreak/>
        <w:t>macrophage infiltration</w:t>
      </w:r>
      <w:r w:rsidRPr="00FD2B14">
        <w:rPr>
          <w:rFonts w:ascii="Times New Roman" w:hAnsi="Times New Roman"/>
          <w:sz w:val="24"/>
          <w:szCs w:val="32"/>
        </w:rPr>
        <w:t>.</w:t>
      </w:r>
      <w:r w:rsidR="00FE2018" w:rsidRPr="00FE2018">
        <w:t xml:space="preserve"> </w:t>
      </w:r>
      <w:r w:rsidR="00FE2018" w:rsidRPr="00FE2018">
        <w:rPr>
          <w:rFonts w:ascii="Times New Roman" w:hAnsi="Times New Roman"/>
          <w:sz w:val="24"/>
          <w:szCs w:val="32"/>
        </w:rPr>
        <w:t>(</w:t>
      </w:r>
      <w:r w:rsidR="00FE2018">
        <w:rPr>
          <w:rFonts w:ascii="Times New Roman" w:hAnsi="Times New Roman" w:hint="eastAsia"/>
          <w:sz w:val="24"/>
          <w:szCs w:val="32"/>
        </w:rPr>
        <w:t>J</w:t>
      </w:r>
      <w:r w:rsidR="00FE2018" w:rsidRPr="00FE2018">
        <w:rPr>
          <w:rFonts w:ascii="Times New Roman" w:hAnsi="Times New Roman"/>
          <w:sz w:val="24"/>
          <w:szCs w:val="32"/>
        </w:rPr>
        <w:t>) The association between risk score and plasma cell infiltration.</w:t>
      </w:r>
      <w:r w:rsidR="00FE2018" w:rsidRPr="00FE2018">
        <w:t xml:space="preserve"> </w:t>
      </w:r>
      <w:r w:rsidR="00FE2018" w:rsidRPr="00FE2018">
        <w:rPr>
          <w:rFonts w:ascii="Times New Roman" w:hAnsi="Times New Roman"/>
          <w:sz w:val="24"/>
          <w:szCs w:val="32"/>
        </w:rPr>
        <w:t>(</w:t>
      </w:r>
      <w:r w:rsidR="00FE2018">
        <w:rPr>
          <w:rFonts w:ascii="Times New Roman" w:hAnsi="Times New Roman" w:hint="eastAsia"/>
          <w:sz w:val="24"/>
          <w:szCs w:val="32"/>
        </w:rPr>
        <w:t>K</w:t>
      </w:r>
      <w:r w:rsidR="00FE2018" w:rsidRPr="00FE2018">
        <w:rPr>
          <w:rFonts w:ascii="Times New Roman" w:hAnsi="Times New Roman"/>
          <w:sz w:val="24"/>
          <w:szCs w:val="32"/>
        </w:rPr>
        <w:t xml:space="preserve">) </w:t>
      </w:r>
      <w:r w:rsidR="00351043" w:rsidRPr="00351043">
        <w:rPr>
          <w:rFonts w:ascii="Times New Roman" w:hAnsi="Times New Roman"/>
          <w:sz w:val="24"/>
          <w:szCs w:val="32"/>
        </w:rPr>
        <w:t>The bubble plots illustrate potential ligand-receptor interactions between macrophage subpopulations and other cell subgroups, comparing interaction probabilities between tumor and normal groups</w:t>
      </w:r>
      <w:r w:rsidR="00FE2018" w:rsidRPr="00FE2018">
        <w:rPr>
          <w:rFonts w:ascii="Times New Roman" w:hAnsi="Times New Roman"/>
          <w:sz w:val="24"/>
          <w:szCs w:val="32"/>
        </w:rPr>
        <w:t>.</w:t>
      </w:r>
    </w:p>
    <w:p w14:paraId="547F91BB" w14:textId="77777777" w:rsidR="00FE2018" w:rsidRDefault="00FE2018">
      <w:pPr>
        <w:rPr>
          <w:rFonts w:ascii="Times New Roman" w:hAnsi="Times New Roman"/>
          <w:sz w:val="24"/>
          <w:szCs w:val="32"/>
        </w:rPr>
      </w:pPr>
    </w:p>
    <w:p w14:paraId="3FA0F61C" w14:textId="77777777" w:rsidR="00FE2018" w:rsidRPr="00351043" w:rsidRDefault="00FE2018">
      <w:pPr>
        <w:rPr>
          <w:rFonts w:hint="eastAsia"/>
          <w:sz w:val="20"/>
          <w:szCs w:val="22"/>
        </w:rPr>
      </w:pPr>
    </w:p>
    <w:p w14:paraId="64C1E238" w14:textId="77777777" w:rsidR="0071327B" w:rsidRPr="00FD2B14" w:rsidRDefault="0071327B" w:rsidP="0071327B">
      <w:pPr>
        <w:rPr>
          <w:rFonts w:ascii="Times New Roman" w:hAnsi="Times New Roman"/>
          <w:sz w:val="24"/>
        </w:rPr>
      </w:pPr>
      <w:r w:rsidRPr="00FD2B14">
        <w:rPr>
          <w:rFonts w:ascii="Times New Roman" w:hAnsi="Times New Roman"/>
          <w:sz w:val="24"/>
        </w:rPr>
        <w:t>Supplementary Table 1</w:t>
      </w:r>
    </w:p>
    <w:p w14:paraId="7D106A76" w14:textId="77777777" w:rsidR="0071327B" w:rsidRPr="00FD2B14" w:rsidRDefault="0071327B" w:rsidP="0071327B">
      <w:pPr>
        <w:rPr>
          <w:rFonts w:ascii="Times New Roman" w:hAnsi="Times New Roman"/>
          <w:sz w:val="24"/>
        </w:rPr>
      </w:pPr>
    </w:p>
    <w:tbl>
      <w:tblPr>
        <w:tblW w:w="7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080"/>
        <w:gridCol w:w="1884"/>
        <w:gridCol w:w="1872"/>
        <w:gridCol w:w="1080"/>
      </w:tblGrid>
      <w:tr w:rsidR="0071327B" w:rsidRPr="00FD2B14" w14:paraId="4ED1F977" w14:textId="77777777" w:rsidTr="0083633D">
        <w:trPr>
          <w:trHeight w:val="288"/>
        </w:trPr>
        <w:tc>
          <w:tcPr>
            <w:tcW w:w="1680" w:type="dxa"/>
            <w:shd w:val="clear" w:color="auto" w:fill="auto"/>
            <w:noWrap/>
            <w:vAlign w:val="center"/>
            <w:hideMark/>
          </w:tcPr>
          <w:p w14:paraId="79D13530" w14:textId="77777777" w:rsidR="0071327B" w:rsidRPr="00FD2B14" w:rsidRDefault="0071327B" w:rsidP="0071327B">
            <w:pPr>
              <w:widowControl/>
              <w:jc w:val="left"/>
              <w:rPr>
                <w:rFonts w:ascii="Times New Roman" w:hAnsi="Times New Roman"/>
                <w:kern w:val="0"/>
                <w:sz w:val="24"/>
              </w:rPr>
            </w:pPr>
          </w:p>
        </w:tc>
        <w:tc>
          <w:tcPr>
            <w:tcW w:w="1080" w:type="dxa"/>
            <w:shd w:val="clear" w:color="auto" w:fill="auto"/>
            <w:noWrap/>
            <w:vAlign w:val="center"/>
            <w:hideMark/>
          </w:tcPr>
          <w:p w14:paraId="69F26A3F" w14:textId="77777777" w:rsidR="0071327B" w:rsidRPr="00FD2B14" w:rsidRDefault="0071327B" w:rsidP="0071327B">
            <w:pPr>
              <w:widowControl/>
              <w:jc w:val="left"/>
              <w:rPr>
                <w:rFonts w:ascii="Times New Roman" w:eastAsia="Times New Roman" w:hAnsi="Times New Roman"/>
                <w:kern w:val="0"/>
                <w:sz w:val="24"/>
              </w:rPr>
            </w:pPr>
          </w:p>
        </w:tc>
        <w:tc>
          <w:tcPr>
            <w:tcW w:w="1884" w:type="dxa"/>
            <w:shd w:val="clear" w:color="auto" w:fill="auto"/>
            <w:noWrap/>
            <w:vAlign w:val="center"/>
            <w:hideMark/>
          </w:tcPr>
          <w:p w14:paraId="13E2DDD0"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TCGA cohort</w:t>
            </w:r>
          </w:p>
        </w:tc>
        <w:tc>
          <w:tcPr>
            <w:tcW w:w="1872" w:type="dxa"/>
            <w:shd w:val="clear" w:color="auto" w:fill="auto"/>
            <w:noWrap/>
            <w:vAlign w:val="center"/>
            <w:hideMark/>
          </w:tcPr>
          <w:p w14:paraId="01642FC3"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GSE39582</w:t>
            </w:r>
          </w:p>
        </w:tc>
        <w:tc>
          <w:tcPr>
            <w:tcW w:w="1080" w:type="dxa"/>
            <w:shd w:val="clear" w:color="auto" w:fill="auto"/>
            <w:noWrap/>
            <w:vAlign w:val="center"/>
            <w:hideMark/>
          </w:tcPr>
          <w:p w14:paraId="7B88EBFB"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p</w:t>
            </w:r>
          </w:p>
        </w:tc>
      </w:tr>
      <w:tr w:rsidR="0071327B" w:rsidRPr="00FD2B14" w14:paraId="4C34D74C" w14:textId="77777777" w:rsidTr="0083633D">
        <w:trPr>
          <w:trHeight w:val="288"/>
        </w:trPr>
        <w:tc>
          <w:tcPr>
            <w:tcW w:w="1680" w:type="dxa"/>
            <w:shd w:val="clear" w:color="auto" w:fill="auto"/>
            <w:noWrap/>
            <w:vAlign w:val="center"/>
            <w:hideMark/>
          </w:tcPr>
          <w:p w14:paraId="685C2438" w14:textId="77777777" w:rsidR="0071327B" w:rsidRPr="00FD2B14" w:rsidRDefault="0071327B" w:rsidP="0071327B">
            <w:pPr>
              <w:widowControl/>
              <w:jc w:val="left"/>
              <w:rPr>
                <w:rFonts w:ascii="Times New Roman" w:hAnsi="Times New Roman"/>
                <w:color w:val="000000"/>
                <w:kern w:val="0"/>
                <w:sz w:val="24"/>
              </w:rPr>
            </w:pPr>
          </w:p>
        </w:tc>
        <w:tc>
          <w:tcPr>
            <w:tcW w:w="1080" w:type="dxa"/>
            <w:shd w:val="clear" w:color="auto" w:fill="auto"/>
            <w:noWrap/>
            <w:vAlign w:val="center"/>
            <w:hideMark/>
          </w:tcPr>
          <w:p w14:paraId="31E657F4" w14:textId="77777777" w:rsidR="0071327B" w:rsidRPr="00FD2B14" w:rsidRDefault="0071327B" w:rsidP="0071327B">
            <w:pPr>
              <w:widowControl/>
              <w:jc w:val="left"/>
              <w:rPr>
                <w:rFonts w:ascii="Times New Roman" w:eastAsia="Times New Roman" w:hAnsi="Times New Roman"/>
                <w:kern w:val="0"/>
                <w:sz w:val="24"/>
              </w:rPr>
            </w:pPr>
          </w:p>
        </w:tc>
        <w:tc>
          <w:tcPr>
            <w:tcW w:w="1884" w:type="dxa"/>
            <w:shd w:val="clear" w:color="auto" w:fill="auto"/>
            <w:noWrap/>
            <w:vAlign w:val="center"/>
            <w:hideMark/>
          </w:tcPr>
          <w:p w14:paraId="6CC8FCC9"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n=581</w:t>
            </w:r>
          </w:p>
        </w:tc>
        <w:tc>
          <w:tcPr>
            <w:tcW w:w="1872" w:type="dxa"/>
            <w:shd w:val="clear" w:color="auto" w:fill="auto"/>
            <w:noWrap/>
            <w:vAlign w:val="center"/>
            <w:hideMark/>
          </w:tcPr>
          <w:p w14:paraId="7596A05B"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n=556</w:t>
            </w:r>
          </w:p>
        </w:tc>
        <w:tc>
          <w:tcPr>
            <w:tcW w:w="1080" w:type="dxa"/>
            <w:shd w:val="clear" w:color="auto" w:fill="auto"/>
            <w:noWrap/>
            <w:vAlign w:val="center"/>
            <w:hideMark/>
          </w:tcPr>
          <w:p w14:paraId="2E92AE48"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34AB7C97" w14:textId="77777777" w:rsidTr="0083633D">
        <w:trPr>
          <w:trHeight w:val="288"/>
        </w:trPr>
        <w:tc>
          <w:tcPr>
            <w:tcW w:w="1680" w:type="dxa"/>
            <w:shd w:val="clear" w:color="auto" w:fill="auto"/>
            <w:noWrap/>
            <w:vAlign w:val="center"/>
            <w:hideMark/>
          </w:tcPr>
          <w:p w14:paraId="223461F7"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age (mean (SD))</w:t>
            </w:r>
          </w:p>
        </w:tc>
        <w:tc>
          <w:tcPr>
            <w:tcW w:w="1080" w:type="dxa"/>
            <w:shd w:val="clear" w:color="auto" w:fill="auto"/>
            <w:noWrap/>
            <w:vAlign w:val="center"/>
            <w:hideMark/>
          </w:tcPr>
          <w:p w14:paraId="4E9F1506" w14:textId="77777777" w:rsidR="0071327B" w:rsidRPr="00FD2B14" w:rsidRDefault="0071327B" w:rsidP="0071327B">
            <w:pPr>
              <w:widowControl/>
              <w:jc w:val="left"/>
              <w:rPr>
                <w:rFonts w:ascii="Times New Roman" w:hAnsi="Times New Roman"/>
                <w:color w:val="000000"/>
                <w:kern w:val="0"/>
                <w:sz w:val="24"/>
              </w:rPr>
            </w:pPr>
          </w:p>
        </w:tc>
        <w:tc>
          <w:tcPr>
            <w:tcW w:w="1884" w:type="dxa"/>
            <w:shd w:val="clear" w:color="auto" w:fill="auto"/>
            <w:noWrap/>
            <w:vAlign w:val="center"/>
            <w:hideMark/>
          </w:tcPr>
          <w:p w14:paraId="47F66E48"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65.65 (12.42%)</w:t>
            </w:r>
          </w:p>
        </w:tc>
        <w:tc>
          <w:tcPr>
            <w:tcW w:w="1872" w:type="dxa"/>
            <w:shd w:val="clear" w:color="auto" w:fill="auto"/>
            <w:noWrap/>
            <w:vAlign w:val="center"/>
            <w:hideMark/>
          </w:tcPr>
          <w:p w14:paraId="53F19799"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66.73 (13.29%)</w:t>
            </w:r>
          </w:p>
        </w:tc>
        <w:tc>
          <w:tcPr>
            <w:tcW w:w="1080" w:type="dxa"/>
            <w:shd w:val="clear" w:color="auto" w:fill="auto"/>
            <w:noWrap/>
            <w:vAlign w:val="center"/>
            <w:hideMark/>
          </w:tcPr>
          <w:p w14:paraId="7651A172" w14:textId="77777777" w:rsidR="0071327B" w:rsidRPr="00FD2B14" w:rsidRDefault="0071327B" w:rsidP="0071327B">
            <w:pPr>
              <w:widowControl/>
              <w:ind w:right="220"/>
              <w:jc w:val="right"/>
              <w:rPr>
                <w:rFonts w:ascii="Times New Roman" w:hAnsi="Times New Roman"/>
                <w:color w:val="000000"/>
                <w:kern w:val="0"/>
                <w:sz w:val="24"/>
              </w:rPr>
            </w:pPr>
            <w:r w:rsidRPr="00FD2B14">
              <w:rPr>
                <w:rFonts w:ascii="Times New Roman" w:hAnsi="Times New Roman"/>
                <w:color w:val="000000"/>
                <w:kern w:val="0"/>
                <w:sz w:val="24"/>
              </w:rPr>
              <w:t>0.158</w:t>
            </w:r>
          </w:p>
        </w:tc>
      </w:tr>
      <w:tr w:rsidR="0071327B" w:rsidRPr="00FD2B14" w14:paraId="3A5C4F2D" w14:textId="77777777" w:rsidTr="0083633D">
        <w:trPr>
          <w:trHeight w:val="288"/>
        </w:trPr>
        <w:tc>
          <w:tcPr>
            <w:tcW w:w="1680" w:type="dxa"/>
            <w:shd w:val="clear" w:color="auto" w:fill="auto"/>
            <w:noWrap/>
            <w:vAlign w:val="center"/>
            <w:hideMark/>
          </w:tcPr>
          <w:p w14:paraId="31D76F2B"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gender (%)</w:t>
            </w:r>
          </w:p>
        </w:tc>
        <w:tc>
          <w:tcPr>
            <w:tcW w:w="1080" w:type="dxa"/>
            <w:shd w:val="clear" w:color="auto" w:fill="auto"/>
            <w:noWrap/>
            <w:vAlign w:val="center"/>
            <w:hideMark/>
          </w:tcPr>
          <w:p w14:paraId="30D094F2"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Female</w:t>
            </w:r>
          </w:p>
        </w:tc>
        <w:tc>
          <w:tcPr>
            <w:tcW w:w="1884" w:type="dxa"/>
            <w:shd w:val="clear" w:color="auto" w:fill="auto"/>
            <w:noWrap/>
            <w:vAlign w:val="center"/>
            <w:hideMark/>
          </w:tcPr>
          <w:p w14:paraId="4CEED6F7"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264 (45.4%)</w:t>
            </w:r>
          </w:p>
        </w:tc>
        <w:tc>
          <w:tcPr>
            <w:tcW w:w="1872" w:type="dxa"/>
            <w:shd w:val="clear" w:color="auto" w:fill="auto"/>
            <w:noWrap/>
            <w:vAlign w:val="center"/>
            <w:hideMark/>
          </w:tcPr>
          <w:p w14:paraId="01B98D6A"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249 (44.8%)</w:t>
            </w:r>
          </w:p>
        </w:tc>
        <w:tc>
          <w:tcPr>
            <w:tcW w:w="1080" w:type="dxa"/>
            <w:shd w:val="clear" w:color="auto" w:fill="auto"/>
            <w:noWrap/>
            <w:vAlign w:val="center"/>
            <w:hideMark/>
          </w:tcPr>
          <w:p w14:paraId="4672BA27" w14:textId="77777777" w:rsidR="0071327B" w:rsidRPr="00FD2B14" w:rsidRDefault="0071327B" w:rsidP="0071327B">
            <w:pPr>
              <w:widowControl/>
              <w:ind w:right="220"/>
              <w:jc w:val="right"/>
              <w:rPr>
                <w:rFonts w:ascii="Times New Roman" w:hAnsi="Times New Roman"/>
                <w:color w:val="000000"/>
                <w:kern w:val="0"/>
                <w:sz w:val="24"/>
              </w:rPr>
            </w:pPr>
            <w:r w:rsidRPr="00FD2B14">
              <w:rPr>
                <w:rFonts w:ascii="Times New Roman" w:hAnsi="Times New Roman"/>
                <w:color w:val="000000"/>
                <w:kern w:val="0"/>
                <w:sz w:val="24"/>
              </w:rPr>
              <w:t>0.871</w:t>
            </w:r>
          </w:p>
        </w:tc>
      </w:tr>
      <w:tr w:rsidR="0071327B" w:rsidRPr="00FD2B14" w14:paraId="77485C2A" w14:textId="77777777" w:rsidTr="0083633D">
        <w:trPr>
          <w:trHeight w:val="288"/>
        </w:trPr>
        <w:tc>
          <w:tcPr>
            <w:tcW w:w="1680" w:type="dxa"/>
            <w:shd w:val="clear" w:color="auto" w:fill="auto"/>
            <w:noWrap/>
            <w:vAlign w:val="center"/>
            <w:hideMark/>
          </w:tcPr>
          <w:p w14:paraId="02563623" w14:textId="77777777" w:rsidR="0071327B" w:rsidRPr="00FD2B14" w:rsidRDefault="0071327B" w:rsidP="0071327B">
            <w:pPr>
              <w:widowControl/>
              <w:jc w:val="right"/>
              <w:rPr>
                <w:rFonts w:ascii="Times New Roman" w:hAnsi="Times New Roman"/>
                <w:color w:val="000000"/>
                <w:kern w:val="0"/>
                <w:sz w:val="24"/>
              </w:rPr>
            </w:pPr>
          </w:p>
        </w:tc>
        <w:tc>
          <w:tcPr>
            <w:tcW w:w="1080" w:type="dxa"/>
            <w:shd w:val="clear" w:color="auto" w:fill="auto"/>
            <w:noWrap/>
            <w:vAlign w:val="center"/>
            <w:hideMark/>
          </w:tcPr>
          <w:p w14:paraId="40678673"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male</w:t>
            </w:r>
          </w:p>
        </w:tc>
        <w:tc>
          <w:tcPr>
            <w:tcW w:w="1884" w:type="dxa"/>
            <w:shd w:val="clear" w:color="auto" w:fill="auto"/>
            <w:noWrap/>
            <w:vAlign w:val="center"/>
            <w:hideMark/>
          </w:tcPr>
          <w:p w14:paraId="5E9DCA49"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317 (54.6%)</w:t>
            </w:r>
          </w:p>
        </w:tc>
        <w:tc>
          <w:tcPr>
            <w:tcW w:w="1872" w:type="dxa"/>
            <w:shd w:val="clear" w:color="auto" w:fill="auto"/>
            <w:noWrap/>
            <w:vAlign w:val="center"/>
            <w:hideMark/>
          </w:tcPr>
          <w:p w14:paraId="66664190"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307 (55.2)</w:t>
            </w:r>
          </w:p>
        </w:tc>
        <w:tc>
          <w:tcPr>
            <w:tcW w:w="1080" w:type="dxa"/>
            <w:shd w:val="clear" w:color="auto" w:fill="auto"/>
            <w:noWrap/>
            <w:vAlign w:val="center"/>
            <w:hideMark/>
          </w:tcPr>
          <w:p w14:paraId="7BEE127E"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127BA2BD" w14:textId="77777777" w:rsidTr="0083633D">
        <w:trPr>
          <w:trHeight w:val="288"/>
        </w:trPr>
        <w:tc>
          <w:tcPr>
            <w:tcW w:w="1680" w:type="dxa"/>
            <w:shd w:val="clear" w:color="auto" w:fill="auto"/>
            <w:noWrap/>
            <w:vAlign w:val="center"/>
            <w:hideMark/>
          </w:tcPr>
          <w:p w14:paraId="2E04A2C8"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T (%)</w:t>
            </w:r>
          </w:p>
        </w:tc>
        <w:tc>
          <w:tcPr>
            <w:tcW w:w="1080" w:type="dxa"/>
            <w:shd w:val="clear" w:color="auto" w:fill="auto"/>
            <w:noWrap/>
            <w:vAlign w:val="center"/>
            <w:hideMark/>
          </w:tcPr>
          <w:p w14:paraId="02E59F50"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T0</w:t>
            </w:r>
          </w:p>
        </w:tc>
        <w:tc>
          <w:tcPr>
            <w:tcW w:w="1884" w:type="dxa"/>
            <w:shd w:val="clear" w:color="auto" w:fill="auto"/>
            <w:noWrap/>
            <w:vAlign w:val="center"/>
            <w:hideMark/>
          </w:tcPr>
          <w:p w14:paraId="3E1D6C92"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 (0.2%)</w:t>
            </w:r>
          </w:p>
        </w:tc>
        <w:tc>
          <w:tcPr>
            <w:tcW w:w="1872" w:type="dxa"/>
            <w:shd w:val="clear" w:color="auto" w:fill="auto"/>
            <w:noWrap/>
            <w:vAlign w:val="center"/>
            <w:hideMark/>
          </w:tcPr>
          <w:p w14:paraId="09DAF2D7"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4 (0.7%)</w:t>
            </w:r>
          </w:p>
        </w:tc>
        <w:tc>
          <w:tcPr>
            <w:tcW w:w="1080" w:type="dxa"/>
            <w:shd w:val="clear" w:color="auto" w:fill="auto"/>
            <w:noWrap/>
            <w:vAlign w:val="center"/>
            <w:hideMark/>
          </w:tcPr>
          <w:p w14:paraId="2FA2C566"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&lt;0.001</w:t>
            </w:r>
          </w:p>
        </w:tc>
      </w:tr>
      <w:tr w:rsidR="0071327B" w:rsidRPr="00FD2B14" w14:paraId="547AC650" w14:textId="77777777" w:rsidTr="0083633D">
        <w:trPr>
          <w:trHeight w:val="288"/>
        </w:trPr>
        <w:tc>
          <w:tcPr>
            <w:tcW w:w="1680" w:type="dxa"/>
            <w:shd w:val="clear" w:color="auto" w:fill="auto"/>
            <w:noWrap/>
            <w:vAlign w:val="center"/>
            <w:hideMark/>
          </w:tcPr>
          <w:p w14:paraId="2C1EE77B" w14:textId="77777777" w:rsidR="0071327B" w:rsidRPr="00FD2B14" w:rsidRDefault="0071327B" w:rsidP="0071327B">
            <w:pPr>
              <w:widowControl/>
              <w:jc w:val="left"/>
              <w:rPr>
                <w:rFonts w:ascii="Times New Roman" w:hAnsi="Times New Roman"/>
                <w:color w:val="000000"/>
                <w:kern w:val="0"/>
                <w:sz w:val="24"/>
              </w:rPr>
            </w:pPr>
          </w:p>
        </w:tc>
        <w:tc>
          <w:tcPr>
            <w:tcW w:w="1080" w:type="dxa"/>
            <w:shd w:val="clear" w:color="auto" w:fill="auto"/>
            <w:noWrap/>
            <w:vAlign w:val="center"/>
            <w:hideMark/>
          </w:tcPr>
          <w:p w14:paraId="38A323B7"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T1</w:t>
            </w:r>
          </w:p>
        </w:tc>
        <w:tc>
          <w:tcPr>
            <w:tcW w:w="1884" w:type="dxa"/>
            <w:shd w:val="clear" w:color="auto" w:fill="auto"/>
            <w:noWrap/>
            <w:vAlign w:val="center"/>
            <w:hideMark/>
          </w:tcPr>
          <w:p w14:paraId="659DE8A3"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19 (3.3%)</w:t>
            </w:r>
          </w:p>
        </w:tc>
        <w:tc>
          <w:tcPr>
            <w:tcW w:w="1872" w:type="dxa"/>
            <w:shd w:val="clear" w:color="auto" w:fill="auto"/>
            <w:noWrap/>
            <w:vAlign w:val="center"/>
            <w:hideMark/>
          </w:tcPr>
          <w:p w14:paraId="75F2A827"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11 (2.0%)</w:t>
            </w:r>
          </w:p>
        </w:tc>
        <w:tc>
          <w:tcPr>
            <w:tcW w:w="1080" w:type="dxa"/>
            <w:shd w:val="clear" w:color="auto" w:fill="auto"/>
            <w:noWrap/>
            <w:vAlign w:val="center"/>
            <w:hideMark/>
          </w:tcPr>
          <w:p w14:paraId="7929D26E"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57344590" w14:textId="77777777" w:rsidTr="0083633D">
        <w:trPr>
          <w:trHeight w:val="288"/>
        </w:trPr>
        <w:tc>
          <w:tcPr>
            <w:tcW w:w="1680" w:type="dxa"/>
            <w:shd w:val="clear" w:color="auto" w:fill="auto"/>
            <w:noWrap/>
            <w:vAlign w:val="center"/>
            <w:hideMark/>
          </w:tcPr>
          <w:p w14:paraId="0516CAC0"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566CD980"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T2</w:t>
            </w:r>
          </w:p>
        </w:tc>
        <w:tc>
          <w:tcPr>
            <w:tcW w:w="1884" w:type="dxa"/>
            <w:shd w:val="clear" w:color="auto" w:fill="auto"/>
            <w:noWrap/>
            <w:vAlign w:val="center"/>
            <w:hideMark/>
          </w:tcPr>
          <w:p w14:paraId="28E0F4B8"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103 (17.7%)</w:t>
            </w:r>
          </w:p>
        </w:tc>
        <w:tc>
          <w:tcPr>
            <w:tcW w:w="1872" w:type="dxa"/>
            <w:shd w:val="clear" w:color="auto" w:fill="auto"/>
            <w:noWrap/>
            <w:vAlign w:val="center"/>
            <w:hideMark/>
          </w:tcPr>
          <w:p w14:paraId="5918FBED"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44 (7.9%)</w:t>
            </w:r>
          </w:p>
        </w:tc>
        <w:tc>
          <w:tcPr>
            <w:tcW w:w="1080" w:type="dxa"/>
            <w:shd w:val="clear" w:color="auto" w:fill="auto"/>
            <w:noWrap/>
            <w:vAlign w:val="center"/>
            <w:hideMark/>
          </w:tcPr>
          <w:p w14:paraId="2E859F12"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3E34447C" w14:textId="77777777" w:rsidTr="0083633D">
        <w:trPr>
          <w:trHeight w:val="288"/>
        </w:trPr>
        <w:tc>
          <w:tcPr>
            <w:tcW w:w="1680" w:type="dxa"/>
            <w:shd w:val="clear" w:color="auto" w:fill="auto"/>
            <w:noWrap/>
            <w:vAlign w:val="center"/>
            <w:hideMark/>
          </w:tcPr>
          <w:p w14:paraId="0B5D7EDB"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1CD84D5C"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T3</w:t>
            </w:r>
          </w:p>
        </w:tc>
        <w:tc>
          <w:tcPr>
            <w:tcW w:w="1884" w:type="dxa"/>
            <w:shd w:val="clear" w:color="auto" w:fill="auto"/>
            <w:noWrap/>
            <w:vAlign w:val="center"/>
            <w:hideMark/>
          </w:tcPr>
          <w:p w14:paraId="311C85EF"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395 (68.0%)</w:t>
            </w:r>
          </w:p>
        </w:tc>
        <w:tc>
          <w:tcPr>
            <w:tcW w:w="1872" w:type="dxa"/>
            <w:shd w:val="clear" w:color="auto" w:fill="auto"/>
            <w:noWrap/>
            <w:vAlign w:val="center"/>
            <w:hideMark/>
          </w:tcPr>
          <w:p w14:paraId="2E4AEE8D"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360 (64.7%)</w:t>
            </w:r>
          </w:p>
        </w:tc>
        <w:tc>
          <w:tcPr>
            <w:tcW w:w="1080" w:type="dxa"/>
            <w:shd w:val="clear" w:color="auto" w:fill="auto"/>
            <w:noWrap/>
            <w:vAlign w:val="center"/>
            <w:hideMark/>
          </w:tcPr>
          <w:p w14:paraId="0BAE7111"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3C237AB9" w14:textId="77777777" w:rsidTr="0083633D">
        <w:trPr>
          <w:trHeight w:val="288"/>
        </w:trPr>
        <w:tc>
          <w:tcPr>
            <w:tcW w:w="1680" w:type="dxa"/>
            <w:shd w:val="clear" w:color="auto" w:fill="auto"/>
            <w:noWrap/>
            <w:vAlign w:val="center"/>
            <w:hideMark/>
          </w:tcPr>
          <w:p w14:paraId="7634226F"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4919F0EA"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T4</w:t>
            </w:r>
          </w:p>
        </w:tc>
        <w:tc>
          <w:tcPr>
            <w:tcW w:w="1884" w:type="dxa"/>
            <w:shd w:val="clear" w:color="auto" w:fill="auto"/>
            <w:noWrap/>
            <w:vAlign w:val="center"/>
            <w:hideMark/>
          </w:tcPr>
          <w:p w14:paraId="033C0CC4"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62 (10.7%)</w:t>
            </w:r>
          </w:p>
        </w:tc>
        <w:tc>
          <w:tcPr>
            <w:tcW w:w="1872" w:type="dxa"/>
            <w:shd w:val="clear" w:color="auto" w:fill="auto"/>
            <w:noWrap/>
            <w:vAlign w:val="center"/>
            <w:hideMark/>
          </w:tcPr>
          <w:p w14:paraId="31C260D1"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117 (21.0%)</w:t>
            </w:r>
          </w:p>
        </w:tc>
        <w:tc>
          <w:tcPr>
            <w:tcW w:w="1080" w:type="dxa"/>
            <w:shd w:val="clear" w:color="auto" w:fill="auto"/>
            <w:noWrap/>
            <w:vAlign w:val="center"/>
            <w:hideMark/>
          </w:tcPr>
          <w:p w14:paraId="090912D0"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51F38EAC" w14:textId="77777777" w:rsidTr="0083633D">
        <w:trPr>
          <w:trHeight w:val="288"/>
        </w:trPr>
        <w:tc>
          <w:tcPr>
            <w:tcW w:w="1680" w:type="dxa"/>
            <w:shd w:val="clear" w:color="auto" w:fill="auto"/>
            <w:noWrap/>
            <w:vAlign w:val="center"/>
            <w:hideMark/>
          </w:tcPr>
          <w:p w14:paraId="3827D7C9"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6B8E05EB"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N/A</w:t>
            </w:r>
          </w:p>
        </w:tc>
        <w:tc>
          <w:tcPr>
            <w:tcW w:w="1884" w:type="dxa"/>
            <w:shd w:val="clear" w:color="auto" w:fill="auto"/>
            <w:noWrap/>
            <w:vAlign w:val="center"/>
            <w:hideMark/>
          </w:tcPr>
          <w:p w14:paraId="428608A6"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 (0.2%)</w:t>
            </w:r>
          </w:p>
        </w:tc>
        <w:tc>
          <w:tcPr>
            <w:tcW w:w="1872" w:type="dxa"/>
            <w:shd w:val="clear" w:color="auto" w:fill="auto"/>
            <w:noWrap/>
            <w:vAlign w:val="center"/>
            <w:hideMark/>
          </w:tcPr>
          <w:p w14:paraId="2B06A0F2"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20 (3.6%)</w:t>
            </w:r>
          </w:p>
        </w:tc>
        <w:tc>
          <w:tcPr>
            <w:tcW w:w="1080" w:type="dxa"/>
            <w:shd w:val="clear" w:color="auto" w:fill="auto"/>
            <w:noWrap/>
            <w:vAlign w:val="center"/>
            <w:hideMark/>
          </w:tcPr>
          <w:p w14:paraId="3859392F"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6A1498ED" w14:textId="77777777" w:rsidTr="0083633D">
        <w:trPr>
          <w:trHeight w:val="288"/>
        </w:trPr>
        <w:tc>
          <w:tcPr>
            <w:tcW w:w="1680" w:type="dxa"/>
            <w:shd w:val="clear" w:color="auto" w:fill="auto"/>
            <w:noWrap/>
            <w:vAlign w:val="center"/>
            <w:hideMark/>
          </w:tcPr>
          <w:p w14:paraId="07B54B15"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 (%)</w:t>
            </w:r>
          </w:p>
        </w:tc>
        <w:tc>
          <w:tcPr>
            <w:tcW w:w="1080" w:type="dxa"/>
            <w:shd w:val="clear" w:color="auto" w:fill="auto"/>
            <w:noWrap/>
            <w:vAlign w:val="center"/>
            <w:hideMark/>
          </w:tcPr>
          <w:p w14:paraId="510E1C00"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N0</w:t>
            </w:r>
          </w:p>
        </w:tc>
        <w:tc>
          <w:tcPr>
            <w:tcW w:w="1884" w:type="dxa"/>
            <w:shd w:val="clear" w:color="auto" w:fill="auto"/>
            <w:noWrap/>
            <w:vAlign w:val="center"/>
            <w:hideMark/>
          </w:tcPr>
          <w:p w14:paraId="25550EC2"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328 (56.5%)</w:t>
            </w:r>
          </w:p>
        </w:tc>
        <w:tc>
          <w:tcPr>
            <w:tcW w:w="1872" w:type="dxa"/>
            <w:shd w:val="clear" w:color="auto" w:fill="auto"/>
            <w:noWrap/>
            <w:vAlign w:val="center"/>
            <w:hideMark/>
          </w:tcPr>
          <w:p w14:paraId="4B23EB63"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295 (53.1%)</w:t>
            </w:r>
          </w:p>
        </w:tc>
        <w:tc>
          <w:tcPr>
            <w:tcW w:w="1080" w:type="dxa"/>
            <w:shd w:val="clear" w:color="auto" w:fill="auto"/>
            <w:noWrap/>
            <w:vAlign w:val="center"/>
            <w:hideMark/>
          </w:tcPr>
          <w:p w14:paraId="3C0A16AC"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&lt;0.001</w:t>
            </w:r>
          </w:p>
        </w:tc>
      </w:tr>
      <w:tr w:rsidR="0071327B" w:rsidRPr="00FD2B14" w14:paraId="0FC5C31B" w14:textId="77777777" w:rsidTr="0083633D">
        <w:trPr>
          <w:trHeight w:val="288"/>
        </w:trPr>
        <w:tc>
          <w:tcPr>
            <w:tcW w:w="1680" w:type="dxa"/>
            <w:shd w:val="clear" w:color="auto" w:fill="auto"/>
            <w:noWrap/>
            <w:vAlign w:val="center"/>
            <w:hideMark/>
          </w:tcPr>
          <w:p w14:paraId="333BB123" w14:textId="77777777" w:rsidR="0071327B" w:rsidRPr="00FD2B14" w:rsidRDefault="0071327B" w:rsidP="0071327B">
            <w:pPr>
              <w:widowControl/>
              <w:jc w:val="left"/>
              <w:rPr>
                <w:rFonts w:ascii="Times New Roman" w:hAnsi="Times New Roman"/>
                <w:color w:val="000000"/>
                <w:kern w:val="0"/>
                <w:sz w:val="24"/>
              </w:rPr>
            </w:pPr>
          </w:p>
        </w:tc>
        <w:tc>
          <w:tcPr>
            <w:tcW w:w="1080" w:type="dxa"/>
            <w:shd w:val="clear" w:color="auto" w:fill="auto"/>
            <w:noWrap/>
            <w:vAlign w:val="center"/>
            <w:hideMark/>
          </w:tcPr>
          <w:p w14:paraId="14075AEB"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N1</w:t>
            </w:r>
          </w:p>
        </w:tc>
        <w:tc>
          <w:tcPr>
            <w:tcW w:w="1884" w:type="dxa"/>
            <w:shd w:val="clear" w:color="auto" w:fill="auto"/>
            <w:noWrap/>
            <w:vAlign w:val="center"/>
            <w:hideMark/>
          </w:tcPr>
          <w:p w14:paraId="79379C9E"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144 (24.8%)</w:t>
            </w:r>
          </w:p>
        </w:tc>
        <w:tc>
          <w:tcPr>
            <w:tcW w:w="1872" w:type="dxa"/>
            <w:shd w:val="clear" w:color="auto" w:fill="auto"/>
            <w:noWrap/>
            <w:vAlign w:val="center"/>
            <w:hideMark/>
          </w:tcPr>
          <w:p w14:paraId="658062E4"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131 (23.6%)</w:t>
            </w:r>
          </w:p>
        </w:tc>
        <w:tc>
          <w:tcPr>
            <w:tcW w:w="1080" w:type="dxa"/>
            <w:shd w:val="clear" w:color="auto" w:fill="auto"/>
            <w:noWrap/>
            <w:vAlign w:val="center"/>
            <w:hideMark/>
          </w:tcPr>
          <w:p w14:paraId="095EAAA9"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73F60A20" w14:textId="77777777" w:rsidTr="0083633D">
        <w:trPr>
          <w:trHeight w:val="288"/>
        </w:trPr>
        <w:tc>
          <w:tcPr>
            <w:tcW w:w="1680" w:type="dxa"/>
            <w:shd w:val="clear" w:color="auto" w:fill="auto"/>
            <w:noWrap/>
            <w:vAlign w:val="center"/>
            <w:hideMark/>
          </w:tcPr>
          <w:p w14:paraId="30DA8EA5"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4B9F0D62"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N2</w:t>
            </w:r>
          </w:p>
        </w:tc>
        <w:tc>
          <w:tcPr>
            <w:tcW w:w="1884" w:type="dxa"/>
            <w:shd w:val="clear" w:color="auto" w:fill="auto"/>
            <w:noWrap/>
            <w:vAlign w:val="center"/>
            <w:hideMark/>
          </w:tcPr>
          <w:p w14:paraId="2FD14058"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106 (18.2%)</w:t>
            </w:r>
          </w:p>
        </w:tc>
        <w:tc>
          <w:tcPr>
            <w:tcW w:w="1872" w:type="dxa"/>
            <w:shd w:val="clear" w:color="auto" w:fill="auto"/>
            <w:noWrap/>
            <w:vAlign w:val="center"/>
            <w:hideMark/>
          </w:tcPr>
          <w:p w14:paraId="099E3E59"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98 (17.6%)</w:t>
            </w:r>
          </w:p>
        </w:tc>
        <w:tc>
          <w:tcPr>
            <w:tcW w:w="1080" w:type="dxa"/>
            <w:shd w:val="clear" w:color="auto" w:fill="auto"/>
            <w:noWrap/>
            <w:vAlign w:val="center"/>
            <w:hideMark/>
          </w:tcPr>
          <w:p w14:paraId="16CA8FA9"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39F337C8" w14:textId="77777777" w:rsidTr="0083633D">
        <w:trPr>
          <w:trHeight w:val="288"/>
        </w:trPr>
        <w:tc>
          <w:tcPr>
            <w:tcW w:w="1680" w:type="dxa"/>
            <w:shd w:val="clear" w:color="auto" w:fill="auto"/>
            <w:noWrap/>
            <w:vAlign w:val="center"/>
            <w:hideMark/>
          </w:tcPr>
          <w:p w14:paraId="40EF759F"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3D802250"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N3</w:t>
            </w:r>
          </w:p>
        </w:tc>
        <w:tc>
          <w:tcPr>
            <w:tcW w:w="1884" w:type="dxa"/>
            <w:shd w:val="clear" w:color="auto" w:fill="auto"/>
            <w:noWrap/>
            <w:vAlign w:val="center"/>
            <w:hideMark/>
          </w:tcPr>
          <w:p w14:paraId="77B130D3"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0 (0.0%)</w:t>
            </w:r>
          </w:p>
        </w:tc>
        <w:tc>
          <w:tcPr>
            <w:tcW w:w="1872" w:type="dxa"/>
            <w:shd w:val="clear" w:color="auto" w:fill="auto"/>
            <w:noWrap/>
            <w:vAlign w:val="center"/>
            <w:hideMark/>
          </w:tcPr>
          <w:p w14:paraId="63AAFFB8"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6 (1.1%)</w:t>
            </w:r>
          </w:p>
        </w:tc>
        <w:tc>
          <w:tcPr>
            <w:tcW w:w="1080" w:type="dxa"/>
            <w:shd w:val="clear" w:color="auto" w:fill="auto"/>
            <w:noWrap/>
            <w:vAlign w:val="center"/>
            <w:hideMark/>
          </w:tcPr>
          <w:p w14:paraId="3221136E"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2053A7CF" w14:textId="77777777" w:rsidTr="0083633D">
        <w:trPr>
          <w:trHeight w:val="288"/>
        </w:trPr>
        <w:tc>
          <w:tcPr>
            <w:tcW w:w="1680" w:type="dxa"/>
            <w:shd w:val="clear" w:color="auto" w:fill="auto"/>
            <w:noWrap/>
            <w:vAlign w:val="center"/>
            <w:hideMark/>
          </w:tcPr>
          <w:p w14:paraId="42AFBECF"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6B37EC27"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N/A</w:t>
            </w:r>
          </w:p>
        </w:tc>
        <w:tc>
          <w:tcPr>
            <w:tcW w:w="1884" w:type="dxa"/>
            <w:shd w:val="clear" w:color="auto" w:fill="auto"/>
            <w:noWrap/>
            <w:vAlign w:val="center"/>
            <w:hideMark/>
          </w:tcPr>
          <w:p w14:paraId="5B6B9604"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3 (0.5%)</w:t>
            </w:r>
          </w:p>
        </w:tc>
        <w:tc>
          <w:tcPr>
            <w:tcW w:w="1872" w:type="dxa"/>
            <w:shd w:val="clear" w:color="auto" w:fill="auto"/>
            <w:noWrap/>
            <w:vAlign w:val="center"/>
            <w:hideMark/>
          </w:tcPr>
          <w:p w14:paraId="49670F6A"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26 (4.7%)</w:t>
            </w:r>
          </w:p>
        </w:tc>
        <w:tc>
          <w:tcPr>
            <w:tcW w:w="1080" w:type="dxa"/>
            <w:shd w:val="clear" w:color="auto" w:fill="auto"/>
            <w:noWrap/>
            <w:vAlign w:val="center"/>
            <w:hideMark/>
          </w:tcPr>
          <w:p w14:paraId="11C727EF"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2D53A752" w14:textId="77777777" w:rsidTr="0083633D">
        <w:trPr>
          <w:trHeight w:val="288"/>
        </w:trPr>
        <w:tc>
          <w:tcPr>
            <w:tcW w:w="1680" w:type="dxa"/>
            <w:shd w:val="clear" w:color="auto" w:fill="auto"/>
            <w:noWrap/>
            <w:vAlign w:val="center"/>
            <w:hideMark/>
          </w:tcPr>
          <w:p w14:paraId="44597B94"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M (%)</w:t>
            </w:r>
          </w:p>
        </w:tc>
        <w:tc>
          <w:tcPr>
            <w:tcW w:w="1080" w:type="dxa"/>
            <w:shd w:val="clear" w:color="auto" w:fill="auto"/>
            <w:noWrap/>
            <w:vAlign w:val="center"/>
            <w:hideMark/>
          </w:tcPr>
          <w:p w14:paraId="37E6AC44"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M0</w:t>
            </w:r>
          </w:p>
        </w:tc>
        <w:tc>
          <w:tcPr>
            <w:tcW w:w="1884" w:type="dxa"/>
            <w:shd w:val="clear" w:color="auto" w:fill="auto"/>
            <w:noWrap/>
            <w:vAlign w:val="center"/>
            <w:hideMark/>
          </w:tcPr>
          <w:p w14:paraId="276B7BD4"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433 (74.5%)</w:t>
            </w:r>
          </w:p>
        </w:tc>
        <w:tc>
          <w:tcPr>
            <w:tcW w:w="1872" w:type="dxa"/>
            <w:shd w:val="clear" w:color="auto" w:fill="auto"/>
            <w:noWrap/>
            <w:vAlign w:val="center"/>
            <w:hideMark/>
          </w:tcPr>
          <w:p w14:paraId="617A46A9"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474 (85.3%)</w:t>
            </w:r>
          </w:p>
        </w:tc>
        <w:tc>
          <w:tcPr>
            <w:tcW w:w="1080" w:type="dxa"/>
            <w:shd w:val="clear" w:color="auto" w:fill="auto"/>
            <w:noWrap/>
            <w:vAlign w:val="center"/>
            <w:hideMark/>
          </w:tcPr>
          <w:p w14:paraId="2AF5A8A6"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&lt;0.001</w:t>
            </w:r>
          </w:p>
        </w:tc>
      </w:tr>
      <w:tr w:rsidR="0071327B" w:rsidRPr="00FD2B14" w14:paraId="643FA6C4" w14:textId="77777777" w:rsidTr="0083633D">
        <w:trPr>
          <w:trHeight w:val="288"/>
        </w:trPr>
        <w:tc>
          <w:tcPr>
            <w:tcW w:w="1680" w:type="dxa"/>
            <w:shd w:val="clear" w:color="auto" w:fill="auto"/>
            <w:noWrap/>
            <w:vAlign w:val="center"/>
            <w:hideMark/>
          </w:tcPr>
          <w:p w14:paraId="7D46C569" w14:textId="77777777" w:rsidR="0071327B" w:rsidRPr="00FD2B14" w:rsidRDefault="0071327B" w:rsidP="0071327B">
            <w:pPr>
              <w:widowControl/>
              <w:jc w:val="left"/>
              <w:rPr>
                <w:rFonts w:ascii="Times New Roman" w:hAnsi="Times New Roman"/>
                <w:color w:val="000000"/>
                <w:kern w:val="0"/>
                <w:sz w:val="24"/>
              </w:rPr>
            </w:pPr>
          </w:p>
        </w:tc>
        <w:tc>
          <w:tcPr>
            <w:tcW w:w="1080" w:type="dxa"/>
            <w:shd w:val="clear" w:color="auto" w:fill="auto"/>
            <w:noWrap/>
            <w:vAlign w:val="center"/>
            <w:hideMark/>
          </w:tcPr>
          <w:p w14:paraId="1F103812"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M1</w:t>
            </w:r>
          </w:p>
        </w:tc>
        <w:tc>
          <w:tcPr>
            <w:tcW w:w="1884" w:type="dxa"/>
            <w:shd w:val="clear" w:color="auto" w:fill="auto"/>
            <w:noWrap/>
            <w:vAlign w:val="center"/>
            <w:hideMark/>
          </w:tcPr>
          <w:p w14:paraId="4C43C5CF"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83 (14.3%)</w:t>
            </w:r>
          </w:p>
        </w:tc>
        <w:tc>
          <w:tcPr>
            <w:tcW w:w="1872" w:type="dxa"/>
            <w:shd w:val="clear" w:color="auto" w:fill="auto"/>
            <w:noWrap/>
            <w:vAlign w:val="center"/>
            <w:hideMark/>
          </w:tcPr>
          <w:p w14:paraId="5F0863AC"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60 (10.8%)</w:t>
            </w:r>
          </w:p>
        </w:tc>
        <w:tc>
          <w:tcPr>
            <w:tcW w:w="1080" w:type="dxa"/>
            <w:shd w:val="clear" w:color="auto" w:fill="auto"/>
            <w:noWrap/>
            <w:vAlign w:val="center"/>
            <w:hideMark/>
          </w:tcPr>
          <w:p w14:paraId="5FE4B6A4"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4D142E7A" w14:textId="77777777" w:rsidTr="0083633D">
        <w:trPr>
          <w:trHeight w:val="288"/>
        </w:trPr>
        <w:tc>
          <w:tcPr>
            <w:tcW w:w="1680" w:type="dxa"/>
            <w:shd w:val="clear" w:color="auto" w:fill="auto"/>
            <w:noWrap/>
            <w:vAlign w:val="center"/>
            <w:hideMark/>
          </w:tcPr>
          <w:p w14:paraId="78ED8A56"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4BE0FCFA"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N/A</w:t>
            </w:r>
          </w:p>
        </w:tc>
        <w:tc>
          <w:tcPr>
            <w:tcW w:w="1884" w:type="dxa"/>
            <w:shd w:val="clear" w:color="auto" w:fill="auto"/>
            <w:noWrap/>
            <w:vAlign w:val="center"/>
            <w:hideMark/>
          </w:tcPr>
          <w:p w14:paraId="1155E6DA"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65 (11.2%)</w:t>
            </w:r>
          </w:p>
        </w:tc>
        <w:tc>
          <w:tcPr>
            <w:tcW w:w="1872" w:type="dxa"/>
            <w:shd w:val="clear" w:color="auto" w:fill="auto"/>
            <w:noWrap/>
            <w:vAlign w:val="center"/>
            <w:hideMark/>
          </w:tcPr>
          <w:p w14:paraId="2785FF7B"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22 (4.0%)</w:t>
            </w:r>
          </w:p>
        </w:tc>
        <w:tc>
          <w:tcPr>
            <w:tcW w:w="1080" w:type="dxa"/>
            <w:shd w:val="clear" w:color="auto" w:fill="auto"/>
            <w:noWrap/>
            <w:vAlign w:val="center"/>
            <w:hideMark/>
          </w:tcPr>
          <w:p w14:paraId="5AA6D3B2"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47D70BDA" w14:textId="77777777" w:rsidTr="0083633D">
        <w:trPr>
          <w:trHeight w:val="288"/>
        </w:trPr>
        <w:tc>
          <w:tcPr>
            <w:tcW w:w="1680" w:type="dxa"/>
            <w:shd w:val="clear" w:color="auto" w:fill="auto"/>
            <w:noWrap/>
            <w:vAlign w:val="center"/>
            <w:hideMark/>
          </w:tcPr>
          <w:p w14:paraId="1A47DDDB"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stage (%)</w:t>
            </w:r>
          </w:p>
        </w:tc>
        <w:tc>
          <w:tcPr>
            <w:tcW w:w="1080" w:type="dxa"/>
            <w:shd w:val="clear" w:color="auto" w:fill="auto"/>
            <w:noWrap/>
            <w:vAlign w:val="center"/>
            <w:hideMark/>
          </w:tcPr>
          <w:p w14:paraId="5216E4BD" w14:textId="77777777" w:rsidR="0071327B" w:rsidRPr="00FD2B14" w:rsidRDefault="0071327B" w:rsidP="0071327B">
            <w:pPr>
              <w:widowControl/>
              <w:jc w:val="right"/>
              <w:rPr>
                <w:rFonts w:ascii="Times New Roman" w:hAnsi="Times New Roman"/>
                <w:color w:val="000000"/>
                <w:kern w:val="0"/>
                <w:sz w:val="24"/>
              </w:rPr>
            </w:pPr>
            <w:r w:rsidRPr="00FD2B14">
              <w:rPr>
                <w:rFonts w:ascii="Times New Roman" w:hAnsi="Times New Roman"/>
                <w:color w:val="000000"/>
                <w:kern w:val="0"/>
                <w:sz w:val="24"/>
              </w:rPr>
              <w:t>0</w:t>
            </w:r>
          </w:p>
        </w:tc>
        <w:tc>
          <w:tcPr>
            <w:tcW w:w="1884" w:type="dxa"/>
            <w:shd w:val="clear" w:color="auto" w:fill="auto"/>
            <w:noWrap/>
            <w:vAlign w:val="center"/>
            <w:hideMark/>
          </w:tcPr>
          <w:p w14:paraId="5351F9C1"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0 (0.0%)</w:t>
            </w:r>
          </w:p>
        </w:tc>
        <w:tc>
          <w:tcPr>
            <w:tcW w:w="1872" w:type="dxa"/>
            <w:shd w:val="clear" w:color="auto" w:fill="auto"/>
            <w:noWrap/>
            <w:vAlign w:val="center"/>
            <w:hideMark/>
          </w:tcPr>
          <w:p w14:paraId="0AE74BD1"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4 (0.7%)</w:t>
            </w:r>
          </w:p>
        </w:tc>
        <w:tc>
          <w:tcPr>
            <w:tcW w:w="1080" w:type="dxa"/>
            <w:shd w:val="clear" w:color="auto" w:fill="auto"/>
            <w:noWrap/>
            <w:vAlign w:val="center"/>
            <w:hideMark/>
          </w:tcPr>
          <w:p w14:paraId="66543736"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&lt;0.001</w:t>
            </w:r>
          </w:p>
        </w:tc>
      </w:tr>
      <w:tr w:rsidR="0071327B" w:rsidRPr="00FD2B14" w14:paraId="57B47021" w14:textId="77777777" w:rsidTr="0083633D">
        <w:trPr>
          <w:trHeight w:val="288"/>
        </w:trPr>
        <w:tc>
          <w:tcPr>
            <w:tcW w:w="1680" w:type="dxa"/>
            <w:shd w:val="clear" w:color="auto" w:fill="auto"/>
            <w:noWrap/>
            <w:vAlign w:val="center"/>
            <w:hideMark/>
          </w:tcPr>
          <w:p w14:paraId="1FEE7FFE" w14:textId="77777777" w:rsidR="0071327B" w:rsidRPr="00FD2B14" w:rsidRDefault="0071327B" w:rsidP="0071327B">
            <w:pPr>
              <w:widowControl/>
              <w:jc w:val="left"/>
              <w:rPr>
                <w:rFonts w:ascii="Times New Roman" w:hAnsi="Times New Roman"/>
                <w:color w:val="000000"/>
                <w:kern w:val="0"/>
                <w:sz w:val="24"/>
              </w:rPr>
            </w:pPr>
          </w:p>
        </w:tc>
        <w:tc>
          <w:tcPr>
            <w:tcW w:w="1080" w:type="dxa"/>
            <w:shd w:val="clear" w:color="auto" w:fill="auto"/>
            <w:noWrap/>
            <w:vAlign w:val="center"/>
            <w:hideMark/>
          </w:tcPr>
          <w:p w14:paraId="1BB0E5ED"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I</w:t>
            </w:r>
          </w:p>
        </w:tc>
        <w:tc>
          <w:tcPr>
            <w:tcW w:w="1884" w:type="dxa"/>
            <w:shd w:val="clear" w:color="auto" w:fill="auto"/>
            <w:noWrap/>
            <w:vAlign w:val="center"/>
            <w:hideMark/>
          </w:tcPr>
          <w:p w14:paraId="6C7186D8"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102 (17.6%)</w:t>
            </w:r>
          </w:p>
        </w:tc>
        <w:tc>
          <w:tcPr>
            <w:tcW w:w="1872" w:type="dxa"/>
            <w:shd w:val="clear" w:color="auto" w:fill="auto"/>
            <w:noWrap/>
            <w:vAlign w:val="center"/>
            <w:hideMark/>
          </w:tcPr>
          <w:p w14:paraId="5A4EECD3"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32 (5.8%)</w:t>
            </w:r>
          </w:p>
        </w:tc>
        <w:tc>
          <w:tcPr>
            <w:tcW w:w="1080" w:type="dxa"/>
            <w:shd w:val="clear" w:color="auto" w:fill="auto"/>
            <w:noWrap/>
            <w:vAlign w:val="center"/>
            <w:hideMark/>
          </w:tcPr>
          <w:p w14:paraId="20E04B46"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4C24B65D" w14:textId="77777777" w:rsidTr="0083633D">
        <w:trPr>
          <w:trHeight w:val="288"/>
        </w:trPr>
        <w:tc>
          <w:tcPr>
            <w:tcW w:w="1680" w:type="dxa"/>
            <w:shd w:val="clear" w:color="auto" w:fill="auto"/>
            <w:noWrap/>
            <w:vAlign w:val="center"/>
            <w:hideMark/>
          </w:tcPr>
          <w:p w14:paraId="403E8891"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3A09EFB4" w14:textId="1ACBC6D9"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II</w:t>
            </w:r>
          </w:p>
        </w:tc>
        <w:tc>
          <w:tcPr>
            <w:tcW w:w="1884" w:type="dxa"/>
            <w:shd w:val="clear" w:color="auto" w:fill="auto"/>
            <w:noWrap/>
            <w:vAlign w:val="center"/>
            <w:hideMark/>
          </w:tcPr>
          <w:p w14:paraId="2A3D9BBE"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207 (35.6%)</w:t>
            </w:r>
          </w:p>
        </w:tc>
        <w:tc>
          <w:tcPr>
            <w:tcW w:w="1872" w:type="dxa"/>
            <w:shd w:val="clear" w:color="auto" w:fill="auto"/>
            <w:noWrap/>
            <w:vAlign w:val="center"/>
            <w:hideMark/>
          </w:tcPr>
          <w:p w14:paraId="188C8937"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258 (46.4%)</w:t>
            </w:r>
          </w:p>
        </w:tc>
        <w:tc>
          <w:tcPr>
            <w:tcW w:w="1080" w:type="dxa"/>
            <w:shd w:val="clear" w:color="auto" w:fill="auto"/>
            <w:noWrap/>
            <w:vAlign w:val="center"/>
            <w:hideMark/>
          </w:tcPr>
          <w:p w14:paraId="6278B781"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4080B4ED" w14:textId="77777777" w:rsidTr="0083633D">
        <w:trPr>
          <w:trHeight w:val="288"/>
        </w:trPr>
        <w:tc>
          <w:tcPr>
            <w:tcW w:w="1680" w:type="dxa"/>
            <w:shd w:val="clear" w:color="auto" w:fill="auto"/>
            <w:noWrap/>
            <w:vAlign w:val="center"/>
            <w:hideMark/>
          </w:tcPr>
          <w:p w14:paraId="3774FA35"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1DAF96BA"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III</w:t>
            </w:r>
          </w:p>
        </w:tc>
        <w:tc>
          <w:tcPr>
            <w:tcW w:w="1884" w:type="dxa"/>
            <w:shd w:val="clear" w:color="auto" w:fill="auto"/>
            <w:noWrap/>
            <w:vAlign w:val="center"/>
            <w:hideMark/>
          </w:tcPr>
          <w:p w14:paraId="74361E61"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168 (28.9%)</w:t>
            </w:r>
          </w:p>
        </w:tc>
        <w:tc>
          <w:tcPr>
            <w:tcW w:w="1872" w:type="dxa"/>
            <w:shd w:val="clear" w:color="auto" w:fill="auto"/>
            <w:noWrap/>
            <w:vAlign w:val="center"/>
            <w:hideMark/>
          </w:tcPr>
          <w:p w14:paraId="5B387403"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203 (36.5%)</w:t>
            </w:r>
          </w:p>
        </w:tc>
        <w:tc>
          <w:tcPr>
            <w:tcW w:w="1080" w:type="dxa"/>
            <w:shd w:val="clear" w:color="auto" w:fill="auto"/>
            <w:noWrap/>
            <w:vAlign w:val="center"/>
            <w:hideMark/>
          </w:tcPr>
          <w:p w14:paraId="1FC76BD6"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2601B3E7" w14:textId="77777777" w:rsidTr="0083633D">
        <w:trPr>
          <w:trHeight w:val="288"/>
        </w:trPr>
        <w:tc>
          <w:tcPr>
            <w:tcW w:w="1680" w:type="dxa"/>
            <w:shd w:val="clear" w:color="auto" w:fill="auto"/>
            <w:noWrap/>
            <w:vAlign w:val="center"/>
            <w:hideMark/>
          </w:tcPr>
          <w:p w14:paraId="24A9CD2E"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21311276"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IV</w:t>
            </w:r>
          </w:p>
        </w:tc>
        <w:tc>
          <w:tcPr>
            <w:tcW w:w="1884" w:type="dxa"/>
            <w:shd w:val="clear" w:color="auto" w:fill="auto"/>
            <w:noWrap/>
            <w:vAlign w:val="center"/>
            <w:hideMark/>
          </w:tcPr>
          <w:p w14:paraId="729E0DE8"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84 (14.5%)</w:t>
            </w:r>
          </w:p>
        </w:tc>
        <w:tc>
          <w:tcPr>
            <w:tcW w:w="1872" w:type="dxa"/>
            <w:shd w:val="clear" w:color="auto" w:fill="auto"/>
            <w:noWrap/>
            <w:vAlign w:val="center"/>
            <w:hideMark/>
          </w:tcPr>
          <w:p w14:paraId="348883B4"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59 (10.6%)</w:t>
            </w:r>
          </w:p>
        </w:tc>
        <w:tc>
          <w:tcPr>
            <w:tcW w:w="1080" w:type="dxa"/>
            <w:shd w:val="clear" w:color="auto" w:fill="auto"/>
            <w:noWrap/>
            <w:vAlign w:val="center"/>
            <w:hideMark/>
          </w:tcPr>
          <w:p w14:paraId="74316522"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52E8B049" w14:textId="77777777" w:rsidTr="0083633D">
        <w:trPr>
          <w:trHeight w:val="288"/>
        </w:trPr>
        <w:tc>
          <w:tcPr>
            <w:tcW w:w="1680" w:type="dxa"/>
            <w:shd w:val="clear" w:color="auto" w:fill="auto"/>
            <w:noWrap/>
            <w:vAlign w:val="center"/>
            <w:hideMark/>
          </w:tcPr>
          <w:p w14:paraId="2A5F63C9" w14:textId="77777777" w:rsidR="0071327B" w:rsidRPr="00FD2B14" w:rsidRDefault="0071327B" w:rsidP="0071327B">
            <w:pPr>
              <w:widowControl/>
              <w:jc w:val="left"/>
              <w:rPr>
                <w:rFonts w:ascii="Times New Roman" w:eastAsia="Times New Roman" w:hAnsi="Times New Roman"/>
                <w:kern w:val="0"/>
                <w:sz w:val="24"/>
              </w:rPr>
            </w:pPr>
          </w:p>
        </w:tc>
        <w:tc>
          <w:tcPr>
            <w:tcW w:w="1080" w:type="dxa"/>
            <w:shd w:val="clear" w:color="auto" w:fill="auto"/>
            <w:noWrap/>
            <w:vAlign w:val="center"/>
            <w:hideMark/>
          </w:tcPr>
          <w:p w14:paraId="2883D8B5"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N/A</w:t>
            </w:r>
          </w:p>
        </w:tc>
        <w:tc>
          <w:tcPr>
            <w:tcW w:w="1884" w:type="dxa"/>
            <w:shd w:val="clear" w:color="auto" w:fill="auto"/>
            <w:noWrap/>
            <w:vAlign w:val="center"/>
            <w:hideMark/>
          </w:tcPr>
          <w:p w14:paraId="651D648E"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20 (3.4%)</w:t>
            </w:r>
          </w:p>
        </w:tc>
        <w:tc>
          <w:tcPr>
            <w:tcW w:w="1872" w:type="dxa"/>
            <w:shd w:val="clear" w:color="auto" w:fill="auto"/>
            <w:noWrap/>
            <w:vAlign w:val="center"/>
            <w:hideMark/>
          </w:tcPr>
          <w:p w14:paraId="33A77C65"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0 (0.0%)</w:t>
            </w:r>
          </w:p>
        </w:tc>
        <w:tc>
          <w:tcPr>
            <w:tcW w:w="1080" w:type="dxa"/>
            <w:shd w:val="clear" w:color="auto" w:fill="auto"/>
            <w:noWrap/>
            <w:vAlign w:val="center"/>
            <w:hideMark/>
          </w:tcPr>
          <w:p w14:paraId="3B5BFC3E" w14:textId="77777777" w:rsidR="0071327B" w:rsidRPr="00FD2B14" w:rsidRDefault="0071327B" w:rsidP="0071327B">
            <w:pPr>
              <w:widowControl/>
              <w:jc w:val="left"/>
              <w:rPr>
                <w:rFonts w:ascii="Times New Roman" w:hAnsi="Times New Roman"/>
                <w:color w:val="000000"/>
                <w:kern w:val="0"/>
                <w:sz w:val="24"/>
              </w:rPr>
            </w:pPr>
          </w:p>
        </w:tc>
      </w:tr>
      <w:tr w:rsidR="0071327B" w:rsidRPr="00FD2B14" w14:paraId="1519D0EB" w14:textId="77777777" w:rsidTr="0083633D">
        <w:trPr>
          <w:trHeight w:val="288"/>
        </w:trPr>
        <w:tc>
          <w:tcPr>
            <w:tcW w:w="1680" w:type="dxa"/>
            <w:shd w:val="clear" w:color="auto" w:fill="auto"/>
            <w:noWrap/>
            <w:vAlign w:val="center"/>
            <w:hideMark/>
          </w:tcPr>
          <w:p w14:paraId="43BFD196"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status (%)</w:t>
            </w:r>
          </w:p>
        </w:tc>
        <w:tc>
          <w:tcPr>
            <w:tcW w:w="1080" w:type="dxa"/>
            <w:shd w:val="clear" w:color="auto" w:fill="auto"/>
            <w:noWrap/>
            <w:vAlign w:val="center"/>
            <w:hideMark/>
          </w:tcPr>
          <w:p w14:paraId="30D84501"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Alive</w:t>
            </w:r>
          </w:p>
        </w:tc>
        <w:tc>
          <w:tcPr>
            <w:tcW w:w="1884" w:type="dxa"/>
            <w:shd w:val="clear" w:color="auto" w:fill="auto"/>
            <w:noWrap/>
            <w:vAlign w:val="center"/>
            <w:hideMark/>
          </w:tcPr>
          <w:p w14:paraId="73DC0536"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462 (79.5%)</w:t>
            </w:r>
          </w:p>
        </w:tc>
        <w:tc>
          <w:tcPr>
            <w:tcW w:w="1872" w:type="dxa"/>
            <w:shd w:val="clear" w:color="auto" w:fill="auto"/>
            <w:noWrap/>
            <w:vAlign w:val="center"/>
            <w:hideMark/>
          </w:tcPr>
          <w:p w14:paraId="5AC0DE41"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369 (66.4%)</w:t>
            </w:r>
          </w:p>
        </w:tc>
        <w:tc>
          <w:tcPr>
            <w:tcW w:w="1080" w:type="dxa"/>
            <w:shd w:val="clear" w:color="auto" w:fill="auto"/>
            <w:noWrap/>
            <w:vAlign w:val="center"/>
            <w:hideMark/>
          </w:tcPr>
          <w:p w14:paraId="341B4459"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&lt;0.001</w:t>
            </w:r>
          </w:p>
        </w:tc>
      </w:tr>
      <w:tr w:rsidR="0071327B" w:rsidRPr="00FD2B14" w14:paraId="4FC528D9" w14:textId="77777777" w:rsidTr="0083633D">
        <w:trPr>
          <w:trHeight w:val="288"/>
        </w:trPr>
        <w:tc>
          <w:tcPr>
            <w:tcW w:w="1680" w:type="dxa"/>
            <w:shd w:val="clear" w:color="auto" w:fill="auto"/>
            <w:noWrap/>
            <w:vAlign w:val="center"/>
            <w:hideMark/>
          </w:tcPr>
          <w:p w14:paraId="1A707EE5" w14:textId="77777777" w:rsidR="0071327B" w:rsidRPr="00FD2B14" w:rsidRDefault="0071327B" w:rsidP="0071327B">
            <w:pPr>
              <w:widowControl/>
              <w:jc w:val="left"/>
              <w:rPr>
                <w:rFonts w:ascii="Times New Roman" w:hAnsi="Times New Roman"/>
                <w:color w:val="000000"/>
                <w:kern w:val="0"/>
                <w:sz w:val="24"/>
              </w:rPr>
            </w:pPr>
          </w:p>
        </w:tc>
        <w:tc>
          <w:tcPr>
            <w:tcW w:w="1080" w:type="dxa"/>
            <w:shd w:val="clear" w:color="auto" w:fill="auto"/>
            <w:noWrap/>
            <w:vAlign w:val="center"/>
            <w:hideMark/>
          </w:tcPr>
          <w:p w14:paraId="68C0E185"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Dead</w:t>
            </w:r>
          </w:p>
        </w:tc>
        <w:tc>
          <w:tcPr>
            <w:tcW w:w="1884" w:type="dxa"/>
            <w:shd w:val="clear" w:color="auto" w:fill="auto"/>
            <w:noWrap/>
            <w:vAlign w:val="center"/>
            <w:hideMark/>
          </w:tcPr>
          <w:p w14:paraId="4A988C59"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119 (20.5%)</w:t>
            </w:r>
          </w:p>
        </w:tc>
        <w:tc>
          <w:tcPr>
            <w:tcW w:w="1872" w:type="dxa"/>
            <w:shd w:val="clear" w:color="auto" w:fill="auto"/>
            <w:noWrap/>
            <w:vAlign w:val="center"/>
            <w:hideMark/>
          </w:tcPr>
          <w:p w14:paraId="594D14C9" w14:textId="77777777" w:rsidR="0071327B" w:rsidRPr="00FD2B14" w:rsidRDefault="0071327B" w:rsidP="0071327B">
            <w:pPr>
              <w:widowControl/>
              <w:jc w:val="left"/>
              <w:rPr>
                <w:rFonts w:ascii="Times New Roman" w:hAnsi="Times New Roman"/>
                <w:color w:val="000000"/>
                <w:kern w:val="0"/>
                <w:sz w:val="24"/>
              </w:rPr>
            </w:pPr>
            <w:r w:rsidRPr="00FD2B14">
              <w:rPr>
                <w:rFonts w:ascii="Times New Roman" w:hAnsi="Times New Roman"/>
                <w:color w:val="000000"/>
                <w:kern w:val="0"/>
                <w:sz w:val="24"/>
              </w:rPr>
              <w:t>187 (33.6%)</w:t>
            </w:r>
          </w:p>
        </w:tc>
        <w:tc>
          <w:tcPr>
            <w:tcW w:w="1080" w:type="dxa"/>
            <w:shd w:val="clear" w:color="auto" w:fill="auto"/>
            <w:noWrap/>
            <w:vAlign w:val="center"/>
            <w:hideMark/>
          </w:tcPr>
          <w:p w14:paraId="7D2356C8" w14:textId="77777777" w:rsidR="0071327B" w:rsidRPr="00FD2B14" w:rsidRDefault="0071327B" w:rsidP="0071327B">
            <w:pPr>
              <w:widowControl/>
              <w:jc w:val="left"/>
              <w:rPr>
                <w:rFonts w:ascii="Times New Roman" w:hAnsi="Times New Roman"/>
                <w:color w:val="000000"/>
                <w:kern w:val="0"/>
                <w:sz w:val="24"/>
              </w:rPr>
            </w:pPr>
          </w:p>
        </w:tc>
      </w:tr>
    </w:tbl>
    <w:p w14:paraId="59BCDFC7" w14:textId="77777777" w:rsidR="0071327B" w:rsidRPr="0071327B" w:rsidRDefault="0071327B" w:rsidP="0071327B">
      <w:pPr>
        <w:rPr>
          <w:rFonts w:ascii="Times New Roman" w:hAnsi="Times New Roman"/>
          <w:sz w:val="24"/>
          <w:szCs w:val="28"/>
        </w:rPr>
      </w:pPr>
    </w:p>
    <w:p w14:paraId="063DA3C3" w14:textId="77777777" w:rsidR="0071327B" w:rsidRDefault="0071327B"/>
    <w:p w14:paraId="38EC3705" w14:textId="77777777" w:rsidR="0071327B" w:rsidRDefault="0071327B"/>
    <w:p w14:paraId="0FDF453D" w14:textId="77777777" w:rsidR="0071327B" w:rsidRPr="0039496C" w:rsidRDefault="0071327B"/>
    <w:sectPr w:rsidR="0071327B" w:rsidRPr="003949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C09FA" w14:textId="77777777" w:rsidR="002D265E" w:rsidRDefault="002D265E" w:rsidP="0039496C">
      <w:r>
        <w:separator/>
      </w:r>
    </w:p>
  </w:endnote>
  <w:endnote w:type="continuationSeparator" w:id="0">
    <w:p w14:paraId="4D23C060" w14:textId="77777777" w:rsidR="002D265E" w:rsidRDefault="002D265E" w:rsidP="0039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44816" w14:textId="77777777" w:rsidR="002D265E" w:rsidRDefault="002D265E" w:rsidP="0039496C">
      <w:r>
        <w:separator/>
      </w:r>
    </w:p>
  </w:footnote>
  <w:footnote w:type="continuationSeparator" w:id="0">
    <w:p w14:paraId="3C0DF546" w14:textId="77777777" w:rsidR="002D265E" w:rsidRDefault="002D265E" w:rsidP="00394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F3"/>
    <w:rsid w:val="000F7E6F"/>
    <w:rsid w:val="00191799"/>
    <w:rsid w:val="00265B36"/>
    <w:rsid w:val="002C5A2A"/>
    <w:rsid w:val="002D139A"/>
    <w:rsid w:val="002D265E"/>
    <w:rsid w:val="00351043"/>
    <w:rsid w:val="0039496C"/>
    <w:rsid w:val="004001A6"/>
    <w:rsid w:val="0050618E"/>
    <w:rsid w:val="00515C37"/>
    <w:rsid w:val="006419F5"/>
    <w:rsid w:val="0071327B"/>
    <w:rsid w:val="007602F3"/>
    <w:rsid w:val="00841A80"/>
    <w:rsid w:val="009D7C10"/>
    <w:rsid w:val="00A4118B"/>
    <w:rsid w:val="00B13577"/>
    <w:rsid w:val="00BC744E"/>
    <w:rsid w:val="00C54FAD"/>
    <w:rsid w:val="00CD63F1"/>
    <w:rsid w:val="00E52FA8"/>
    <w:rsid w:val="00E72F11"/>
    <w:rsid w:val="00FD2B14"/>
    <w:rsid w:val="00FE15E9"/>
    <w:rsid w:val="00FE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0344E"/>
  <w15:chartTrackingRefBased/>
  <w15:docId w15:val="{BEB0706A-821E-4C1D-8E1F-2D717EF3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96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96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96C"/>
    <w:rPr>
      <w:sz w:val="18"/>
      <w:szCs w:val="18"/>
    </w:rPr>
  </w:style>
  <w:style w:type="paragraph" w:styleId="a5">
    <w:name w:val="footer"/>
    <w:basedOn w:val="a"/>
    <w:link w:val="a6"/>
    <w:uiPriority w:val="99"/>
    <w:unhideWhenUsed/>
    <w:rsid w:val="0039496C"/>
    <w:pPr>
      <w:tabs>
        <w:tab w:val="center" w:pos="4153"/>
        <w:tab w:val="right" w:pos="8306"/>
      </w:tabs>
      <w:snapToGrid w:val="0"/>
      <w:jc w:val="left"/>
    </w:pPr>
    <w:rPr>
      <w:sz w:val="18"/>
      <w:szCs w:val="18"/>
    </w:rPr>
  </w:style>
  <w:style w:type="character" w:customStyle="1" w:styleId="a6">
    <w:name w:val="页脚 字符"/>
    <w:basedOn w:val="a0"/>
    <w:link w:val="a5"/>
    <w:uiPriority w:val="99"/>
    <w:rsid w:val="003949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麦麦提江</dc:creator>
  <cp:keywords/>
  <dc:description/>
  <cp:lastModifiedBy>麦麦提江</cp:lastModifiedBy>
  <cp:revision>11</cp:revision>
  <dcterms:created xsi:type="dcterms:W3CDTF">2024-02-09T14:16:00Z</dcterms:created>
  <dcterms:modified xsi:type="dcterms:W3CDTF">2024-07-08T17:07:00Z</dcterms:modified>
</cp:coreProperties>
</file>