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54AB">
      <w:pPr>
        <w:pStyle w:val="52"/>
        <w:rPr>
          <w:b w:val="0"/>
        </w:rPr>
      </w:pPr>
      <w:r>
        <w:t>Supplementary Material</w:t>
      </w:r>
    </w:p>
    <w:p w14:paraId="29026311">
      <w:pPr>
        <w:pStyle w:val="2"/>
      </w:pPr>
      <w:r>
        <w:t>Supplementary Data</w:t>
      </w:r>
    </w:p>
    <w:p w14:paraId="5E584EE8">
      <w:pPr>
        <w:pStyle w:val="2"/>
      </w:pPr>
      <w:r>
        <w:t>Supplementary Figures and Tables</w:t>
      </w:r>
    </w:p>
    <w:p w14:paraId="07970E94">
      <w:pPr>
        <w:pStyle w:val="4"/>
      </w:pPr>
      <w:r>
        <w:t xml:space="preserve">Supplementary </w:t>
      </w:r>
      <w:r>
        <w:rPr>
          <w:rFonts w:hint="eastAsia" w:eastAsia="宋体"/>
          <w:lang w:val="en-US" w:eastAsia="zh-CN"/>
        </w:rPr>
        <w:t>tables</w:t>
      </w:r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208"/>
        <w:gridCol w:w="2212"/>
        <w:gridCol w:w="2231"/>
        <w:gridCol w:w="223"/>
      </w:tblGrid>
      <w:tr w14:paraId="4756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0" w:hRule="atLeast"/>
          <w:jc w:val="center"/>
        </w:trPr>
        <w:tc>
          <w:tcPr>
            <w:tcW w:w="4889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E4DF9">
            <w:pPr>
              <w:keepNext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bookmarkStart w:id="0" w:name="OLE_LINK1"/>
            <w:r>
              <w:rPr>
                <w:rFonts w:cs="Times New Roman"/>
                <w:b/>
                <w:szCs w:val="24"/>
              </w:rPr>
              <w:t xml:space="preserve">Supplementary </w:t>
            </w:r>
            <w:r>
              <w:rPr>
                <w:rFonts w:hint="eastAsia" w:eastAsia="宋体" w:cs="Times New Roman"/>
                <w:b/>
                <w:szCs w:val="24"/>
                <w:lang w:val="en-US" w:eastAsia="zh-CN"/>
              </w:rPr>
              <w:t>table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fldChar w:fldCharType="begin"/>
            </w:r>
            <w:r>
              <w:rPr>
                <w:rFonts w:cs="Times New Roman"/>
                <w:b/>
                <w:szCs w:val="24"/>
              </w:rPr>
              <w:instrText xml:space="preserve"> SEQ Figure \* ARABIC </w:instrText>
            </w:r>
            <w:r>
              <w:rPr>
                <w:rFonts w:cs="Times New Roman"/>
                <w:b/>
                <w:szCs w:val="24"/>
              </w:rPr>
              <w:fldChar w:fldCharType="separate"/>
            </w:r>
            <w:r>
              <w:rPr>
                <w:rFonts w:cs="Times New Roman"/>
                <w:b/>
                <w:szCs w:val="24"/>
              </w:rPr>
              <w:t>1</w:t>
            </w:r>
            <w:r>
              <w:rPr>
                <w:rFonts w:cs="Times New Roman"/>
                <w:b/>
                <w:szCs w:val="24"/>
              </w:rPr>
              <w:fldChar w:fldCharType="end"/>
            </w:r>
            <w:bookmarkEnd w:id="0"/>
            <w:r>
              <w:rPr>
                <w:rFonts w:cs="Times New Roman"/>
                <w:b/>
                <w:szCs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</w:rPr>
              <w:t xml:space="preserve"> The associations between CBF in right Paracentral lobule and PSQI sleep component domains by Multinomial logistic regression model</w:t>
            </w:r>
          </w:p>
        </w:tc>
      </w:tr>
      <w:tr w14:paraId="1860D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7A25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10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869A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</w:rPr>
              <w:t>β</w:t>
            </w:r>
          </w:p>
        </w:tc>
        <w:tc>
          <w:tcPr>
            <w:tcW w:w="110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82D8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95% CI</w:t>
            </w:r>
          </w:p>
        </w:tc>
        <w:tc>
          <w:tcPr>
            <w:tcW w:w="111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409D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value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16D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14:paraId="68DC2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A88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Subjective sleep quality factor</w:t>
            </w:r>
          </w:p>
        </w:tc>
        <w:tc>
          <w:tcPr>
            <w:tcW w:w="110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21D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0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5DB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1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C3F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14:paraId="2BA41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D15C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18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17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ref.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15C6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C4A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4229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C9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1.027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0C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0.9446, 1.1166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A2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0.5323</w:t>
            </w:r>
          </w:p>
        </w:tc>
      </w:tr>
      <w:tr w14:paraId="66E66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C853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7D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1.0576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C1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0.9659, 1.1579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DF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0.2263</w:t>
            </w:r>
          </w:p>
        </w:tc>
      </w:tr>
      <w:tr w14:paraId="6F6A5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4E78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33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1.0108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8D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0.9169, 1.1142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3A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0.8293</w:t>
            </w:r>
          </w:p>
        </w:tc>
      </w:tr>
      <w:tr w14:paraId="00D4F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E6D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Sleep latency factor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C1F2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8C9F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9793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DB9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435C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7D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6E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ref.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C7F8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2F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E905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05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0.9939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94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0.8780, 1.1250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2A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0.9225</w:t>
            </w:r>
          </w:p>
        </w:tc>
      </w:tr>
      <w:tr w14:paraId="22C5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89B6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3C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1.0298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66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0.9148, 1.1592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2A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0.6268</w:t>
            </w:r>
          </w:p>
        </w:tc>
      </w:tr>
      <w:tr w14:paraId="697DC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5596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00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1.0449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2C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0.9241, 1.1814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FC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0.4835</w:t>
            </w:r>
          </w:p>
        </w:tc>
      </w:tr>
      <w:tr w14:paraId="2BB17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559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Sleep duration factor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0120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33F7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B7B3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C51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8113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EE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4B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ref.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3835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C8B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922F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A2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1.058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40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0.9850, 1.1364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2C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0.1219</w:t>
            </w:r>
          </w:p>
        </w:tc>
      </w:tr>
      <w:tr w14:paraId="7CDC4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0B55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98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1.0847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D8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0.9798, 1.2008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B6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0.1173</w:t>
            </w:r>
          </w:p>
        </w:tc>
      </w:tr>
      <w:tr w14:paraId="23742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F4EB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63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1.0516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93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0.9312, 1.1875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2B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0.4173</w:t>
            </w:r>
          </w:p>
        </w:tc>
      </w:tr>
      <w:tr w14:paraId="03C33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3E3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Habitual sleep efficiency factor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0A4B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00B7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FC26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0DC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4E84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69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31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ref.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93E2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40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6682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31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1.076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E9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0.9872, 1.1729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FA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0.0956</w:t>
            </w:r>
          </w:p>
        </w:tc>
      </w:tr>
      <w:tr w14:paraId="7FFDB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0B4D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10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0.9563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17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0.8485, 1.0780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5D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0.4648</w:t>
            </w:r>
          </w:p>
        </w:tc>
      </w:tr>
      <w:tr w14:paraId="12EC1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4E49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3B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1.1923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0C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1.0306, 1.3794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C9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0.018</w:t>
            </w:r>
          </w:p>
        </w:tc>
      </w:tr>
      <w:tr w14:paraId="6EBE8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651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Sleep disturbance factor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E43E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3D01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948D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774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B52A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04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F7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ref.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AC5C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34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8DD7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36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1.1221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00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0.9483, 1.3276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89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0.1796</w:t>
            </w:r>
          </w:p>
        </w:tc>
      </w:tr>
      <w:tr w14:paraId="1E451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835AE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DD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1.1098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E8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0.9324, 1.3210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29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0.2411</w:t>
            </w:r>
          </w:p>
        </w:tc>
      </w:tr>
      <w:tr w14:paraId="7F55F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7FD8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D0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1.075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13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0.8482, 1.3624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A6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0.5496</w:t>
            </w:r>
          </w:p>
        </w:tc>
      </w:tr>
      <w:tr w14:paraId="73122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CC6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Sleep medication factor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CBD5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F59B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CC99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B0E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F569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FB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35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ref.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C26A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0FE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EC34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AF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1.141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F3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0.9629, 1.3522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D4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0.1277</w:t>
            </w:r>
          </w:p>
        </w:tc>
      </w:tr>
      <w:tr w14:paraId="003CA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F782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6F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1.1438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A3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0.9634, 1.3579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55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0.1251</w:t>
            </w:r>
          </w:p>
        </w:tc>
      </w:tr>
      <w:tr w14:paraId="53DE7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E99E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85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1.0644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0B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0.9206, 1.2306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4B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0.3995</w:t>
            </w:r>
          </w:p>
        </w:tc>
      </w:tr>
      <w:tr w14:paraId="2A78D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11C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Daytime dysfunctions factor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BA7F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C467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FA2D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5CF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0310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8B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90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ref.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FEC1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CBE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20D6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A3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1.0347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D6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0.9307, 1.1503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79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0.5281</w:t>
            </w:r>
          </w:p>
        </w:tc>
      </w:tr>
      <w:tr w14:paraId="5B011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B36D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47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1.1117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1C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0.9906, 1.2475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06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0.0719</w:t>
            </w:r>
          </w:p>
        </w:tc>
      </w:tr>
      <w:tr w14:paraId="4E7B8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156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129AD5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ADC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1.1157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FC1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0.9896, 1.2580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3993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0.0736</w:t>
            </w:r>
          </w:p>
        </w:tc>
      </w:tr>
      <w:tr w14:paraId="435C7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pct"/>
          <w:trHeight w:val="288" w:hRule="atLeast"/>
          <w:jc w:val="center"/>
        </w:trPr>
        <w:tc>
          <w:tcPr>
            <w:tcW w:w="4889" w:type="pct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10AC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adjust for: Gender (male， female); Age; BMI; history of hypertension; history of hyperlipidemia; history of diabetes</w:t>
            </w:r>
          </w:p>
        </w:tc>
      </w:tr>
    </w:tbl>
    <w:p w14:paraId="5F95937C">
      <w:pPr>
        <w:keepNext/>
        <w:rPr>
          <w:rFonts w:cs="Times New Roman"/>
          <w:szCs w:val="24"/>
        </w:rPr>
      </w:pPr>
    </w:p>
    <w:p w14:paraId="7BF95CD5">
      <w:pPr>
        <w:keepNext/>
        <w:rPr>
          <w:rFonts w:hint="eastAsia" w:eastAsia="宋体" w:cs="Times New Roman"/>
          <w:szCs w:val="24"/>
          <w:lang w:val="en-US" w:eastAsia="zh-CN"/>
        </w:rPr>
      </w:pPr>
      <w:bookmarkStart w:id="2" w:name="_GoBack"/>
      <w:bookmarkEnd w:id="2"/>
    </w:p>
    <w:tbl>
      <w:tblPr>
        <w:tblStyle w:val="20"/>
        <w:tblW w:w="84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996"/>
        <w:gridCol w:w="996"/>
        <w:gridCol w:w="756"/>
        <w:gridCol w:w="996"/>
        <w:gridCol w:w="1026"/>
        <w:gridCol w:w="756"/>
        <w:gridCol w:w="996"/>
        <w:gridCol w:w="996"/>
        <w:gridCol w:w="756"/>
      </w:tblGrid>
      <w:tr w14:paraId="582A0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463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0E54B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bookmarkStart w:id="1" w:name="OLE_LINK25"/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Supplementary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table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宋体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. The CBF of ROIs in MMT patients with poor sleep quality (ml/100 g/min)</w:t>
            </w:r>
          </w:p>
        </w:tc>
      </w:tr>
      <w:tr w14:paraId="2837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255" w:type="dxa"/>
            <w:tcBorders>
              <w:top w:val="single" w:color="auto" w:sz="12" w:space="0"/>
              <w:left w:val="nil"/>
            </w:tcBorders>
            <w:shd w:val="clear" w:color="auto" w:fill="auto"/>
            <w:noWrap/>
            <w:vAlign w:val="center"/>
          </w:tcPr>
          <w:p w14:paraId="0A1D4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shd w:val="clear" w:color="auto" w:fill="auto"/>
            <w:noWrap/>
            <w:vAlign w:val="center"/>
          </w:tcPr>
          <w:p w14:paraId="52F10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2438" w:type="dxa"/>
            <w:gridSpan w:val="3"/>
            <w:shd w:val="clear" w:color="auto" w:fill="auto"/>
            <w:noWrap/>
            <w:vAlign w:val="center"/>
          </w:tcPr>
          <w:p w14:paraId="2F397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MMT</w:t>
            </w:r>
          </w:p>
        </w:tc>
        <w:tc>
          <w:tcPr>
            <w:tcW w:w="2367" w:type="dxa"/>
            <w:gridSpan w:val="3"/>
            <w:shd w:val="clear" w:color="auto" w:fill="auto"/>
            <w:noWrap/>
            <w:vAlign w:val="center"/>
          </w:tcPr>
          <w:p w14:paraId="7932C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MMT-W</w:t>
            </w:r>
          </w:p>
        </w:tc>
      </w:tr>
      <w:tr w14:paraId="2E332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255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6C5F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7C17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Poor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subjective sleep quality</w:t>
            </w:r>
          </w:p>
        </w:tc>
        <w:tc>
          <w:tcPr>
            <w:tcW w:w="534" w:type="dxa"/>
            <w:vMerge w:val="restart"/>
            <w:shd w:val="clear" w:color="auto" w:fill="auto"/>
            <w:noWrap/>
            <w:vAlign w:val="center"/>
          </w:tcPr>
          <w:p w14:paraId="00BE3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value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1BB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Poor subjective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sleep quality</w:t>
            </w:r>
          </w:p>
        </w:tc>
        <w:tc>
          <w:tcPr>
            <w:tcW w:w="506" w:type="dxa"/>
            <w:vMerge w:val="restart"/>
            <w:shd w:val="clear" w:color="auto" w:fill="auto"/>
            <w:noWrap/>
            <w:vAlign w:val="center"/>
          </w:tcPr>
          <w:p w14:paraId="36D99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value</w:t>
            </w:r>
          </w:p>
        </w:tc>
        <w:tc>
          <w:tcPr>
            <w:tcW w:w="1749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17CA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Poor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subjective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sleep quality</w:t>
            </w:r>
          </w:p>
        </w:tc>
        <w:tc>
          <w:tcPr>
            <w:tcW w:w="617" w:type="dxa"/>
            <w:vMerge w:val="restart"/>
            <w:shd w:val="clear" w:color="auto" w:fill="auto"/>
            <w:noWrap/>
            <w:vAlign w:val="center"/>
          </w:tcPr>
          <w:p w14:paraId="4C14F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value</w:t>
            </w:r>
          </w:p>
        </w:tc>
      </w:tr>
      <w:tr w14:paraId="3BDF3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255" w:type="dxa"/>
            <w:tcBorders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A286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40F8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8E84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Yes</w:t>
            </w:r>
          </w:p>
        </w:tc>
        <w:tc>
          <w:tcPr>
            <w:tcW w:w="534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2448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207D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No</w:t>
            </w:r>
          </w:p>
        </w:tc>
        <w:tc>
          <w:tcPr>
            <w:tcW w:w="10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276B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Yes</w:t>
            </w:r>
          </w:p>
        </w:tc>
        <w:tc>
          <w:tcPr>
            <w:tcW w:w="506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AA40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6E1D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No</w:t>
            </w:r>
          </w:p>
        </w:tc>
        <w:tc>
          <w:tcPr>
            <w:tcW w:w="9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4A48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Yes</w:t>
            </w:r>
          </w:p>
        </w:tc>
        <w:tc>
          <w:tcPr>
            <w:tcW w:w="617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9331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7FBD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BD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75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A2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24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8A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28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26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5D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38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76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8F07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DE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Paracentral lobule R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3A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50.3381 ± 8.6202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0E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56.7261 ± 10.1099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5A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C4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51.6374 ± 9.9393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47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57.4813 ± 8.8484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5A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0.148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47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49.8031 ± 8.2903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C0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56.1057 ± 11.1624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B9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0.044</w:t>
            </w:r>
          </w:p>
        </w:tc>
      </w:tr>
      <w:tr w14:paraId="466AC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823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Paracentral lobule L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12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53.1157 ± 7.7476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22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58.3887 ± 9.3599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B8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70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54.4890 ± 8.2816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0C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60.5673 ± 9.4335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ED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0.137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04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52.5503 ± 7.7074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9E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56.5991 ± 9.0754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EA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0.175</w:t>
            </w:r>
          </w:p>
        </w:tc>
      </w:tr>
      <w:tr w14:paraId="67192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29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Caudate nucleus R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D3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43.1575 ± 4.5440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D8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47.2147 ± 7.4724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A0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62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41.1087 ± 3.6394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D7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48.9168 ± 6.9910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DD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8D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44.0012 ± 4.7034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69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45.8165 ± 7.6865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01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0.386</w:t>
            </w:r>
          </w:p>
        </w:tc>
      </w:tr>
      <w:tr w14:paraId="7B002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310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Caudate nucleus L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54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41.7452 ± 5.1319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71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45.7662 ± 7.3065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1F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8F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40.4007 ± 3.5269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1C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47.6207 ± 6.1374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7F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D7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42.2987 ± 5.6637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4F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44.2430 ± 7.9267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15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0.349</w:t>
            </w:r>
          </w:p>
        </w:tc>
      </w:tr>
      <w:tr w14:paraId="53E54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404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Cerebelum_3 R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BB8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48.2891 ± 6.0461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E66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55.7535 ± 12.6686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E52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1AD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50.4382 ± 6.8391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EF5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54.6350 ± 8.6346</w:t>
            </w: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5DE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263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47.4042 ± 5.6707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3B2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56.6723 ± 15.3139</w:t>
            </w: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E45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0.026</w:t>
            </w:r>
          </w:p>
        </w:tc>
      </w:tr>
      <w:tr w14:paraId="6A62C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5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</w:tcPr>
          <w:p w14:paraId="1A90C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Cerebelum_3 L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648AC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51.7882 ± 7.8815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34615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57.3103 ± 11.6684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5516C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0.039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63CB2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52.6133 ± 10.3847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121C1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57.2684 ± 7.7851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6BC0B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160B4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51.4485 ± 6.9595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6CD85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57.3448 ± 14.2388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071E2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0.096</w:t>
            </w:r>
          </w:p>
        </w:tc>
      </w:tr>
      <w:tr w14:paraId="0015F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463" w:type="dxa"/>
            <w:gridSpan w:val="10"/>
            <w:tcBorders>
              <w:top w:val="single" w:color="auto" w:sz="12" w:space="0"/>
              <w:left w:val="nil"/>
              <w:right w:val="nil"/>
            </w:tcBorders>
            <w:shd w:val="clear" w:color="auto" w:fill="auto"/>
            <w:noWrap/>
          </w:tcPr>
          <w:p w14:paraId="0422B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perscript"/>
              </w:rPr>
              <w:t>MMT: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perscript"/>
              </w:rPr>
              <w:t>methadone maintenance treatment; MMT-W: methadone maintenance treatment withdrawal; R: right; L: left</w:t>
            </w:r>
          </w:p>
        </w:tc>
      </w:tr>
      <w:bookmarkEnd w:id="1"/>
    </w:tbl>
    <w:p w14:paraId="07E2F7D5">
      <w:pPr>
        <w:spacing w:before="240"/>
        <w:rPr>
          <w:rFonts w:hint="eastAsia" w:eastAsia="宋体"/>
          <w:lang w:eastAsia="zh-CN"/>
        </w:rPr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FF27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085E15E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B28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4D054D26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1EDB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1A5B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Mzc3MWQyYTFiNTg1ZWNhZjMzNzdhYWQ1NTNiYjk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286089F"/>
    <w:rsid w:val="1D686669"/>
    <w:rsid w:val="248B56C6"/>
    <w:rsid w:val="2B40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uiPriority w:val="99"/>
    <w:rPr>
      <w:vertAlign w:val="superscript"/>
    </w:rPr>
  </w:style>
  <w:style w:type="character" w:customStyle="1" w:styleId="31">
    <w:name w:val="Heading 1 Char"/>
    <w:basedOn w:val="22"/>
    <w:link w:val="2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customStyle="1" w:styleId="54">
    <w:name w:val="font11"/>
    <w:basedOn w:val="22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114314AF-3C36-4C2C-B599-40A76C6FFFC1}">
  <ds:schemaRefs/>
</ds:datastoreItem>
</file>

<file path=customXml/itemProps6.xml><?xml version="1.0" encoding="utf-8"?>
<ds:datastoreItem xmlns:ds="http://schemas.openxmlformats.org/officeDocument/2006/customXml" ds:itemID="{DFF441E3-103C-4487-877D-08CD22337C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4</Pages>
  <Words>125</Words>
  <Characters>695</Characters>
  <Lines>6</Lines>
  <Paragraphs>1</Paragraphs>
  <TotalTime>4</TotalTime>
  <ScaleCrop>false</ScaleCrop>
  <LinksUpToDate>false</LinksUpToDate>
  <CharactersWithSpaces>815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孙加学</cp:lastModifiedBy>
  <cp:lastPrinted>2013-10-03T12:51:00Z</cp:lastPrinted>
  <dcterms:modified xsi:type="dcterms:W3CDTF">2024-07-01T16:30:41Z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2052-12.1.0.17133</vt:lpwstr>
  </property>
  <property fmtid="{D5CDD505-2E9C-101B-9397-08002B2CF9AE}" pid="11" name="ICV">
    <vt:lpwstr>C1338F201C5B48838179665F8C3FF451_12</vt:lpwstr>
  </property>
</Properties>
</file>