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FB64" w14:textId="7FC2E820" w:rsidR="00B71EA2" w:rsidRPr="00B71EA2" w:rsidRDefault="00B71EA2" w:rsidP="0021039E">
      <w:pPr>
        <w:pStyle w:val="2"/>
        <w:tabs>
          <w:tab w:val="left" w:pos="332"/>
        </w:tabs>
        <w:spacing w:before="0"/>
        <w:ind w:left="0" w:firstLine="0"/>
        <w:jc w:val="center"/>
        <w:rPr>
          <w:rFonts w:eastAsiaTheme="minorEastAsia"/>
          <w:sz w:val="30"/>
          <w:szCs w:val="30"/>
          <w:lang w:eastAsia="zh-CN"/>
        </w:rPr>
      </w:pPr>
      <w:r>
        <w:rPr>
          <w:rFonts w:eastAsiaTheme="minorEastAsia" w:hint="eastAsia"/>
          <w:sz w:val="30"/>
          <w:szCs w:val="30"/>
          <w:lang w:eastAsia="zh-CN"/>
        </w:rPr>
        <w:t>S</w:t>
      </w:r>
      <w:r>
        <w:rPr>
          <w:rFonts w:eastAsiaTheme="minorEastAsia"/>
          <w:sz w:val="30"/>
          <w:szCs w:val="30"/>
          <w:lang w:eastAsia="zh-CN"/>
        </w:rPr>
        <w:t>upplementary Material</w:t>
      </w:r>
    </w:p>
    <w:p w14:paraId="24251C3F" w14:textId="6E5FEA75" w:rsidR="00B71EA2" w:rsidRPr="00C777FB" w:rsidRDefault="008D2442" w:rsidP="00B71EA2">
      <w:pPr>
        <w:pStyle w:val="2"/>
        <w:tabs>
          <w:tab w:val="left" w:pos="332"/>
        </w:tabs>
        <w:spacing w:before="0"/>
        <w:ind w:left="0" w:firstLine="0"/>
        <w:rPr>
          <w:rFonts w:eastAsiaTheme="minorEastAsia"/>
          <w:b w:val="0"/>
          <w:bCs w:val="0"/>
          <w:szCs w:val="24"/>
          <w:shd w:val="clear" w:color="auto" w:fill="FFFFFF"/>
          <w:lang w:eastAsia="zh-CN" w:bidi="ar-SA"/>
        </w:rPr>
      </w:pPr>
      <w:r w:rsidRPr="008D2442">
        <w:rPr>
          <w:sz w:val="30"/>
          <w:szCs w:val="30"/>
          <w:lang w:eastAsia="zh-CN"/>
        </w:rPr>
        <w:t xml:space="preserve">Case Report: Charcot-Marie-Tooth Disease Caused by a De Novo </w:t>
      </w:r>
      <w:r w:rsidRPr="00C773BD">
        <w:rPr>
          <w:i/>
          <w:sz w:val="30"/>
          <w:szCs w:val="30"/>
          <w:lang w:eastAsia="zh-CN"/>
        </w:rPr>
        <w:t>MORC2</w:t>
      </w:r>
      <w:r w:rsidRPr="008D2442">
        <w:rPr>
          <w:sz w:val="30"/>
          <w:szCs w:val="30"/>
          <w:lang w:eastAsia="zh-CN"/>
        </w:rPr>
        <w:t xml:space="preserve"> Gene Mutation-Novel Insights into Pathogenicity and Treatment</w:t>
      </w:r>
    </w:p>
    <w:p w14:paraId="0534C6B3" w14:textId="0229E89F" w:rsidR="009F4FF7" w:rsidRPr="00B71EA2" w:rsidRDefault="00B71EA2" w:rsidP="00F62496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b/>
        </w:rPr>
      </w:pPr>
      <w:r w:rsidRPr="00B71EA2">
        <w:rPr>
          <w:rFonts w:eastAsiaTheme="minorEastAsia"/>
          <w:b/>
        </w:rPr>
        <w:t xml:space="preserve">Supplementary </w:t>
      </w:r>
      <w:r w:rsidR="008D2442">
        <w:rPr>
          <w:rFonts w:eastAsiaTheme="minorEastAsia"/>
          <w:b/>
        </w:rPr>
        <w:t>Figures</w:t>
      </w:r>
    </w:p>
    <w:p w14:paraId="1CC51EDC" w14:textId="4F1F64A8" w:rsidR="008D2442" w:rsidRDefault="008D2442" w:rsidP="00F62496">
      <w:pPr>
        <w:spacing w:line="360" w:lineRule="auto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026562F7" wp14:editId="5F502FE4">
            <wp:extent cx="5274310" cy="16325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B51B" w14:textId="5AF16069" w:rsidR="00F62496" w:rsidRDefault="00C773BD" w:rsidP="00F62496">
      <w:pPr>
        <w:spacing w:line="360" w:lineRule="auto"/>
        <w:rPr>
          <w:rFonts w:eastAsiaTheme="minorEastAsia"/>
        </w:rPr>
      </w:pPr>
      <w:r w:rsidRPr="00C773BD">
        <w:rPr>
          <w:rFonts w:eastAsiaTheme="minorEastAsia"/>
          <w:b/>
        </w:rPr>
        <w:t>Supplementary Figure 1</w:t>
      </w:r>
      <w:r>
        <w:rPr>
          <w:rFonts w:eastAsiaTheme="minorEastAsia" w:hint="eastAsia"/>
        </w:rPr>
        <w:t>.</w:t>
      </w:r>
      <w:r>
        <w:rPr>
          <w:rFonts w:eastAsiaTheme="minorEastAsia"/>
        </w:rPr>
        <w:t xml:space="preserve"> </w:t>
      </w:r>
      <w:r w:rsidR="008D2442">
        <w:rPr>
          <w:rFonts w:eastAsiaTheme="minorEastAsia"/>
        </w:rPr>
        <w:t>The timeline of CMT disease progression.</w:t>
      </w:r>
    </w:p>
    <w:p w14:paraId="790C95D3" w14:textId="77777777" w:rsidR="009026DB" w:rsidRDefault="009026DB" w:rsidP="00F62496">
      <w:pPr>
        <w:spacing w:line="360" w:lineRule="auto"/>
        <w:rPr>
          <w:rFonts w:eastAsiaTheme="minorEastAsia"/>
        </w:rPr>
      </w:pPr>
    </w:p>
    <w:p w14:paraId="41CC8CF4" w14:textId="7265D29F" w:rsidR="00E455C3" w:rsidRDefault="00E455C3" w:rsidP="00C773BD">
      <w:pPr>
        <w:spacing w:line="360" w:lineRule="auto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inline distT="0" distB="0" distL="0" distR="0" wp14:anchorId="474E0C0E" wp14:editId="77601528">
            <wp:extent cx="5274310" cy="39916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ur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47144" w14:textId="6FB3E6F0" w:rsidR="00C773BD" w:rsidRDefault="00C773BD" w:rsidP="00C773BD">
      <w:pPr>
        <w:spacing w:line="360" w:lineRule="auto"/>
        <w:rPr>
          <w:rFonts w:eastAsiaTheme="minorEastAsia" w:cs="Times New Roman"/>
        </w:rPr>
      </w:pPr>
      <w:r w:rsidRPr="00C773BD">
        <w:rPr>
          <w:rFonts w:eastAsiaTheme="minorEastAsia"/>
          <w:b/>
        </w:rPr>
        <w:t xml:space="preserve">Supplementary Figure </w:t>
      </w:r>
      <w:r>
        <w:rPr>
          <w:rFonts w:eastAsiaTheme="minorEastAsia"/>
          <w:b/>
        </w:rPr>
        <w:t>2</w:t>
      </w:r>
      <w:r>
        <w:rPr>
          <w:rFonts w:eastAsiaTheme="minorEastAsia" w:hint="eastAsia"/>
        </w:rPr>
        <w:t>.</w:t>
      </w:r>
      <w:r>
        <w:rPr>
          <w:rFonts w:eastAsiaTheme="minorEastAsia"/>
        </w:rPr>
        <w:t xml:space="preserve"> </w:t>
      </w:r>
      <w:r w:rsidR="00822AA1">
        <w:rPr>
          <w:rFonts w:eastAsiaTheme="minorEastAsia"/>
        </w:rPr>
        <w:t>D</w:t>
      </w:r>
      <w:r w:rsidR="00822AA1" w:rsidRPr="00822AA1">
        <w:rPr>
          <w:rFonts w:eastAsiaTheme="minorEastAsia"/>
        </w:rPr>
        <w:t>ifferentially transcribed genes (DEGs) in iPSCs</w:t>
      </w:r>
      <w:r w:rsidR="00822AA1">
        <w:rPr>
          <w:rFonts w:eastAsiaTheme="minorEastAsia"/>
        </w:rPr>
        <w:t xml:space="preserve"> </w:t>
      </w:r>
      <w:r w:rsidR="00822AA1" w:rsidRPr="00822AA1">
        <w:rPr>
          <w:rFonts w:eastAsiaTheme="minorEastAsia"/>
        </w:rPr>
        <w:t>and MNPs</w:t>
      </w:r>
      <w:r w:rsidR="008565A2">
        <w:rPr>
          <w:rFonts w:eastAsiaTheme="minorEastAsia"/>
        </w:rPr>
        <w:t xml:space="preserve"> </w:t>
      </w:r>
      <w:r w:rsidR="00822AA1" w:rsidRPr="00822AA1">
        <w:rPr>
          <w:rFonts w:eastAsiaTheme="minorEastAsia"/>
        </w:rPr>
        <w:lastRenderedPageBreak/>
        <w:t xml:space="preserve">carrying the MORC2 </w:t>
      </w:r>
      <w:proofErr w:type="gramStart"/>
      <w:r w:rsidR="00822AA1" w:rsidRPr="00822AA1">
        <w:rPr>
          <w:rFonts w:eastAsiaTheme="minorEastAsia"/>
        </w:rPr>
        <w:t>p.Q</w:t>
      </w:r>
      <w:proofErr w:type="gramEnd"/>
      <w:r w:rsidR="00822AA1" w:rsidRPr="00822AA1">
        <w:rPr>
          <w:rFonts w:eastAsiaTheme="minorEastAsia"/>
        </w:rPr>
        <w:t>400R</w:t>
      </w:r>
      <w:r>
        <w:rPr>
          <w:rFonts w:eastAsiaTheme="minorEastAsia"/>
        </w:rPr>
        <w:t>.</w:t>
      </w:r>
      <w:r w:rsidR="00822AA1">
        <w:rPr>
          <w:rFonts w:eastAsiaTheme="minorEastAsia"/>
        </w:rPr>
        <w:t xml:space="preserve"> The transcriptomic data are acquired from the published literature </w:t>
      </w:r>
      <w:r w:rsidR="00822AA1" w:rsidRPr="007E4FE8">
        <w:rPr>
          <w:rFonts w:eastAsiaTheme="minorEastAsia"/>
          <w:i/>
        </w:rPr>
        <w:t>Zeng S, et al</w:t>
      </w:r>
      <w:r w:rsidR="00822AA1">
        <w:rPr>
          <w:rFonts w:eastAsiaTheme="minorEastAsia"/>
        </w:rPr>
        <w:t xml:space="preserve"> </w:t>
      </w:r>
      <w:r w:rsidR="00822AA1">
        <w:rPr>
          <w:rFonts w:eastAsiaTheme="minorEastAsia"/>
        </w:rPr>
        <w:fldChar w:fldCharType="begin">
          <w:fldData xml:space="preserve">PEVuZE5vdGU+PENpdGU+PEF1dGhvcj5aZW5nPC9BdXRob3I+PFllYXI+MjAyNDwvWWVhcj48UmVj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==
</w:fldData>
        </w:fldChar>
      </w:r>
      <w:r w:rsidR="00822AA1">
        <w:rPr>
          <w:rFonts w:eastAsiaTheme="minorEastAsia"/>
        </w:rPr>
        <w:instrText xml:space="preserve"> ADDIN EN.CITE </w:instrText>
      </w:r>
      <w:r w:rsidR="00822AA1">
        <w:rPr>
          <w:rFonts w:eastAsiaTheme="minorEastAsia"/>
        </w:rPr>
        <w:fldChar w:fldCharType="begin">
          <w:fldData xml:space="preserve">PEVuZE5vdGU+PENpdGU+PEF1dGhvcj5aZW5nPC9BdXRob3I+PFllYXI+MjAyNDwvWWVhcj48UmVj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==
</w:fldData>
        </w:fldChar>
      </w:r>
      <w:r w:rsidR="00822AA1">
        <w:rPr>
          <w:rFonts w:eastAsiaTheme="minorEastAsia"/>
        </w:rPr>
        <w:instrText xml:space="preserve"> ADDIN EN.CITE.DATA </w:instrText>
      </w:r>
      <w:r w:rsidR="00822AA1">
        <w:rPr>
          <w:rFonts w:eastAsiaTheme="minorEastAsia"/>
        </w:rPr>
      </w:r>
      <w:r w:rsidR="00822AA1">
        <w:rPr>
          <w:rFonts w:eastAsiaTheme="minorEastAsia"/>
        </w:rPr>
        <w:fldChar w:fldCharType="end"/>
      </w:r>
      <w:r w:rsidR="00822AA1">
        <w:rPr>
          <w:rFonts w:eastAsiaTheme="minorEastAsia"/>
        </w:rPr>
      </w:r>
      <w:r w:rsidR="00822AA1">
        <w:rPr>
          <w:rFonts w:eastAsiaTheme="minorEastAsia"/>
        </w:rPr>
        <w:fldChar w:fldCharType="separate"/>
      </w:r>
      <w:r w:rsidR="00822AA1">
        <w:rPr>
          <w:rFonts w:eastAsiaTheme="minorEastAsia"/>
          <w:noProof/>
        </w:rPr>
        <w:t>(1)</w:t>
      </w:r>
      <w:r w:rsidR="00822AA1">
        <w:rPr>
          <w:rFonts w:eastAsiaTheme="minorEastAsia"/>
        </w:rPr>
        <w:fldChar w:fldCharType="end"/>
      </w:r>
      <w:r w:rsidR="007E4FE8">
        <w:rPr>
          <w:rFonts w:eastAsiaTheme="minorEastAsia"/>
        </w:rPr>
        <w:t>.</w:t>
      </w:r>
      <w:r w:rsidR="00CB35B1" w:rsidRPr="00CB35B1">
        <w:t xml:space="preserve"> </w:t>
      </w:r>
      <w:r w:rsidR="00CB35B1" w:rsidRPr="00CB35B1">
        <w:rPr>
          <w:rFonts w:eastAsiaTheme="minorEastAsia"/>
        </w:rPr>
        <w:t xml:space="preserve">Employing the DESeq2 method, as introduced in </w:t>
      </w:r>
      <w:r w:rsidR="00A9071E">
        <w:rPr>
          <w:rFonts w:eastAsiaTheme="minorEastAsia"/>
        </w:rPr>
        <w:t>the published</w:t>
      </w:r>
      <w:r w:rsidR="00CB35B1" w:rsidRPr="00CB35B1">
        <w:rPr>
          <w:rFonts w:eastAsiaTheme="minorEastAsia"/>
        </w:rPr>
        <w:t xml:space="preserve"> study </w:t>
      </w:r>
      <w:r w:rsidR="00A9071E">
        <w:rPr>
          <w:rFonts w:eastAsiaTheme="minorEastAsia"/>
        </w:rPr>
        <w:t>(</w:t>
      </w:r>
      <w:r w:rsidR="00A9071E" w:rsidRPr="007E4FE8">
        <w:rPr>
          <w:rFonts w:eastAsiaTheme="minorEastAsia"/>
          <w:i/>
        </w:rPr>
        <w:t>Zeng S, et al</w:t>
      </w:r>
      <w:r w:rsidR="00A9071E">
        <w:rPr>
          <w:rFonts w:eastAsiaTheme="minorEastAsia"/>
        </w:rPr>
        <w:t xml:space="preserve">) </w:t>
      </w:r>
      <w:r w:rsidR="00CB35B1" w:rsidRPr="00CB35B1">
        <w:rPr>
          <w:rFonts w:eastAsiaTheme="minorEastAsia"/>
        </w:rPr>
        <w:t xml:space="preserve">and facilitated by </w:t>
      </w:r>
      <w:proofErr w:type="spellStart"/>
      <w:r w:rsidR="00CB35B1" w:rsidRPr="00CB35B1">
        <w:rPr>
          <w:rFonts w:eastAsiaTheme="minorEastAsia"/>
        </w:rPr>
        <w:t>OmicShare</w:t>
      </w:r>
      <w:proofErr w:type="spellEnd"/>
      <w:r w:rsidR="00CB35B1" w:rsidRPr="00CB35B1">
        <w:rPr>
          <w:rFonts w:eastAsiaTheme="minorEastAsia"/>
        </w:rPr>
        <w:t xml:space="preserve"> Tools</w:t>
      </w:r>
      <w:r w:rsidR="00D9746A">
        <w:rPr>
          <w:rFonts w:eastAsiaTheme="minorEastAsia"/>
        </w:rPr>
        <w:fldChar w:fldCharType="begin"/>
      </w:r>
      <w:r w:rsidR="00D9746A">
        <w:rPr>
          <w:rFonts w:eastAsiaTheme="minorEastAsia"/>
        </w:rPr>
        <w:instrText xml:space="preserve"> ADDIN EN.CITE &lt;EndNote&gt;&lt;Cite&gt;&lt;Author&gt;Mu&lt;/Author&gt;&lt;RecNum&gt;321&lt;/RecNum&gt;&lt;DisplayText&gt;(2)&lt;/DisplayText&gt;&lt;record&gt;&lt;rec-number&gt;321&lt;/rec-number&gt;&lt;foreign-keys&gt;&lt;key app="EN" db-id="5rx9sapfxdwrpveexs759tf8esaxzzfx2a99" timestamp="1726992457"&gt;321&lt;/key&gt;&lt;/foreign-keys&gt;&lt;ref-type name="Journal Article"&gt;17&lt;/ref-type&gt;&lt;contributors&gt;&lt;authors&gt;&lt;author&gt;Mu, Hongyan&lt;/author&gt;&lt;author&gt;Chen, Jianzhou&lt;/author&gt;&lt;author&gt;Huang, Wenjie&lt;/author&gt;&lt;author&gt;Huang, Gui&lt;/author&gt;&lt;author&gt;Deng, Meiying&lt;/author&gt;&lt;author&gt;Hong, Shimiao&lt;/author&gt;&lt;author&gt;Ai, Peng&lt;/author&gt;&lt;author&gt;Gao, Chuan&lt;/author&gt;&lt;author&gt;Zhou, Huangkai&lt;/author&gt;&lt;/authors&gt;&lt;/contributors&gt;&lt;titles&gt;&lt;title&gt;OmicShare tools: A zero-code interactive online platform for biological data analysis and visualization&lt;/title&gt;&lt;secondary-title&gt;iMeta&lt;/secondary-title&gt;&lt;/titles&gt;&lt;periodical&gt;&lt;full-title&gt;iMeta&lt;/full-title&gt;&lt;/periodical&gt;&lt;pages&gt;e228&lt;/pages&gt;&lt;volume&gt;n/a&lt;/volume&gt;&lt;number&gt;n/a&lt;/number&gt;&lt;dates&gt;&lt;/dates&gt;&lt;isbn&gt;2770-5986&lt;/isbn&gt;&lt;urls&gt;&lt;related-urls&gt;&lt;url&gt;https://onlinelibrary.wiley.com/doi/abs/10.1002/imt2.228&lt;/url&gt;&lt;/related-urls&gt;&lt;/urls&gt;&lt;electronic-resource-num&gt;https://doi.org/10.1002/imt2.228&lt;/electronic-resource-num&gt;&lt;/record&gt;&lt;/Cite&gt;&lt;/EndNote&gt;</w:instrText>
      </w:r>
      <w:r w:rsidR="00D9746A">
        <w:rPr>
          <w:rFonts w:eastAsiaTheme="minorEastAsia"/>
        </w:rPr>
        <w:fldChar w:fldCharType="separate"/>
      </w:r>
      <w:r w:rsidR="00D9746A">
        <w:rPr>
          <w:rFonts w:eastAsiaTheme="minorEastAsia"/>
          <w:noProof/>
        </w:rPr>
        <w:t>(2)</w:t>
      </w:r>
      <w:r w:rsidR="00D9746A">
        <w:rPr>
          <w:rFonts w:eastAsiaTheme="minorEastAsia"/>
        </w:rPr>
        <w:fldChar w:fldCharType="end"/>
      </w:r>
      <w:r w:rsidR="00CB35B1" w:rsidRPr="00CB35B1">
        <w:rPr>
          <w:rFonts w:eastAsiaTheme="minorEastAsia"/>
        </w:rPr>
        <w:t>, we identified 189 DEGs in iPSCs</w:t>
      </w:r>
      <w:r w:rsidR="00A9071E">
        <w:rPr>
          <w:rFonts w:eastAsiaTheme="minorEastAsia"/>
        </w:rPr>
        <w:t xml:space="preserve"> (A, B)</w:t>
      </w:r>
      <w:r w:rsidR="00CB35B1" w:rsidRPr="00CB35B1">
        <w:rPr>
          <w:rFonts w:eastAsiaTheme="minorEastAsia"/>
        </w:rPr>
        <w:t xml:space="preserve"> and 643 DEGs in MNPs</w:t>
      </w:r>
      <w:r w:rsidR="008565A2">
        <w:rPr>
          <w:rFonts w:eastAsiaTheme="minorEastAsia"/>
        </w:rPr>
        <w:t xml:space="preserve"> </w:t>
      </w:r>
      <w:r w:rsidR="00A9071E">
        <w:rPr>
          <w:rFonts w:eastAsiaTheme="minorEastAsia"/>
        </w:rPr>
        <w:t xml:space="preserve">(C, D) </w:t>
      </w:r>
      <w:r w:rsidR="00CB35B1" w:rsidRPr="00CB35B1">
        <w:rPr>
          <w:rFonts w:eastAsiaTheme="minorEastAsia"/>
        </w:rPr>
        <w:t>when comparing healthy controls and p.Q400R</w:t>
      </w:r>
      <w:r w:rsidR="008565A2">
        <w:rPr>
          <w:rFonts w:eastAsiaTheme="minorEastAsia"/>
        </w:rPr>
        <w:t>.</w:t>
      </w:r>
      <w:r w:rsidR="00A9071E">
        <w:rPr>
          <w:rFonts w:eastAsiaTheme="minorEastAsia"/>
        </w:rPr>
        <w:t xml:space="preserve"> S</w:t>
      </w:r>
      <w:r w:rsidR="00A9071E" w:rsidRPr="00A9071E">
        <w:rPr>
          <w:rFonts w:eastAsiaTheme="minorEastAsia"/>
        </w:rPr>
        <w:t>ignificantly differentially expressed genes were defined as those having an adjusted P-value &lt; 0.05 and</w:t>
      </w:r>
      <w:r w:rsidR="00A9071E" w:rsidRPr="00A9071E">
        <w:rPr>
          <w:rFonts w:eastAsiaTheme="minorEastAsia" w:cs="Times New Roman"/>
        </w:rPr>
        <w:t xml:space="preserve"> |log2(fold change)| ≥ 1.</w:t>
      </w:r>
    </w:p>
    <w:p w14:paraId="63AF6638" w14:textId="77777777" w:rsidR="009026DB" w:rsidRDefault="009026DB" w:rsidP="00C773BD">
      <w:pPr>
        <w:spacing w:line="360" w:lineRule="auto"/>
        <w:rPr>
          <w:rFonts w:eastAsiaTheme="minorEastAsia"/>
        </w:rPr>
      </w:pPr>
    </w:p>
    <w:p w14:paraId="04FE31AE" w14:textId="1FEA349B" w:rsidR="00681C89" w:rsidRDefault="009026DB" w:rsidP="002501E7">
      <w:pPr>
        <w:spacing w:line="360" w:lineRule="auto"/>
        <w:rPr>
          <w:rFonts w:eastAsiaTheme="minorEastAsia"/>
          <w:b/>
        </w:rPr>
      </w:pPr>
      <w:r>
        <w:rPr>
          <w:rFonts w:eastAsiaTheme="minorEastAsia"/>
          <w:b/>
          <w:noProof/>
        </w:rPr>
        <w:drawing>
          <wp:inline distT="0" distB="0" distL="0" distR="0" wp14:anchorId="76F0CEDC" wp14:editId="00BD0D4D">
            <wp:extent cx="5274310" cy="20859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 figure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3F6A" w14:textId="5D904BC9" w:rsidR="002501E7" w:rsidRDefault="002501E7" w:rsidP="002501E7">
      <w:pPr>
        <w:spacing w:line="360" w:lineRule="auto"/>
        <w:rPr>
          <w:rFonts w:eastAsiaTheme="minorEastAsia"/>
        </w:rPr>
      </w:pPr>
      <w:r w:rsidRPr="00C773BD">
        <w:rPr>
          <w:rFonts w:eastAsiaTheme="minorEastAsia"/>
          <w:b/>
        </w:rPr>
        <w:t xml:space="preserve">Supplementary Figure </w:t>
      </w:r>
      <w:r>
        <w:rPr>
          <w:rFonts w:eastAsiaTheme="minorEastAsia"/>
          <w:b/>
        </w:rPr>
        <w:t>3</w:t>
      </w:r>
      <w:r>
        <w:rPr>
          <w:rFonts w:eastAsiaTheme="minorEastAsia" w:hint="eastAsia"/>
        </w:rPr>
        <w:t>.</w:t>
      </w:r>
      <w:r>
        <w:rPr>
          <w:rFonts w:eastAsiaTheme="minorEastAsia"/>
        </w:rPr>
        <w:t xml:space="preserve"> </w:t>
      </w:r>
      <w:r w:rsidR="007E4FE8" w:rsidRPr="007E4FE8">
        <w:rPr>
          <w:rFonts w:eastAsiaTheme="minorEastAsia"/>
        </w:rPr>
        <w:t>Kyoto Encyclopedia of Genes and Genomes (KEGG) analysis of</w:t>
      </w:r>
      <w:r w:rsidR="007E4FE8">
        <w:rPr>
          <w:rFonts w:eastAsiaTheme="minorEastAsia"/>
        </w:rPr>
        <w:t xml:space="preserve"> </w:t>
      </w:r>
      <w:r w:rsidR="007E4FE8">
        <w:rPr>
          <w:rFonts w:eastAsiaTheme="minorEastAsia" w:hint="eastAsia"/>
        </w:rPr>
        <w:t>DEG</w:t>
      </w:r>
      <w:r w:rsidR="007E4FE8">
        <w:rPr>
          <w:rFonts w:eastAsiaTheme="minorEastAsia"/>
        </w:rPr>
        <w:t xml:space="preserve">s in iPSCs </w:t>
      </w:r>
      <w:r w:rsidR="002E644A">
        <w:rPr>
          <w:rFonts w:eastAsiaTheme="minorEastAsia"/>
        </w:rPr>
        <w:t xml:space="preserve">(A) </w:t>
      </w:r>
      <w:r w:rsidR="007E4FE8">
        <w:rPr>
          <w:rFonts w:eastAsiaTheme="minorEastAsia"/>
        </w:rPr>
        <w:t>and MNPs</w:t>
      </w:r>
      <w:r w:rsidR="002E644A">
        <w:rPr>
          <w:rFonts w:eastAsiaTheme="minorEastAsia"/>
        </w:rPr>
        <w:t xml:space="preserve"> (B)</w:t>
      </w:r>
      <w:r w:rsidR="007E4FE8">
        <w:rPr>
          <w:rFonts w:eastAsiaTheme="minorEastAsia"/>
        </w:rPr>
        <w:t>.</w:t>
      </w:r>
      <w:r w:rsidR="00A9071E">
        <w:rPr>
          <w:rFonts w:eastAsiaTheme="minorEastAsia"/>
        </w:rPr>
        <w:t xml:space="preserve"> (A, B) KEGG pathway terms enriched in DEGs between healthy controls and </w:t>
      </w:r>
      <w:r w:rsidR="00A9071E" w:rsidRPr="00A9071E">
        <w:rPr>
          <w:rFonts w:eastAsiaTheme="minorEastAsia"/>
          <w:i/>
        </w:rPr>
        <w:t>MORC</w:t>
      </w:r>
      <w:r w:rsidR="00A9071E">
        <w:rPr>
          <w:rFonts w:eastAsiaTheme="minorEastAsia"/>
        </w:rPr>
        <w:t xml:space="preserve"> </w:t>
      </w:r>
      <w:proofErr w:type="gramStart"/>
      <w:r w:rsidR="00A9071E">
        <w:rPr>
          <w:rFonts w:eastAsiaTheme="minorEastAsia"/>
        </w:rPr>
        <w:t>p.Q</w:t>
      </w:r>
      <w:proofErr w:type="gramEnd"/>
      <w:r w:rsidR="00A9071E">
        <w:rPr>
          <w:rFonts w:eastAsiaTheme="minorEastAsia"/>
        </w:rPr>
        <w:t>400R.</w:t>
      </w:r>
      <w:bookmarkStart w:id="0" w:name="_GoBack"/>
      <w:bookmarkEnd w:id="0"/>
    </w:p>
    <w:p w14:paraId="541DD2C9" w14:textId="77777777" w:rsidR="002501E7" w:rsidRPr="002501E7" w:rsidRDefault="002501E7" w:rsidP="00C773BD">
      <w:pPr>
        <w:spacing w:line="360" w:lineRule="auto"/>
        <w:rPr>
          <w:rFonts w:eastAsiaTheme="minorEastAsia"/>
        </w:rPr>
      </w:pPr>
    </w:p>
    <w:p w14:paraId="6E0098E5" w14:textId="61B7F76A" w:rsidR="001C13B0" w:rsidRDefault="001C13B0" w:rsidP="0016318C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65749A56" w14:textId="6976C068" w:rsidR="00B71EA2" w:rsidRPr="001C13B0" w:rsidRDefault="001C13B0" w:rsidP="00375AD4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b/>
        </w:rPr>
      </w:pPr>
      <w:r w:rsidRPr="001C13B0">
        <w:rPr>
          <w:rFonts w:eastAsiaTheme="minorEastAsia" w:hint="eastAsia"/>
          <w:b/>
        </w:rPr>
        <w:lastRenderedPageBreak/>
        <w:t>S</w:t>
      </w:r>
      <w:r w:rsidRPr="001C13B0">
        <w:rPr>
          <w:rFonts w:eastAsiaTheme="minorEastAsia"/>
          <w:b/>
        </w:rPr>
        <w:t>upplementary reference</w:t>
      </w:r>
    </w:p>
    <w:p w14:paraId="68D5D724" w14:textId="77777777" w:rsidR="00D9746A" w:rsidRPr="00D9746A" w:rsidRDefault="00000DC8" w:rsidP="00D9746A">
      <w:pPr>
        <w:pStyle w:val="EndNoteBibliography"/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ADDIN EN.REFLIST </w:instrText>
      </w:r>
      <w:r>
        <w:rPr>
          <w:rFonts w:eastAsiaTheme="minorEastAsia"/>
        </w:rPr>
        <w:fldChar w:fldCharType="end"/>
      </w:r>
      <w:r w:rsidR="00D9746A" w:rsidRPr="00D9746A">
        <w:t>1.</w:t>
      </w:r>
      <w:r w:rsidR="00D9746A" w:rsidRPr="00D9746A">
        <w:tab/>
        <w:t>Zeng S, Yang H, Wang B, Xie Y, Xu K, Liu L, et al. The MORC2 p.S87L mutation reduces proliferation of pluripotent stem cells derived from a patient with the spinal muscular atrophy-like phenotype by inhibiting proliferation-related signaling pathways. Neural Regen Res. 2024;19(1):205-11.</w:t>
      </w:r>
    </w:p>
    <w:p w14:paraId="0BC0498D" w14:textId="49AA3AE2" w:rsidR="001C13B0" w:rsidRPr="00C67C31" w:rsidRDefault="00D9746A" w:rsidP="00C67C31">
      <w:pPr>
        <w:pStyle w:val="EndNoteBibliography"/>
      </w:pPr>
      <w:r w:rsidRPr="00D9746A">
        <w:t>2.</w:t>
      </w:r>
      <w:r w:rsidRPr="00D9746A">
        <w:tab/>
        <w:t>Mu H, Chen J, Huang W, Huang G, Deng M, Hong S, et al. OmicShare tools: A zero-code interactive online platform for biological data analysis and visualization. iMeta.n/a(n/a):e228.</w:t>
      </w:r>
    </w:p>
    <w:sectPr w:rsidR="001C13B0" w:rsidRPr="00C6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229C" w14:textId="77777777" w:rsidR="006D317B" w:rsidRDefault="006D317B" w:rsidP="00B71EA2">
      <w:r>
        <w:separator/>
      </w:r>
    </w:p>
  </w:endnote>
  <w:endnote w:type="continuationSeparator" w:id="0">
    <w:p w14:paraId="4F02BF14" w14:textId="77777777" w:rsidR="006D317B" w:rsidRDefault="006D317B" w:rsidP="00B7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75C7" w14:textId="77777777" w:rsidR="006D317B" w:rsidRDefault="006D317B" w:rsidP="00B71EA2">
      <w:r>
        <w:separator/>
      </w:r>
    </w:p>
  </w:footnote>
  <w:footnote w:type="continuationSeparator" w:id="0">
    <w:p w14:paraId="7B2F20E1" w14:textId="77777777" w:rsidR="006D317B" w:rsidRDefault="006D317B" w:rsidP="00B7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6759"/>
    <w:multiLevelType w:val="multilevel"/>
    <w:tmpl w:val="42F40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203D78"/>
    <w:multiLevelType w:val="hybridMultilevel"/>
    <w:tmpl w:val="494684D0"/>
    <w:lvl w:ilvl="0" w:tplc="72C0AA8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BB2D1A"/>
    <w:multiLevelType w:val="hybridMultilevel"/>
    <w:tmpl w:val="0C6AA7CC"/>
    <w:lvl w:ilvl="0" w:tplc="79EE33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rx9sapfxdwrpveexs759tf8esaxzzfx2a99&quot;&gt;EVC&lt;record-ids&gt;&lt;item&gt;142&lt;/item&gt;&lt;item&gt;143&lt;/item&gt;&lt;item&gt;144&lt;/item&gt;&lt;item&gt;145&lt;/item&gt;&lt;item&gt;146&lt;/item&gt;&lt;/record-ids&gt;&lt;/item&gt;&lt;/Libraries&gt;"/>
  </w:docVars>
  <w:rsids>
    <w:rsidRoot w:val="00B61B03"/>
    <w:rsid w:val="00000335"/>
    <w:rsid w:val="00000DC8"/>
    <w:rsid w:val="000938B5"/>
    <w:rsid w:val="000A2BB9"/>
    <w:rsid w:val="000A5658"/>
    <w:rsid w:val="000C4D2B"/>
    <w:rsid w:val="0016318C"/>
    <w:rsid w:val="001952E7"/>
    <w:rsid w:val="001A76EB"/>
    <w:rsid w:val="001C13B0"/>
    <w:rsid w:val="0021039E"/>
    <w:rsid w:val="002501E7"/>
    <w:rsid w:val="00282827"/>
    <w:rsid w:val="00291939"/>
    <w:rsid w:val="002B5274"/>
    <w:rsid w:val="002E644A"/>
    <w:rsid w:val="0030476E"/>
    <w:rsid w:val="003220C1"/>
    <w:rsid w:val="0034215C"/>
    <w:rsid w:val="003610B0"/>
    <w:rsid w:val="00375AD4"/>
    <w:rsid w:val="003D7E60"/>
    <w:rsid w:val="00521011"/>
    <w:rsid w:val="005F6399"/>
    <w:rsid w:val="005F79ED"/>
    <w:rsid w:val="00681C89"/>
    <w:rsid w:val="006D317B"/>
    <w:rsid w:val="00736176"/>
    <w:rsid w:val="00747FD4"/>
    <w:rsid w:val="007A1807"/>
    <w:rsid w:val="007E4FE8"/>
    <w:rsid w:val="008138BB"/>
    <w:rsid w:val="00822AA1"/>
    <w:rsid w:val="008565A2"/>
    <w:rsid w:val="00880099"/>
    <w:rsid w:val="008811CB"/>
    <w:rsid w:val="008D2442"/>
    <w:rsid w:val="009026DB"/>
    <w:rsid w:val="009A6DB5"/>
    <w:rsid w:val="009F4FF7"/>
    <w:rsid w:val="00A2762A"/>
    <w:rsid w:val="00A468EB"/>
    <w:rsid w:val="00A602FD"/>
    <w:rsid w:val="00A9071E"/>
    <w:rsid w:val="00A952D5"/>
    <w:rsid w:val="00B124E0"/>
    <w:rsid w:val="00B13ED6"/>
    <w:rsid w:val="00B504DB"/>
    <w:rsid w:val="00B54637"/>
    <w:rsid w:val="00B61B03"/>
    <w:rsid w:val="00B71EA2"/>
    <w:rsid w:val="00BA6ED2"/>
    <w:rsid w:val="00BD4F58"/>
    <w:rsid w:val="00BF62A3"/>
    <w:rsid w:val="00C4617C"/>
    <w:rsid w:val="00C603C3"/>
    <w:rsid w:val="00C67C31"/>
    <w:rsid w:val="00C773BD"/>
    <w:rsid w:val="00C8777C"/>
    <w:rsid w:val="00CB35B1"/>
    <w:rsid w:val="00CC00FE"/>
    <w:rsid w:val="00D6761B"/>
    <w:rsid w:val="00D9746A"/>
    <w:rsid w:val="00E23C35"/>
    <w:rsid w:val="00E35793"/>
    <w:rsid w:val="00E44353"/>
    <w:rsid w:val="00E455C3"/>
    <w:rsid w:val="00E60099"/>
    <w:rsid w:val="00F62496"/>
    <w:rsid w:val="00F7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964E5"/>
  <w15:chartTrackingRefBased/>
  <w15:docId w15:val="{3CAEAA41-2D6B-488F-877F-2F7A8669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EA2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1"/>
    <w:qFormat/>
    <w:rsid w:val="00B71EA2"/>
    <w:pPr>
      <w:spacing w:before="3"/>
      <w:ind w:left="331" w:hanging="212"/>
      <w:outlineLvl w:val="1"/>
    </w:pPr>
    <w:rPr>
      <w:rFonts w:cs="Times New Roman"/>
      <w:b/>
      <w:bCs/>
      <w:kern w:val="0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EA2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B71EA2"/>
    <w:rPr>
      <w:rFonts w:ascii="Times New Roman" w:eastAsia="Times New Roman" w:hAnsi="Times New Roman" w:cs="Times New Roman"/>
      <w:b/>
      <w:bCs/>
      <w:kern w:val="0"/>
      <w:szCs w:val="21"/>
      <w:lang w:eastAsia="en-US" w:bidi="en-US"/>
    </w:rPr>
  </w:style>
  <w:style w:type="paragraph" w:styleId="a7">
    <w:name w:val="List Paragraph"/>
    <w:basedOn w:val="a"/>
    <w:uiPriority w:val="34"/>
    <w:qFormat/>
    <w:rsid w:val="00B71EA2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000DC8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000DC8"/>
    <w:rPr>
      <w:rFonts w:ascii="Times New Roman" w:eastAsia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000DC8"/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000DC8"/>
    <w:rPr>
      <w:rFonts w:ascii="Times New Roman" w:eastAsia="Times New Roman" w:hAnsi="Times New Roman" w:cs="Times New Roman"/>
      <w:noProof/>
      <w:sz w:val="24"/>
    </w:rPr>
  </w:style>
  <w:style w:type="character" w:styleId="a8">
    <w:name w:val="Hyperlink"/>
    <w:basedOn w:val="a0"/>
    <w:uiPriority w:val="99"/>
    <w:unhideWhenUsed/>
    <w:rsid w:val="003220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2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成成</dc:creator>
  <cp:keywords/>
  <dc:description/>
  <cp:lastModifiedBy>成成</cp:lastModifiedBy>
  <cp:revision>10</cp:revision>
  <dcterms:created xsi:type="dcterms:W3CDTF">2024-02-05T01:04:00Z</dcterms:created>
  <dcterms:modified xsi:type="dcterms:W3CDTF">2024-09-23T09:16:00Z</dcterms:modified>
</cp:coreProperties>
</file>