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44D40692" w14:textId="37688A77" w:rsidR="008815D6" w:rsidRPr="00C077AD" w:rsidRDefault="00C077AD" w:rsidP="00C077AD">
      <w:pPr>
        <w:pStyle w:val="Heading1"/>
        <w:numPr>
          <w:ilvl w:val="0"/>
          <w:numId w:val="0"/>
        </w:numPr>
        <w:ind w:left="567" w:hanging="567"/>
      </w:pPr>
      <w:r>
        <w:t xml:space="preserve">Appendix 1. </w:t>
      </w:r>
      <w:r w:rsidR="008815D6" w:rsidRPr="00786803">
        <w:rPr>
          <w:rFonts w:eastAsia="Malgun Gothic"/>
          <w:color w:val="000000" w:themeColor="text1"/>
          <w:szCs w:val="18"/>
          <w:shd w:val="clear" w:color="auto" w:fill="FFFFFF"/>
        </w:rPr>
        <w:t>Operational definition of variables used in this study</w:t>
      </w:r>
      <w:r w:rsidR="008815D6" w:rsidRPr="00786803">
        <w:rPr>
          <w:color w:val="000000" w:themeColor="text1"/>
        </w:rPr>
        <w:t>.</w:t>
      </w:r>
    </w:p>
    <w:tbl>
      <w:tblPr>
        <w:tblStyle w:val="MDPI41threelinetable"/>
        <w:tblW w:w="9270" w:type="dxa"/>
        <w:jc w:val="lef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2790"/>
        <w:gridCol w:w="5040"/>
      </w:tblGrid>
      <w:tr w:rsidR="008815D6" w:rsidRPr="00E5792C" w14:paraId="77EBCF51" w14:textId="77777777" w:rsidTr="00B005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left"/>
        </w:trPr>
        <w:tc>
          <w:tcPr>
            <w:tcW w:w="4230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14:paraId="150CEDD4" w14:textId="77777777" w:rsidR="008815D6" w:rsidRPr="00E5792C" w:rsidRDefault="008815D6" w:rsidP="00B005B8">
            <w:pPr>
              <w:spacing w:before="0" w:after="0" w:line="276" w:lineRule="auto"/>
              <w:rPr>
                <w:b w:val="0"/>
                <w:color w:val="000000" w:themeColor="text1"/>
                <w:sz w:val="20"/>
              </w:rPr>
            </w:pPr>
            <w:r w:rsidRPr="00E5792C">
              <w:rPr>
                <w:b w:val="0"/>
                <w:color w:val="000000" w:themeColor="text1"/>
                <w:sz w:val="20"/>
              </w:rPr>
              <w:t>Variables</w:t>
            </w:r>
          </w:p>
        </w:tc>
        <w:tc>
          <w:tcPr>
            <w:tcW w:w="5040" w:type="dxa"/>
            <w:tcBorders>
              <w:top w:val="single" w:sz="8" w:space="0" w:color="auto"/>
            </w:tcBorders>
            <w:shd w:val="clear" w:color="auto" w:fill="auto"/>
          </w:tcPr>
          <w:p w14:paraId="2C0C88E0" w14:textId="77777777" w:rsidR="008815D6" w:rsidRPr="00E5792C" w:rsidRDefault="008815D6" w:rsidP="00B005B8">
            <w:pPr>
              <w:spacing w:before="0" w:after="0" w:line="276" w:lineRule="auto"/>
              <w:rPr>
                <w:b w:val="0"/>
                <w:color w:val="000000" w:themeColor="text1"/>
                <w:sz w:val="20"/>
              </w:rPr>
            </w:pPr>
            <w:r w:rsidRPr="00E5792C">
              <w:rPr>
                <w:b w:val="0"/>
                <w:color w:val="000000" w:themeColor="text1"/>
                <w:sz w:val="20"/>
              </w:rPr>
              <w:t>Definition</w:t>
            </w:r>
          </w:p>
        </w:tc>
      </w:tr>
      <w:tr w:rsidR="008815D6" w:rsidRPr="00E5792C" w14:paraId="1817F432" w14:textId="77777777" w:rsidTr="00B005B8">
        <w:trPr>
          <w:jc w:val="left"/>
        </w:trPr>
        <w:tc>
          <w:tcPr>
            <w:tcW w:w="1440" w:type="dxa"/>
            <w:vMerge w:val="restart"/>
            <w:shd w:val="clear" w:color="auto" w:fill="auto"/>
            <w:vAlign w:val="top"/>
          </w:tcPr>
          <w:p w14:paraId="2C7D3D61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Input-related risks</w:t>
            </w:r>
          </w:p>
        </w:tc>
        <w:tc>
          <w:tcPr>
            <w:tcW w:w="2790" w:type="dxa"/>
            <w:shd w:val="clear" w:color="auto" w:fill="auto"/>
          </w:tcPr>
          <w:p w14:paraId="5BA87BE4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Delayed input supply</w:t>
            </w:r>
          </w:p>
        </w:tc>
        <w:tc>
          <w:tcPr>
            <w:tcW w:w="5040" w:type="dxa"/>
            <w:shd w:val="clear" w:color="auto" w:fill="auto"/>
          </w:tcPr>
          <w:p w14:paraId="69A5C8DF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Late delivery of essential inputs like seeds, pesticides, and fertilizers</w:t>
            </w:r>
          </w:p>
        </w:tc>
      </w:tr>
      <w:tr w:rsidR="008815D6" w:rsidRPr="00E5792C" w14:paraId="6DFAD4D5" w14:textId="77777777" w:rsidTr="00B005B8">
        <w:trPr>
          <w:jc w:val="left"/>
        </w:trPr>
        <w:tc>
          <w:tcPr>
            <w:tcW w:w="1440" w:type="dxa"/>
            <w:vMerge/>
            <w:shd w:val="clear" w:color="auto" w:fill="auto"/>
            <w:vAlign w:val="top"/>
          </w:tcPr>
          <w:p w14:paraId="69FFEC31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1A14FF53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Escalating input costs</w:t>
            </w:r>
          </w:p>
        </w:tc>
        <w:tc>
          <w:tcPr>
            <w:tcW w:w="5040" w:type="dxa"/>
            <w:shd w:val="clear" w:color="auto" w:fill="auto"/>
          </w:tcPr>
          <w:p w14:paraId="3293DFBB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Rising prices for essential resources like seeds, fertilizers, and labor</w:t>
            </w:r>
          </w:p>
        </w:tc>
      </w:tr>
      <w:tr w:rsidR="008815D6" w:rsidRPr="00E5792C" w14:paraId="5648A1B6" w14:textId="77777777" w:rsidTr="00B005B8">
        <w:trPr>
          <w:jc w:val="left"/>
        </w:trPr>
        <w:tc>
          <w:tcPr>
            <w:tcW w:w="1440" w:type="dxa"/>
            <w:vMerge/>
            <w:shd w:val="clear" w:color="auto" w:fill="auto"/>
            <w:vAlign w:val="top"/>
          </w:tcPr>
          <w:p w14:paraId="4AC3EFA8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59CDD8AC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Fluctuating interest rates</w:t>
            </w:r>
          </w:p>
        </w:tc>
        <w:tc>
          <w:tcPr>
            <w:tcW w:w="5040" w:type="dxa"/>
            <w:shd w:val="clear" w:color="auto" w:fill="auto"/>
          </w:tcPr>
          <w:p w14:paraId="48FE13C1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Unpredictable changes in borrowing costs</w:t>
            </w:r>
          </w:p>
        </w:tc>
      </w:tr>
      <w:tr w:rsidR="008815D6" w:rsidRPr="00E5792C" w14:paraId="65817CB3" w14:textId="77777777" w:rsidTr="00B005B8">
        <w:trPr>
          <w:jc w:val="left"/>
        </w:trPr>
        <w:tc>
          <w:tcPr>
            <w:tcW w:w="1440" w:type="dxa"/>
            <w:vMerge/>
            <w:shd w:val="clear" w:color="auto" w:fill="auto"/>
            <w:vAlign w:val="top"/>
          </w:tcPr>
          <w:p w14:paraId="3B70B1B6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6D5E70DA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Lack of private capital</w:t>
            </w:r>
          </w:p>
        </w:tc>
        <w:tc>
          <w:tcPr>
            <w:tcW w:w="5040" w:type="dxa"/>
            <w:shd w:val="clear" w:color="auto" w:fill="auto"/>
          </w:tcPr>
          <w:p w14:paraId="5B1C3DF3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Insufficient investment funds from private sources</w:t>
            </w:r>
          </w:p>
        </w:tc>
      </w:tr>
      <w:tr w:rsidR="008815D6" w:rsidRPr="00E5792C" w14:paraId="775472F0" w14:textId="77777777" w:rsidTr="00B005B8">
        <w:trPr>
          <w:jc w:val="left"/>
        </w:trPr>
        <w:tc>
          <w:tcPr>
            <w:tcW w:w="1440" w:type="dxa"/>
            <w:vMerge/>
            <w:shd w:val="clear" w:color="auto" w:fill="auto"/>
            <w:vAlign w:val="top"/>
          </w:tcPr>
          <w:p w14:paraId="3399CEAC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2E9A68B0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Reliable quality</w:t>
            </w:r>
          </w:p>
        </w:tc>
        <w:tc>
          <w:tcPr>
            <w:tcW w:w="5040" w:type="dxa"/>
            <w:shd w:val="clear" w:color="auto" w:fill="auto"/>
          </w:tcPr>
          <w:p w14:paraId="74AEF75C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Difficulty in consistently meeting desired grain standards</w:t>
            </w:r>
          </w:p>
        </w:tc>
      </w:tr>
      <w:tr w:rsidR="008815D6" w:rsidRPr="00E5792C" w14:paraId="47000434" w14:textId="77777777" w:rsidTr="00B005B8">
        <w:trPr>
          <w:jc w:val="left"/>
        </w:trPr>
        <w:tc>
          <w:tcPr>
            <w:tcW w:w="1440" w:type="dxa"/>
            <w:vMerge w:val="restart"/>
            <w:shd w:val="clear" w:color="auto" w:fill="auto"/>
            <w:vAlign w:val="top"/>
          </w:tcPr>
          <w:p w14:paraId="7DCA5E64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Market-related risks</w:t>
            </w:r>
          </w:p>
        </w:tc>
        <w:tc>
          <w:tcPr>
            <w:tcW w:w="2790" w:type="dxa"/>
            <w:shd w:val="clear" w:color="auto" w:fill="auto"/>
          </w:tcPr>
          <w:p w14:paraId="5794103F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Price volatility</w:t>
            </w:r>
          </w:p>
        </w:tc>
        <w:tc>
          <w:tcPr>
            <w:tcW w:w="5040" w:type="dxa"/>
            <w:shd w:val="clear" w:color="auto" w:fill="auto"/>
          </w:tcPr>
          <w:p w14:paraId="66402CB5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Unpredictable fluctuations in market prices</w:t>
            </w:r>
          </w:p>
        </w:tc>
      </w:tr>
      <w:tr w:rsidR="008815D6" w:rsidRPr="00E5792C" w14:paraId="5EA004BF" w14:textId="77777777" w:rsidTr="00B005B8">
        <w:trPr>
          <w:jc w:val="left"/>
        </w:trPr>
        <w:tc>
          <w:tcPr>
            <w:tcW w:w="1440" w:type="dxa"/>
            <w:vMerge/>
            <w:shd w:val="clear" w:color="auto" w:fill="auto"/>
            <w:vAlign w:val="top"/>
          </w:tcPr>
          <w:p w14:paraId="66AE20AC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412841E6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Limited market information</w:t>
            </w:r>
          </w:p>
        </w:tc>
        <w:tc>
          <w:tcPr>
            <w:tcW w:w="5040" w:type="dxa"/>
            <w:shd w:val="clear" w:color="auto" w:fill="auto"/>
          </w:tcPr>
          <w:p w14:paraId="4074DF1C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Insufficient access to crucial data</w:t>
            </w:r>
          </w:p>
        </w:tc>
      </w:tr>
      <w:tr w:rsidR="008815D6" w:rsidRPr="00E5792C" w14:paraId="64D78398" w14:textId="77777777" w:rsidTr="00B005B8">
        <w:trPr>
          <w:jc w:val="left"/>
        </w:trPr>
        <w:tc>
          <w:tcPr>
            <w:tcW w:w="1440" w:type="dxa"/>
            <w:vMerge/>
            <w:shd w:val="clear" w:color="auto" w:fill="auto"/>
            <w:vAlign w:val="top"/>
          </w:tcPr>
          <w:p w14:paraId="3BE2E97B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0B23E236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Market dishonesty</w:t>
            </w:r>
          </w:p>
        </w:tc>
        <w:tc>
          <w:tcPr>
            <w:tcW w:w="5040" w:type="dxa"/>
            <w:shd w:val="clear" w:color="auto" w:fill="auto"/>
          </w:tcPr>
          <w:p w14:paraId="7AA9F2E0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Deceptive practices or misinformation in trade transactions</w:t>
            </w:r>
          </w:p>
        </w:tc>
      </w:tr>
      <w:tr w:rsidR="008815D6" w:rsidRPr="00E5792C" w14:paraId="0F4B636B" w14:textId="77777777" w:rsidTr="00B005B8">
        <w:trPr>
          <w:jc w:val="left"/>
        </w:trPr>
        <w:tc>
          <w:tcPr>
            <w:tcW w:w="1440" w:type="dxa"/>
            <w:vMerge/>
            <w:shd w:val="clear" w:color="auto" w:fill="auto"/>
            <w:vAlign w:val="top"/>
          </w:tcPr>
          <w:p w14:paraId="3AE040C0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4820DA1E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Uncertain foreign markets/policies</w:t>
            </w:r>
          </w:p>
        </w:tc>
        <w:tc>
          <w:tcPr>
            <w:tcW w:w="5040" w:type="dxa"/>
            <w:shd w:val="clear" w:color="auto" w:fill="auto"/>
          </w:tcPr>
          <w:p w14:paraId="2F5C9EF8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Instability in overseas markets and trade policies</w:t>
            </w:r>
          </w:p>
        </w:tc>
      </w:tr>
      <w:tr w:rsidR="008815D6" w:rsidRPr="00E5792C" w14:paraId="513BC2B7" w14:textId="77777777" w:rsidTr="00B005B8">
        <w:trPr>
          <w:jc w:val="left"/>
        </w:trPr>
        <w:tc>
          <w:tcPr>
            <w:tcW w:w="1440" w:type="dxa"/>
            <w:vMerge/>
            <w:shd w:val="clear" w:color="auto" w:fill="auto"/>
            <w:vAlign w:val="top"/>
          </w:tcPr>
          <w:p w14:paraId="5A31B2BF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3FA3300A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Middleman exploitation</w:t>
            </w:r>
          </w:p>
        </w:tc>
        <w:tc>
          <w:tcPr>
            <w:tcW w:w="5040" w:type="dxa"/>
            <w:shd w:val="clear" w:color="auto" w:fill="auto"/>
          </w:tcPr>
          <w:p w14:paraId="7276C3A0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Intermediaries taking advantage of farmers</w:t>
            </w:r>
          </w:p>
        </w:tc>
      </w:tr>
      <w:tr w:rsidR="008815D6" w:rsidRPr="00E5792C" w14:paraId="2B64B311" w14:textId="77777777" w:rsidTr="00B005B8">
        <w:trPr>
          <w:jc w:val="left"/>
        </w:trPr>
        <w:tc>
          <w:tcPr>
            <w:tcW w:w="1440" w:type="dxa"/>
            <w:vMerge w:val="restart"/>
            <w:shd w:val="clear" w:color="auto" w:fill="auto"/>
            <w:vAlign w:val="top"/>
          </w:tcPr>
          <w:p w14:paraId="7CA9CE67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Resource-related risks</w:t>
            </w:r>
          </w:p>
        </w:tc>
        <w:tc>
          <w:tcPr>
            <w:tcW w:w="2790" w:type="dxa"/>
            <w:shd w:val="clear" w:color="auto" w:fill="auto"/>
          </w:tcPr>
          <w:p w14:paraId="19604326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River and groundwater drying</w:t>
            </w:r>
          </w:p>
        </w:tc>
        <w:tc>
          <w:tcPr>
            <w:tcW w:w="5040" w:type="dxa"/>
            <w:shd w:val="clear" w:color="auto" w:fill="auto"/>
          </w:tcPr>
          <w:p w14:paraId="1CFCDADB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Potential depletion of water sources essential for irrigation</w:t>
            </w:r>
          </w:p>
        </w:tc>
      </w:tr>
      <w:tr w:rsidR="008815D6" w:rsidRPr="00E5792C" w14:paraId="7185C57C" w14:textId="77777777" w:rsidTr="00B005B8">
        <w:trPr>
          <w:jc w:val="left"/>
        </w:trPr>
        <w:tc>
          <w:tcPr>
            <w:tcW w:w="1440" w:type="dxa"/>
            <w:vMerge/>
            <w:shd w:val="clear" w:color="auto" w:fill="auto"/>
            <w:vAlign w:val="top"/>
          </w:tcPr>
          <w:p w14:paraId="51364CCB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2B2CFBBD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Water management</w:t>
            </w:r>
          </w:p>
        </w:tc>
        <w:tc>
          <w:tcPr>
            <w:tcW w:w="5040" w:type="dxa"/>
            <w:shd w:val="clear" w:color="auto" w:fill="auto"/>
          </w:tcPr>
          <w:p w14:paraId="77C23C07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Challenges associated with efficiently allocating, distributing, and conserving water resources for irrigation</w:t>
            </w:r>
          </w:p>
        </w:tc>
      </w:tr>
      <w:tr w:rsidR="008815D6" w:rsidRPr="00E5792C" w14:paraId="5595F018" w14:textId="77777777" w:rsidTr="00B005B8">
        <w:trPr>
          <w:jc w:val="left"/>
        </w:trPr>
        <w:tc>
          <w:tcPr>
            <w:tcW w:w="1440" w:type="dxa"/>
            <w:vMerge/>
            <w:shd w:val="clear" w:color="auto" w:fill="auto"/>
            <w:vAlign w:val="top"/>
          </w:tcPr>
          <w:p w14:paraId="33F62A72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05C72FC2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Water infrastructure</w:t>
            </w:r>
          </w:p>
        </w:tc>
        <w:tc>
          <w:tcPr>
            <w:tcW w:w="5040" w:type="dxa"/>
            <w:shd w:val="clear" w:color="auto" w:fill="auto"/>
          </w:tcPr>
          <w:p w14:paraId="457FDEDF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Potential shortcomings or failures in irrigation systems and facilities</w:t>
            </w:r>
          </w:p>
        </w:tc>
      </w:tr>
      <w:tr w:rsidR="008815D6" w:rsidRPr="00E5792C" w14:paraId="59748460" w14:textId="77777777" w:rsidTr="00B005B8">
        <w:trPr>
          <w:jc w:val="left"/>
        </w:trPr>
        <w:tc>
          <w:tcPr>
            <w:tcW w:w="1440" w:type="dxa"/>
            <w:vMerge/>
            <w:shd w:val="clear" w:color="auto" w:fill="auto"/>
            <w:vAlign w:val="top"/>
          </w:tcPr>
          <w:p w14:paraId="7428B5D0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58D3D862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Insufficient Machinery</w:t>
            </w:r>
          </w:p>
        </w:tc>
        <w:tc>
          <w:tcPr>
            <w:tcW w:w="5040" w:type="dxa"/>
            <w:shd w:val="clear" w:color="auto" w:fill="auto"/>
          </w:tcPr>
          <w:p w14:paraId="52211020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Inadequate availability or functionality of rice farming equipment</w:t>
            </w:r>
          </w:p>
        </w:tc>
      </w:tr>
      <w:tr w:rsidR="008815D6" w:rsidRPr="00E5792C" w14:paraId="3D128048" w14:textId="77777777" w:rsidTr="00B005B8">
        <w:trPr>
          <w:jc w:val="left"/>
        </w:trPr>
        <w:tc>
          <w:tcPr>
            <w:tcW w:w="1440" w:type="dxa"/>
            <w:vMerge/>
            <w:shd w:val="clear" w:color="auto" w:fill="auto"/>
            <w:vAlign w:val="top"/>
          </w:tcPr>
          <w:p w14:paraId="66072E2A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3C82F28D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Insufficient family labor</w:t>
            </w:r>
          </w:p>
        </w:tc>
        <w:tc>
          <w:tcPr>
            <w:tcW w:w="5040" w:type="dxa"/>
            <w:shd w:val="clear" w:color="auto" w:fill="auto"/>
          </w:tcPr>
          <w:p w14:paraId="069FD747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Lack of available family members or household labor to adequately support rice farming tasks</w:t>
            </w:r>
          </w:p>
        </w:tc>
      </w:tr>
      <w:tr w:rsidR="008815D6" w:rsidRPr="00E5792C" w14:paraId="22FAAE09" w14:textId="77777777" w:rsidTr="00B005B8">
        <w:trPr>
          <w:jc w:val="left"/>
        </w:trPr>
        <w:tc>
          <w:tcPr>
            <w:tcW w:w="1440" w:type="dxa"/>
            <w:vMerge w:val="restart"/>
            <w:shd w:val="clear" w:color="auto" w:fill="auto"/>
            <w:vAlign w:val="top"/>
          </w:tcPr>
          <w:p w14:paraId="09D01A8F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External environmental risks</w:t>
            </w:r>
          </w:p>
        </w:tc>
        <w:tc>
          <w:tcPr>
            <w:tcW w:w="2790" w:type="dxa"/>
            <w:shd w:val="clear" w:color="auto" w:fill="auto"/>
          </w:tcPr>
          <w:p w14:paraId="0F978F9B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Environmental calamities</w:t>
            </w:r>
          </w:p>
        </w:tc>
        <w:tc>
          <w:tcPr>
            <w:tcW w:w="5040" w:type="dxa"/>
            <w:shd w:val="clear" w:color="auto" w:fill="auto"/>
          </w:tcPr>
          <w:p w14:paraId="446CF4DD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Sudden and severe natural disasters or events such as floods, droughts, or storms</w:t>
            </w:r>
          </w:p>
        </w:tc>
      </w:tr>
      <w:tr w:rsidR="008815D6" w:rsidRPr="00E5792C" w14:paraId="47E7B603" w14:textId="77777777" w:rsidTr="00B005B8">
        <w:trPr>
          <w:jc w:val="left"/>
        </w:trPr>
        <w:tc>
          <w:tcPr>
            <w:tcW w:w="1440" w:type="dxa"/>
            <w:vMerge/>
            <w:shd w:val="clear" w:color="auto" w:fill="auto"/>
            <w:vAlign w:val="top"/>
          </w:tcPr>
          <w:p w14:paraId="05F34A64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61799DDE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Intense weather conditions</w:t>
            </w:r>
          </w:p>
        </w:tc>
        <w:tc>
          <w:tcPr>
            <w:tcW w:w="5040" w:type="dxa"/>
            <w:shd w:val="clear" w:color="auto" w:fill="auto"/>
          </w:tcPr>
          <w:p w14:paraId="11AA28B1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Extreme or erratic weather events such as heavy rainfall, droughts, or heatwaves</w:t>
            </w:r>
          </w:p>
        </w:tc>
      </w:tr>
      <w:tr w:rsidR="008815D6" w:rsidRPr="00E5792C" w14:paraId="473C7E3B" w14:textId="77777777" w:rsidTr="00B005B8">
        <w:trPr>
          <w:jc w:val="left"/>
        </w:trPr>
        <w:tc>
          <w:tcPr>
            <w:tcW w:w="1440" w:type="dxa"/>
            <w:vMerge/>
            <w:shd w:val="clear" w:color="auto" w:fill="auto"/>
            <w:vAlign w:val="top"/>
          </w:tcPr>
          <w:p w14:paraId="1F3E7545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3A25AC49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Abundant precipitation</w:t>
            </w:r>
          </w:p>
        </w:tc>
        <w:tc>
          <w:tcPr>
            <w:tcW w:w="5040" w:type="dxa"/>
            <w:shd w:val="clear" w:color="auto" w:fill="auto"/>
          </w:tcPr>
          <w:p w14:paraId="524F4CA7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Excessive rainfall or moisture levels</w:t>
            </w:r>
          </w:p>
        </w:tc>
      </w:tr>
      <w:tr w:rsidR="008815D6" w:rsidRPr="00E5792C" w14:paraId="38819C51" w14:textId="77777777" w:rsidTr="00B005B8">
        <w:trPr>
          <w:jc w:val="left"/>
        </w:trPr>
        <w:tc>
          <w:tcPr>
            <w:tcW w:w="1440" w:type="dxa"/>
            <w:vMerge/>
            <w:shd w:val="clear" w:color="auto" w:fill="auto"/>
            <w:vAlign w:val="top"/>
          </w:tcPr>
          <w:p w14:paraId="76C375EC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438FCC6E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Pest and disease</w:t>
            </w:r>
          </w:p>
        </w:tc>
        <w:tc>
          <w:tcPr>
            <w:tcW w:w="5040" w:type="dxa"/>
            <w:shd w:val="clear" w:color="auto" w:fill="auto"/>
          </w:tcPr>
          <w:p w14:paraId="7EA26ECD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The threat posed by insects, pathogens, and other biological agents that can damage rice crops</w:t>
            </w:r>
          </w:p>
        </w:tc>
      </w:tr>
      <w:tr w:rsidR="008815D6" w:rsidRPr="00E5792C" w14:paraId="024607F1" w14:textId="77777777" w:rsidTr="00B005B8">
        <w:trPr>
          <w:jc w:val="left"/>
        </w:trPr>
        <w:tc>
          <w:tcPr>
            <w:tcW w:w="1440" w:type="dxa"/>
            <w:vMerge w:val="restart"/>
            <w:shd w:val="clear" w:color="auto" w:fill="auto"/>
            <w:vAlign w:val="top"/>
          </w:tcPr>
          <w:p w14:paraId="5F56B45A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Policy and support-related risks</w:t>
            </w:r>
          </w:p>
        </w:tc>
        <w:tc>
          <w:tcPr>
            <w:tcW w:w="2790" w:type="dxa"/>
            <w:shd w:val="clear" w:color="auto" w:fill="auto"/>
          </w:tcPr>
          <w:p w14:paraId="1C51D43D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Limited extension services</w:t>
            </w:r>
          </w:p>
        </w:tc>
        <w:tc>
          <w:tcPr>
            <w:tcW w:w="5040" w:type="dxa"/>
            <w:shd w:val="clear" w:color="auto" w:fill="auto"/>
          </w:tcPr>
          <w:p w14:paraId="0A47DF16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Insufficient access to agricultural education, training, and support for rice farmers</w:t>
            </w:r>
          </w:p>
        </w:tc>
      </w:tr>
      <w:tr w:rsidR="008815D6" w:rsidRPr="00E5792C" w14:paraId="58CA7CE6" w14:textId="77777777" w:rsidTr="00B005B8">
        <w:trPr>
          <w:jc w:val="left"/>
        </w:trPr>
        <w:tc>
          <w:tcPr>
            <w:tcW w:w="1440" w:type="dxa"/>
            <w:vMerge/>
            <w:shd w:val="clear" w:color="auto" w:fill="auto"/>
          </w:tcPr>
          <w:p w14:paraId="53AB5DD3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703B471C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Absence of contract farming</w:t>
            </w:r>
          </w:p>
        </w:tc>
        <w:tc>
          <w:tcPr>
            <w:tcW w:w="5040" w:type="dxa"/>
            <w:shd w:val="clear" w:color="auto" w:fill="auto"/>
          </w:tcPr>
          <w:p w14:paraId="2D23FDC0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Lack of formal agreements between rice farmers and buyers</w:t>
            </w:r>
          </w:p>
        </w:tc>
      </w:tr>
      <w:tr w:rsidR="008815D6" w:rsidRPr="00E5792C" w14:paraId="17023549" w14:textId="77777777" w:rsidTr="00B005B8">
        <w:trPr>
          <w:jc w:val="left"/>
        </w:trPr>
        <w:tc>
          <w:tcPr>
            <w:tcW w:w="1440" w:type="dxa"/>
            <w:vMerge/>
            <w:shd w:val="clear" w:color="auto" w:fill="auto"/>
          </w:tcPr>
          <w:p w14:paraId="6B266EB3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3C71BF7D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Shifts in local agricultural policies</w:t>
            </w:r>
          </w:p>
        </w:tc>
        <w:tc>
          <w:tcPr>
            <w:tcW w:w="5040" w:type="dxa"/>
            <w:shd w:val="clear" w:color="auto" w:fill="auto"/>
          </w:tcPr>
          <w:p w14:paraId="72CBFEFD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Sudden changes or alterations in government regulations or initiatives related to rice farming</w:t>
            </w:r>
          </w:p>
        </w:tc>
      </w:tr>
      <w:tr w:rsidR="008815D6" w:rsidRPr="00E5792C" w14:paraId="5DF34DD5" w14:textId="77777777" w:rsidTr="00B005B8">
        <w:trPr>
          <w:jc w:val="left"/>
        </w:trPr>
        <w:tc>
          <w:tcPr>
            <w:tcW w:w="1440" w:type="dxa"/>
            <w:vMerge/>
            <w:shd w:val="clear" w:color="auto" w:fill="auto"/>
          </w:tcPr>
          <w:p w14:paraId="4AC2F148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33AF471A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Absence of farmer cooperatives</w:t>
            </w:r>
          </w:p>
        </w:tc>
        <w:tc>
          <w:tcPr>
            <w:tcW w:w="5040" w:type="dxa"/>
            <w:shd w:val="clear" w:color="auto" w:fill="auto"/>
          </w:tcPr>
          <w:p w14:paraId="66477228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Lack of organized collective groups</w:t>
            </w:r>
          </w:p>
        </w:tc>
      </w:tr>
      <w:tr w:rsidR="008815D6" w:rsidRPr="00E5792C" w14:paraId="0D226ECB" w14:textId="77777777" w:rsidTr="00B005B8">
        <w:trPr>
          <w:jc w:val="left"/>
        </w:trPr>
        <w:tc>
          <w:tcPr>
            <w:tcW w:w="1440" w:type="dxa"/>
            <w:vMerge/>
            <w:tcBorders>
              <w:bottom w:val="single" w:sz="8" w:space="0" w:color="auto"/>
            </w:tcBorders>
            <w:shd w:val="clear" w:color="auto" w:fill="auto"/>
          </w:tcPr>
          <w:p w14:paraId="59FDD465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</w:p>
        </w:tc>
        <w:tc>
          <w:tcPr>
            <w:tcW w:w="2790" w:type="dxa"/>
            <w:tcBorders>
              <w:bottom w:val="single" w:sz="8" w:space="0" w:color="auto"/>
            </w:tcBorders>
            <w:shd w:val="clear" w:color="auto" w:fill="auto"/>
          </w:tcPr>
          <w:p w14:paraId="79CA15BB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sz w:val="20"/>
              </w:rPr>
              <w:t>Insufficient farm record-keeping</w:t>
            </w:r>
          </w:p>
        </w:tc>
        <w:tc>
          <w:tcPr>
            <w:tcW w:w="5040" w:type="dxa"/>
            <w:tcBorders>
              <w:bottom w:val="single" w:sz="8" w:space="0" w:color="auto"/>
            </w:tcBorders>
            <w:shd w:val="clear" w:color="auto" w:fill="auto"/>
          </w:tcPr>
          <w:p w14:paraId="58B0AE7A" w14:textId="77777777" w:rsidR="008815D6" w:rsidRPr="00E5792C" w:rsidRDefault="008815D6" w:rsidP="00B005B8">
            <w:pPr>
              <w:spacing w:before="0" w:after="0" w:line="276" w:lineRule="auto"/>
              <w:rPr>
                <w:color w:val="000000" w:themeColor="text1"/>
                <w:sz w:val="20"/>
              </w:rPr>
            </w:pPr>
            <w:r w:rsidRPr="00E5792C">
              <w:rPr>
                <w:color w:val="000000" w:themeColor="text1"/>
                <w:sz w:val="20"/>
              </w:rPr>
              <w:t>Inadequate documentation and tracking of farming activities, inputs, and outcomes</w:t>
            </w:r>
          </w:p>
        </w:tc>
      </w:tr>
    </w:tbl>
    <w:p w14:paraId="7D010782" w14:textId="77777777" w:rsidR="008815D6" w:rsidRDefault="008815D6" w:rsidP="008815D6">
      <w:pPr>
        <w:rPr>
          <w:b/>
        </w:rPr>
      </w:pPr>
    </w:p>
    <w:p w14:paraId="562F53AF" w14:textId="77777777" w:rsidR="008815D6" w:rsidRDefault="008815D6" w:rsidP="00896D9C">
      <w:pPr>
        <w:pStyle w:val="Heading1"/>
        <w:numPr>
          <w:ilvl w:val="0"/>
          <w:numId w:val="0"/>
        </w:numPr>
        <w:ind w:left="567" w:hanging="567"/>
        <w:rPr>
          <w:b w:val="0"/>
        </w:rPr>
      </w:pPr>
    </w:p>
    <w:p w14:paraId="0987A2D6" w14:textId="77777777" w:rsidR="000F1D1C" w:rsidRDefault="000F1D1C" w:rsidP="00E51ADF">
      <w:pPr>
        <w:rPr>
          <w:rFonts w:eastAsia="Cambria" w:cs="Times New Roman"/>
          <w:szCs w:val="24"/>
        </w:rPr>
      </w:pPr>
    </w:p>
    <w:p w14:paraId="0DB0EAB2" w14:textId="77777777" w:rsidR="000B7778" w:rsidRDefault="008B50E9" w:rsidP="000F1D1C">
      <w:pPr>
        <w:rPr>
          <w:b/>
        </w:rPr>
      </w:pPr>
      <w:r>
        <w:rPr>
          <w:b/>
        </w:rPr>
        <w:lastRenderedPageBreak/>
        <w:t xml:space="preserve">Appendix </w:t>
      </w:r>
      <w:r w:rsidR="007C09E3">
        <w:rPr>
          <w:b/>
        </w:rPr>
        <w:t>2</w:t>
      </w:r>
      <w:r w:rsidR="00E51ADF" w:rsidRPr="002C10AD">
        <w:rPr>
          <w:b/>
        </w:rPr>
        <w:t>.</w:t>
      </w:r>
    </w:p>
    <w:p w14:paraId="50E1976B" w14:textId="70627F0C" w:rsidR="00BA4935" w:rsidRPr="000F1D1C" w:rsidRDefault="00BA4935" w:rsidP="000F1D1C">
      <w:pPr>
        <w:rPr>
          <w:b/>
        </w:rPr>
      </w:pPr>
      <w:r w:rsidRPr="00BA4935">
        <w:rPr>
          <w:noProof/>
          <w:lang w:eastAsia="zh-CN"/>
        </w:rPr>
        <w:drawing>
          <wp:inline distT="0" distB="0" distL="0" distR="0" wp14:anchorId="426C4574" wp14:editId="6348AD32">
            <wp:extent cx="6206964" cy="7981950"/>
            <wp:effectExtent l="0" t="0" r="3810" b="0"/>
            <wp:docPr id="2" name="Picture 2" descr="C:\Users\DR。 Mohsin\Downloads\88197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。 Mohsin\Downloads\8819737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270" cy="798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22F75" w14:textId="06E3E483" w:rsidR="00BA4935" w:rsidRDefault="00BA4935" w:rsidP="00654E8F">
      <w:pPr>
        <w:spacing w:before="240"/>
      </w:pPr>
      <w:r w:rsidRPr="00BA4935">
        <w:rPr>
          <w:noProof/>
          <w:lang w:eastAsia="zh-CN"/>
        </w:rPr>
        <w:lastRenderedPageBreak/>
        <w:drawing>
          <wp:inline distT="0" distB="0" distL="0" distR="0" wp14:anchorId="665FC42C" wp14:editId="2A6C3B1F">
            <wp:extent cx="6207760" cy="8377311"/>
            <wp:effectExtent l="0" t="0" r="2540" b="5080"/>
            <wp:docPr id="3" name="Picture 3" descr="C:\Users\DR。 Mohsin\Downloads\96600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。 Mohsin\Downloads\9660023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63" cy="838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23547" w14:textId="3C136D09" w:rsidR="00BA4935" w:rsidRDefault="00BA4935" w:rsidP="00654E8F">
      <w:pPr>
        <w:spacing w:before="240"/>
      </w:pPr>
      <w:r w:rsidRPr="00BA4935">
        <w:rPr>
          <w:noProof/>
          <w:lang w:eastAsia="zh-CN"/>
        </w:rPr>
        <w:lastRenderedPageBreak/>
        <w:drawing>
          <wp:inline distT="0" distB="0" distL="0" distR="0" wp14:anchorId="45B6ACE6" wp14:editId="2CB13F8B">
            <wp:extent cx="6207760" cy="8525022"/>
            <wp:effectExtent l="0" t="0" r="2540" b="9525"/>
            <wp:docPr id="4" name="Picture 4" descr="C:\Users\DR。 Mohsin\Downloads\826968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。 Mohsin\Downloads\8269682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953" cy="852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ACD28" w14:textId="4AFEEEBE" w:rsidR="00BA4935" w:rsidRDefault="00F16A6F" w:rsidP="00654E8F">
      <w:pPr>
        <w:spacing w:before="240"/>
      </w:pPr>
      <w:r w:rsidRPr="00F16A6F">
        <w:rPr>
          <w:noProof/>
          <w:lang w:eastAsia="zh-CN"/>
        </w:rPr>
        <w:lastRenderedPageBreak/>
        <w:drawing>
          <wp:inline distT="0" distB="0" distL="0" distR="0" wp14:anchorId="49803C3A" wp14:editId="7630153B">
            <wp:extent cx="6207669" cy="8370277"/>
            <wp:effectExtent l="0" t="0" r="3175" b="0"/>
            <wp:docPr id="5" name="Picture 5" descr="C:\Users\DR。 Mohsin\Downloads\125865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。 Mohsin\Downloads\1258659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761" cy="837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9BB3A" w14:textId="19187E9A" w:rsidR="00F371E6" w:rsidRDefault="00F371E6" w:rsidP="00654E8F">
      <w:pPr>
        <w:spacing w:before="240"/>
      </w:pPr>
      <w:r w:rsidRPr="00F371E6">
        <w:rPr>
          <w:noProof/>
          <w:lang w:eastAsia="zh-CN"/>
        </w:rPr>
        <w:lastRenderedPageBreak/>
        <w:drawing>
          <wp:inline distT="0" distB="0" distL="0" distR="0" wp14:anchorId="477960A0" wp14:editId="6B857F17">
            <wp:extent cx="6207992" cy="8433582"/>
            <wp:effectExtent l="0" t="0" r="2540" b="5715"/>
            <wp:docPr id="8" name="Picture 8" descr="C:\Users\DR。 Mohsin\Downloads\162695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。 Mohsin\Downloads\16269593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69" cy="843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DA3F9" w14:textId="32EBA78E" w:rsidR="00F371E6" w:rsidRDefault="00F371E6" w:rsidP="00654E8F">
      <w:pPr>
        <w:spacing w:before="240"/>
      </w:pPr>
      <w:r w:rsidRPr="00F371E6">
        <w:rPr>
          <w:noProof/>
          <w:lang w:eastAsia="zh-CN"/>
        </w:rPr>
        <w:lastRenderedPageBreak/>
        <w:drawing>
          <wp:inline distT="0" distB="0" distL="0" distR="0" wp14:anchorId="670D517F" wp14:editId="6395DF32">
            <wp:extent cx="6207752" cy="8363243"/>
            <wp:effectExtent l="0" t="0" r="3175" b="0"/>
            <wp:docPr id="9" name="Picture 9" descr="C:\Users\DR。 Mohsin\Downloads\115592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。 Mohsin\Downloads\11559288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802" cy="836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42E14" w14:textId="77777777" w:rsidR="000F1D1C" w:rsidRPr="003A47AA" w:rsidRDefault="000F1D1C" w:rsidP="000F1D1C">
      <w:pPr>
        <w:pStyle w:val="Heading1"/>
        <w:numPr>
          <w:ilvl w:val="0"/>
          <w:numId w:val="0"/>
        </w:numPr>
        <w:ind w:left="567" w:hanging="567"/>
      </w:pPr>
      <w:r>
        <w:lastRenderedPageBreak/>
        <w:t>Appendix 3</w:t>
      </w:r>
      <w:r w:rsidRPr="002C10AD">
        <w:t>.</w:t>
      </w:r>
      <w:r>
        <w:rPr>
          <w:b w:val="0"/>
        </w:rPr>
        <w:t xml:space="preserve"> </w:t>
      </w:r>
      <w:r w:rsidRPr="003A47AA">
        <w:t>Values of a</w:t>
      </w:r>
      <w:r w:rsidRPr="003A47AA">
        <w:rPr>
          <w:i/>
        </w:rPr>
        <w:t>ij</w:t>
      </w:r>
      <w:r w:rsidRPr="003A47AA">
        <w:t xml:space="preserve"> (</w:t>
      </w:r>
      <w:r w:rsidRPr="003A47AA">
        <w:rPr>
          <w:i/>
        </w:rPr>
        <w:t>i</w:t>
      </w:r>
      <w:r w:rsidRPr="003A47AA">
        <w:t xml:space="preserve"> as a substitute of </w:t>
      </w:r>
      <w:r w:rsidRPr="003A47AA">
        <w:rPr>
          <w:i/>
        </w:rPr>
        <w:t>j</w:t>
      </w:r>
      <w:r w:rsidRPr="003A47AA">
        <w:t>) and their corresponding interpretation.</w:t>
      </w:r>
    </w:p>
    <w:tbl>
      <w:tblPr>
        <w:tblStyle w:val="MDPI41threelinetable"/>
        <w:tblW w:w="54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4410"/>
      </w:tblGrid>
      <w:tr w:rsidR="000F1D1C" w:rsidRPr="00CF7CAD" w14:paraId="34FB9B93" w14:textId="77777777" w:rsidTr="00B005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</w:tcPr>
          <w:p w14:paraId="5FF88CB5" w14:textId="77777777" w:rsidR="000F1D1C" w:rsidRPr="00CF7CAD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Scale</w:t>
            </w:r>
          </w:p>
        </w:tc>
        <w:tc>
          <w:tcPr>
            <w:tcW w:w="4410" w:type="dxa"/>
            <w:tcBorders>
              <w:top w:val="single" w:sz="8" w:space="0" w:color="auto"/>
            </w:tcBorders>
            <w:shd w:val="clear" w:color="auto" w:fill="auto"/>
          </w:tcPr>
          <w:p w14:paraId="5D3AD49E" w14:textId="77777777" w:rsidR="000F1D1C" w:rsidRPr="00CF7CAD" w:rsidRDefault="000F1D1C" w:rsidP="00B005B8">
            <w:pPr>
              <w:rPr>
                <w:color w:val="000000" w:themeColor="text1"/>
              </w:rPr>
            </w:pPr>
            <w:r w:rsidRPr="00CF7CAD">
              <w:rPr>
                <w:color w:val="000000" w:themeColor="text1"/>
              </w:rPr>
              <w:t>I</w:t>
            </w:r>
            <w:r>
              <w:rPr>
                <w:color w:val="000000" w:themeColor="text1"/>
              </w:rPr>
              <w:t>nterpretation</w:t>
            </w:r>
          </w:p>
        </w:tc>
      </w:tr>
      <w:tr w:rsidR="000F1D1C" w:rsidRPr="00CF7CAD" w14:paraId="5221E7FE" w14:textId="77777777" w:rsidTr="00B005B8">
        <w:tc>
          <w:tcPr>
            <w:tcW w:w="1080" w:type="dxa"/>
            <w:shd w:val="clear" w:color="auto" w:fill="auto"/>
          </w:tcPr>
          <w:p w14:paraId="338C18A4" w14:textId="77777777" w:rsidR="000F1D1C" w:rsidRPr="00CF7CAD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4410" w:type="dxa"/>
            <w:shd w:val="clear" w:color="auto" w:fill="auto"/>
          </w:tcPr>
          <w:p w14:paraId="209A14EF" w14:textId="77777777" w:rsidR="000F1D1C" w:rsidRPr="00CF7CAD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Strongly preferred</w:t>
            </w:r>
          </w:p>
        </w:tc>
      </w:tr>
      <w:tr w:rsidR="000F1D1C" w:rsidRPr="00CF7CAD" w14:paraId="7BE1D2DF" w14:textId="77777777" w:rsidTr="00B005B8">
        <w:tc>
          <w:tcPr>
            <w:tcW w:w="1080" w:type="dxa"/>
            <w:shd w:val="clear" w:color="auto" w:fill="auto"/>
          </w:tcPr>
          <w:p w14:paraId="79CDECF0" w14:textId="77777777" w:rsidR="000F1D1C" w:rsidRPr="00CF7CAD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4410" w:type="dxa"/>
            <w:shd w:val="clear" w:color="auto" w:fill="auto"/>
          </w:tcPr>
          <w:p w14:paraId="6C07A214" w14:textId="77777777" w:rsidR="000F1D1C" w:rsidRPr="00CF7CAD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Equal to moderately preferred</w:t>
            </w:r>
          </w:p>
        </w:tc>
      </w:tr>
      <w:tr w:rsidR="000F1D1C" w:rsidRPr="00CF7CAD" w14:paraId="5D71F2DC" w14:textId="77777777" w:rsidTr="00B005B8">
        <w:tc>
          <w:tcPr>
            <w:tcW w:w="1080" w:type="dxa"/>
            <w:shd w:val="clear" w:color="auto" w:fill="auto"/>
          </w:tcPr>
          <w:p w14:paraId="2163ADB9" w14:textId="77777777" w:rsidR="000F1D1C" w:rsidRPr="00CF7CAD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4410" w:type="dxa"/>
            <w:shd w:val="clear" w:color="auto" w:fill="auto"/>
          </w:tcPr>
          <w:p w14:paraId="080C5DAA" w14:textId="77777777" w:rsidR="000F1D1C" w:rsidRPr="00CF7CAD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Moderately preferred</w:t>
            </w:r>
          </w:p>
        </w:tc>
      </w:tr>
      <w:tr w:rsidR="000F1D1C" w:rsidRPr="00CF7CAD" w14:paraId="60CFD1A5" w14:textId="77777777" w:rsidTr="00B005B8">
        <w:tc>
          <w:tcPr>
            <w:tcW w:w="1080" w:type="dxa"/>
            <w:shd w:val="clear" w:color="auto" w:fill="auto"/>
          </w:tcPr>
          <w:p w14:paraId="777ED349" w14:textId="77777777" w:rsidR="000F1D1C" w:rsidRPr="00CF7CAD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4410" w:type="dxa"/>
            <w:shd w:val="clear" w:color="auto" w:fill="auto"/>
          </w:tcPr>
          <w:p w14:paraId="577C90E7" w14:textId="77777777" w:rsidR="000F1D1C" w:rsidRPr="00CF7CAD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Moderately to strongly preferred</w:t>
            </w:r>
          </w:p>
        </w:tc>
      </w:tr>
      <w:tr w:rsidR="000F1D1C" w:rsidRPr="00CF7CAD" w14:paraId="7E8B0D27" w14:textId="77777777" w:rsidTr="00B005B8">
        <w:tc>
          <w:tcPr>
            <w:tcW w:w="1080" w:type="dxa"/>
            <w:shd w:val="clear" w:color="auto" w:fill="auto"/>
          </w:tcPr>
          <w:p w14:paraId="1FAA9E14" w14:textId="77777777" w:rsidR="000F1D1C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4410" w:type="dxa"/>
            <w:shd w:val="clear" w:color="auto" w:fill="auto"/>
          </w:tcPr>
          <w:p w14:paraId="6F7F37C2" w14:textId="77777777" w:rsidR="000F1D1C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Strongly preferred</w:t>
            </w:r>
          </w:p>
        </w:tc>
      </w:tr>
      <w:tr w:rsidR="000F1D1C" w:rsidRPr="00CF7CAD" w14:paraId="48EB1E73" w14:textId="77777777" w:rsidTr="00B005B8">
        <w:tc>
          <w:tcPr>
            <w:tcW w:w="1080" w:type="dxa"/>
            <w:shd w:val="clear" w:color="auto" w:fill="auto"/>
          </w:tcPr>
          <w:p w14:paraId="37847ECA" w14:textId="77777777" w:rsidR="000F1D1C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4410" w:type="dxa"/>
            <w:shd w:val="clear" w:color="auto" w:fill="auto"/>
          </w:tcPr>
          <w:p w14:paraId="7100DB54" w14:textId="77777777" w:rsidR="000F1D1C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Strongly to very strongly preferred</w:t>
            </w:r>
          </w:p>
        </w:tc>
      </w:tr>
      <w:tr w:rsidR="000F1D1C" w:rsidRPr="00CF7CAD" w14:paraId="4B872875" w14:textId="77777777" w:rsidTr="00B005B8">
        <w:tc>
          <w:tcPr>
            <w:tcW w:w="1080" w:type="dxa"/>
            <w:shd w:val="clear" w:color="auto" w:fill="auto"/>
          </w:tcPr>
          <w:p w14:paraId="7EFC0235" w14:textId="77777777" w:rsidR="000F1D1C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4410" w:type="dxa"/>
            <w:shd w:val="clear" w:color="auto" w:fill="auto"/>
          </w:tcPr>
          <w:p w14:paraId="24EDA2B1" w14:textId="77777777" w:rsidR="000F1D1C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Strongly preferred</w:t>
            </w:r>
          </w:p>
        </w:tc>
      </w:tr>
      <w:tr w:rsidR="000F1D1C" w:rsidRPr="00CF7CAD" w14:paraId="068F8E74" w14:textId="77777777" w:rsidTr="00B005B8">
        <w:tc>
          <w:tcPr>
            <w:tcW w:w="1080" w:type="dxa"/>
            <w:shd w:val="clear" w:color="auto" w:fill="auto"/>
          </w:tcPr>
          <w:p w14:paraId="1B27E746" w14:textId="77777777" w:rsidR="000F1D1C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4410" w:type="dxa"/>
            <w:shd w:val="clear" w:color="auto" w:fill="auto"/>
          </w:tcPr>
          <w:p w14:paraId="64E028F1" w14:textId="77777777" w:rsidR="000F1D1C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Very strongly to extremely preferred</w:t>
            </w:r>
          </w:p>
        </w:tc>
      </w:tr>
      <w:tr w:rsidR="000F1D1C" w:rsidRPr="00CF7CAD" w14:paraId="58D7D14F" w14:textId="77777777" w:rsidTr="00B005B8"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</w:tcPr>
          <w:p w14:paraId="4C58B701" w14:textId="77777777" w:rsidR="000F1D1C" w:rsidRPr="00CF7CAD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4410" w:type="dxa"/>
            <w:tcBorders>
              <w:bottom w:val="single" w:sz="8" w:space="0" w:color="auto"/>
            </w:tcBorders>
            <w:shd w:val="clear" w:color="auto" w:fill="auto"/>
          </w:tcPr>
          <w:p w14:paraId="02718A6B" w14:textId="77777777" w:rsidR="000F1D1C" w:rsidRPr="00CF7CAD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Extremely preferred</w:t>
            </w:r>
          </w:p>
        </w:tc>
      </w:tr>
    </w:tbl>
    <w:p w14:paraId="6A85A482" w14:textId="77777777" w:rsidR="000F1D1C" w:rsidRDefault="000F1D1C" w:rsidP="000F1D1C">
      <w:pPr>
        <w:spacing w:before="100" w:beforeAutospacing="1" w:after="100" w:afterAutospacing="1"/>
        <w:jc w:val="center"/>
        <w:rPr>
          <w:color w:val="000000" w:themeColor="text1"/>
        </w:rPr>
      </w:pPr>
      <w:r w:rsidRPr="00983EB5">
        <w:rPr>
          <w:color w:val="000000" w:themeColor="text1"/>
        </w:rPr>
        <w:t xml:space="preserve">Note: Adopted from </w:t>
      </w:r>
      <w:r>
        <w:rPr>
          <w:color w:val="000000" w:themeColor="text1"/>
        </w:rPr>
        <w:t>Saaty, 2005.</w:t>
      </w:r>
    </w:p>
    <w:p w14:paraId="2404F3C8" w14:textId="77777777" w:rsidR="000F1D1C" w:rsidRPr="002F425D" w:rsidRDefault="000F1D1C" w:rsidP="000F1D1C">
      <w:pPr>
        <w:rPr>
          <w:b/>
        </w:rPr>
      </w:pPr>
      <w:r>
        <w:rPr>
          <w:b/>
        </w:rPr>
        <w:t>Appendix 4</w:t>
      </w:r>
      <w:r w:rsidRPr="002C10AD">
        <w:rPr>
          <w:b/>
        </w:rPr>
        <w:t>.</w:t>
      </w:r>
      <w:r>
        <w:rPr>
          <w:b/>
        </w:rPr>
        <w:t xml:space="preserve"> </w:t>
      </w:r>
      <w:r w:rsidRPr="008B50E9">
        <w:rPr>
          <w:rFonts w:eastAsia="Times New Roman" w:cs="Times New Roman"/>
          <w:b/>
          <w:szCs w:val="24"/>
          <w:lang w:val="en-GB" w:eastAsia="en-GB"/>
        </w:rPr>
        <w:t>Matrix values and associated RCI scores.</w:t>
      </w:r>
    </w:p>
    <w:tbl>
      <w:tblPr>
        <w:tblStyle w:val="MDPI41threelinetable"/>
        <w:tblW w:w="8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7"/>
        <w:gridCol w:w="728"/>
        <w:gridCol w:w="695"/>
        <w:gridCol w:w="630"/>
        <w:gridCol w:w="630"/>
        <w:gridCol w:w="720"/>
        <w:gridCol w:w="720"/>
        <w:gridCol w:w="810"/>
        <w:gridCol w:w="720"/>
        <w:gridCol w:w="810"/>
        <w:gridCol w:w="810"/>
      </w:tblGrid>
      <w:tr w:rsidR="000F1D1C" w:rsidRPr="00CF7CAD" w14:paraId="1B5F0B56" w14:textId="77777777" w:rsidTr="00B005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67" w:type="dxa"/>
            <w:tcBorders>
              <w:top w:val="single" w:sz="8" w:space="0" w:color="auto"/>
            </w:tcBorders>
            <w:shd w:val="clear" w:color="auto" w:fill="auto"/>
          </w:tcPr>
          <w:p w14:paraId="6D09105A" w14:textId="77777777" w:rsidR="000F1D1C" w:rsidRPr="001F60CB" w:rsidRDefault="000F1D1C" w:rsidP="00B005B8">
            <w:pPr>
              <w:rPr>
                <w:b w:val="0"/>
                <w:color w:val="000000" w:themeColor="text1"/>
              </w:rPr>
            </w:pPr>
            <w:r w:rsidRPr="001F60CB">
              <w:rPr>
                <w:b w:val="0"/>
                <w:color w:val="000000" w:themeColor="text1"/>
              </w:rPr>
              <w:t>Matrix value</w:t>
            </w:r>
          </w:p>
        </w:tc>
        <w:tc>
          <w:tcPr>
            <w:tcW w:w="728" w:type="dxa"/>
            <w:tcBorders>
              <w:top w:val="single" w:sz="8" w:space="0" w:color="auto"/>
            </w:tcBorders>
            <w:shd w:val="clear" w:color="auto" w:fill="auto"/>
          </w:tcPr>
          <w:p w14:paraId="0FC53E97" w14:textId="77777777" w:rsidR="000F1D1C" w:rsidRPr="001F60CB" w:rsidRDefault="000F1D1C" w:rsidP="00B005B8">
            <w:pPr>
              <w:rPr>
                <w:b w:val="0"/>
                <w:color w:val="000000" w:themeColor="text1"/>
              </w:rPr>
            </w:pPr>
            <w:r w:rsidRPr="001F60CB">
              <w:rPr>
                <w:b w:val="0"/>
                <w:color w:val="000000" w:themeColor="text1"/>
              </w:rPr>
              <w:t>1</w:t>
            </w:r>
          </w:p>
        </w:tc>
        <w:tc>
          <w:tcPr>
            <w:tcW w:w="695" w:type="dxa"/>
            <w:tcBorders>
              <w:top w:val="single" w:sz="8" w:space="0" w:color="auto"/>
            </w:tcBorders>
            <w:shd w:val="clear" w:color="auto" w:fill="auto"/>
          </w:tcPr>
          <w:p w14:paraId="1CFEDDEE" w14:textId="77777777" w:rsidR="000F1D1C" w:rsidRPr="001F60CB" w:rsidRDefault="000F1D1C" w:rsidP="00B005B8">
            <w:pPr>
              <w:rPr>
                <w:b w:val="0"/>
                <w:color w:val="000000" w:themeColor="text1"/>
              </w:rPr>
            </w:pPr>
            <w:r w:rsidRPr="001F60CB">
              <w:rPr>
                <w:b w:val="0"/>
                <w:color w:val="000000" w:themeColor="text1"/>
              </w:rPr>
              <w:t>2</w:t>
            </w:r>
          </w:p>
        </w:tc>
        <w:tc>
          <w:tcPr>
            <w:tcW w:w="630" w:type="dxa"/>
            <w:tcBorders>
              <w:top w:val="single" w:sz="8" w:space="0" w:color="auto"/>
            </w:tcBorders>
          </w:tcPr>
          <w:p w14:paraId="7894BA57" w14:textId="77777777" w:rsidR="000F1D1C" w:rsidRPr="001F60CB" w:rsidRDefault="000F1D1C" w:rsidP="00B005B8">
            <w:pPr>
              <w:rPr>
                <w:b w:val="0"/>
                <w:color w:val="000000" w:themeColor="text1"/>
              </w:rPr>
            </w:pPr>
            <w:r w:rsidRPr="001F60CB">
              <w:rPr>
                <w:b w:val="0"/>
                <w:color w:val="000000" w:themeColor="text1"/>
              </w:rPr>
              <w:t>3</w:t>
            </w:r>
          </w:p>
        </w:tc>
        <w:tc>
          <w:tcPr>
            <w:tcW w:w="630" w:type="dxa"/>
            <w:tcBorders>
              <w:top w:val="single" w:sz="8" w:space="0" w:color="auto"/>
            </w:tcBorders>
          </w:tcPr>
          <w:p w14:paraId="7CBD955C" w14:textId="77777777" w:rsidR="000F1D1C" w:rsidRPr="001F60CB" w:rsidRDefault="000F1D1C" w:rsidP="00B005B8">
            <w:pPr>
              <w:rPr>
                <w:b w:val="0"/>
                <w:color w:val="000000" w:themeColor="text1"/>
              </w:rPr>
            </w:pPr>
            <w:r w:rsidRPr="001F60CB">
              <w:rPr>
                <w:b w:val="0"/>
                <w:color w:val="000000" w:themeColor="text1"/>
              </w:rPr>
              <w:t>4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14:paraId="1017F112" w14:textId="77777777" w:rsidR="000F1D1C" w:rsidRPr="001F60CB" w:rsidRDefault="000F1D1C" w:rsidP="00B005B8">
            <w:pPr>
              <w:rPr>
                <w:b w:val="0"/>
                <w:color w:val="000000" w:themeColor="text1"/>
              </w:rPr>
            </w:pPr>
            <w:r w:rsidRPr="001F60CB">
              <w:rPr>
                <w:b w:val="0"/>
                <w:color w:val="000000" w:themeColor="text1"/>
              </w:rPr>
              <w:t>5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14:paraId="018802C1" w14:textId="77777777" w:rsidR="000F1D1C" w:rsidRPr="001F60CB" w:rsidRDefault="000F1D1C" w:rsidP="00B005B8">
            <w:pPr>
              <w:rPr>
                <w:b w:val="0"/>
                <w:color w:val="000000" w:themeColor="text1"/>
              </w:rPr>
            </w:pPr>
            <w:r w:rsidRPr="001F60CB">
              <w:rPr>
                <w:b w:val="0"/>
                <w:color w:val="000000" w:themeColor="text1"/>
              </w:rPr>
              <w:t>6</w:t>
            </w:r>
          </w:p>
        </w:tc>
        <w:tc>
          <w:tcPr>
            <w:tcW w:w="810" w:type="dxa"/>
            <w:tcBorders>
              <w:top w:val="single" w:sz="8" w:space="0" w:color="auto"/>
            </w:tcBorders>
          </w:tcPr>
          <w:p w14:paraId="59DE56F7" w14:textId="77777777" w:rsidR="000F1D1C" w:rsidRPr="001F60CB" w:rsidRDefault="000F1D1C" w:rsidP="00B005B8">
            <w:pPr>
              <w:rPr>
                <w:b w:val="0"/>
                <w:color w:val="000000" w:themeColor="text1"/>
              </w:rPr>
            </w:pPr>
            <w:r w:rsidRPr="001F60CB">
              <w:rPr>
                <w:b w:val="0"/>
                <w:color w:val="000000" w:themeColor="text1"/>
              </w:rPr>
              <w:t>7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14:paraId="41BB2C0E" w14:textId="77777777" w:rsidR="000F1D1C" w:rsidRPr="001F60CB" w:rsidRDefault="000F1D1C" w:rsidP="00B005B8">
            <w:pPr>
              <w:rPr>
                <w:b w:val="0"/>
                <w:color w:val="000000" w:themeColor="text1"/>
              </w:rPr>
            </w:pPr>
            <w:r w:rsidRPr="001F60CB">
              <w:rPr>
                <w:b w:val="0"/>
                <w:color w:val="000000" w:themeColor="text1"/>
              </w:rPr>
              <w:t>8</w:t>
            </w:r>
          </w:p>
        </w:tc>
        <w:tc>
          <w:tcPr>
            <w:tcW w:w="810" w:type="dxa"/>
            <w:tcBorders>
              <w:top w:val="single" w:sz="8" w:space="0" w:color="auto"/>
            </w:tcBorders>
          </w:tcPr>
          <w:p w14:paraId="4495F0B9" w14:textId="77777777" w:rsidR="000F1D1C" w:rsidRPr="001F60CB" w:rsidRDefault="000F1D1C" w:rsidP="00B005B8">
            <w:pPr>
              <w:rPr>
                <w:b w:val="0"/>
                <w:color w:val="000000" w:themeColor="text1"/>
              </w:rPr>
            </w:pPr>
            <w:r w:rsidRPr="001F60CB">
              <w:rPr>
                <w:b w:val="0"/>
                <w:color w:val="000000" w:themeColor="text1"/>
              </w:rPr>
              <w:t>9</w:t>
            </w:r>
          </w:p>
        </w:tc>
        <w:tc>
          <w:tcPr>
            <w:tcW w:w="810" w:type="dxa"/>
            <w:tcBorders>
              <w:top w:val="single" w:sz="8" w:space="0" w:color="auto"/>
            </w:tcBorders>
          </w:tcPr>
          <w:p w14:paraId="4740C8AA" w14:textId="77777777" w:rsidR="000F1D1C" w:rsidRPr="001F60CB" w:rsidRDefault="000F1D1C" w:rsidP="00B005B8">
            <w:pPr>
              <w:rPr>
                <w:b w:val="0"/>
                <w:color w:val="000000" w:themeColor="text1"/>
              </w:rPr>
            </w:pPr>
            <w:r w:rsidRPr="001F60CB">
              <w:rPr>
                <w:b w:val="0"/>
                <w:color w:val="000000" w:themeColor="text1"/>
              </w:rPr>
              <w:t>10</w:t>
            </w:r>
          </w:p>
        </w:tc>
      </w:tr>
      <w:tr w:rsidR="000F1D1C" w:rsidRPr="00CF7CAD" w14:paraId="5083A0B6" w14:textId="77777777" w:rsidTr="00B005B8">
        <w:tc>
          <w:tcPr>
            <w:tcW w:w="1367" w:type="dxa"/>
            <w:tcBorders>
              <w:bottom w:val="single" w:sz="8" w:space="0" w:color="auto"/>
            </w:tcBorders>
            <w:shd w:val="clear" w:color="auto" w:fill="auto"/>
          </w:tcPr>
          <w:p w14:paraId="28429319" w14:textId="77777777" w:rsidR="000F1D1C" w:rsidRPr="00CF7CAD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RCI</w:t>
            </w:r>
          </w:p>
        </w:tc>
        <w:tc>
          <w:tcPr>
            <w:tcW w:w="728" w:type="dxa"/>
            <w:tcBorders>
              <w:bottom w:val="single" w:sz="8" w:space="0" w:color="auto"/>
            </w:tcBorders>
            <w:shd w:val="clear" w:color="auto" w:fill="auto"/>
          </w:tcPr>
          <w:p w14:paraId="1D11EA0B" w14:textId="77777777" w:rsidR="000F1D1C" w:rsidRPr="00CF7CAD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0.00</w:t>
            </w:r>
          </w:p>
        </w:tc>
        <w:tc>
          <w:tcPr>
            <w:tcW w:w="695" w:type="dxa"/>
            <w:tcBorders>
              <w:bottom w:val="single" w:sz="8" w:space="0" w:color="auto"/>
            </w:tcBorders>
            <w:shd w:val="clear" w:color="auto" w:fill="auto"/>
          </w:tcPr>
          <w:p w14:paraId="534C782B" w14:textId="77777777" w:rsidR="000F1D1C" w:rsidRPr="00CF7CAD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0.00</w:t>
            </w:r>
          </w:p>
        </w:tc>
        <w:tc>
          <w:tcPr>
            <w:tcW w:w="630" w:type="dxa"/>
            <w:tcBorders>
              <w:bottom w:val="single" w:sz="8" w:space="0" w:color="auto"/>
            </w:tcBorders>
          </w:tcPr>
          <w:p w14:paraId="37AAF119" w14:textId="77777777" w:rsidR="000F1D1C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0.58</w:t>
            </w:r>
          </w:p>
        </w:tc>
        <w:tc>
          <w:tcPr>
            <w:tcW w:w="630" w:type="dxa"/>
            <w:tcBorders>
              <w:bottom w:val="single" w:sz="8" w:space="0" w:color="auto"/>
            </w:tcBorders>
          </w:tcPr>
          <w:p w14:paraId="33F02001" w14:textId="77777777" w:rsidR="000F1D1C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0.90</w:t>
            </w:r>
          </w:p>
        </w:tc>
        <w:tc>
          <w:tcPr>
            <w:tcW w:w="720" w:type="dxa"/>
            <w:tcBorders>
              <w:bottom w:val="single" w:sz="8" w:space="0" w:color="auto"/>
            </w:tcBorders>
          </w:tcPr>
          <w:p w14:paraId="1E088AA0" w14:textId="77777777" w:rsidR="000F1D1C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1.12</w:t>
            </w:r>
          </w:p>
        </w:tc>
        <w:tc>
          <w:tcPr>
            <w:tcW w:w="720" w:type="dxa"/>
            <w:tcBorders>
              <w:bottom w:val="single" w:sz="8" w:space="0" w:color="auto"/>
            </w:tcBorders>
          </w:tcPr>
          <w:p w14:paraId="48BAE1CF" w14:textId="77777777" w:rsidR="000F1D1C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1.24</w:t>
            </w:r>
          </w:p>
        </w:tc>
        <w:tc>
          <w:tcPr>
            <w:tcW w:w="810" w:type="dxa"/>
            <w:tcBorders>
              <w:bottom w:val="single" w:sz="8" w:space="0" w:color="auto"/>
            </w:tcBorders>
          </w:tcPr>
          <w:p w14:paraId="44759931" w14:textId="77777777" w:rsidR="000F1D1C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1.32</w:t>
            </w:r>
          </w:p>
        </w:tc>
        <w:tc>
          <w:tcPr>
            <w:tcW w:w="720" w:type="dxa"/>
            <w:tcBorders>
              <w:bottom w:val="single" w:sz="8" w:space="0" w:color="auto"/>
            </w:tcBorders>
          </w:tcPr>
          <w:p w14:paraId="6E82C237" w14:textId="77777777" w:rsidR="000F1D1C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1.41</w:t>
            </w:r>
          </w:p>
        </w:tc>
        <w:tc>
          <w:tcPr>
            <w:tcW w:w="810" w:type="dxa"/>
            <w:tcBorders>
              <w:bottom w:val="single" w:sz="8" w:space="0" w:color="auto"/>
            </w:tcBorders>
          </w:tcPr>
          <w:p w14:paraId="2961BAE2" w14:textId="77777777" w:rsidR="000F1D1C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1.45</w:t>
            </w:r>
          </w:p>
        </w:tc>
        <w:tc>
          <w:tcPr>
            <w:tcW w:w="810" w:type="dxa"/>
            <w:tcBorders>
              <w:bottom w:val="single" w:sz="8" w:space="0" w:color="auto"/>
            </w:tcBorders>
          </w:tcPr>
          <w:p w14:paraId="254B302B" w14:textId="77777777" w:rsidR="000F1D1C" w:rsidRDefault="000F1D1C" w:rsidP="00B005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1.49</w:t>
            </w:r>
          </w:p>
        </w:tc>
      </w:tr>
    </w:tbl>
    <w:p w14:paraId="64B93DB5" w14:textId="77777777" w:rsidR="000F1D1C" w:rsidRDefault="000F1D1C" w:rsidP="000F1D1C">
      <w:pPr>
        <w:spacing w:before="100" w:beforeAutospacing="1" w:after="100" w:afterAutospacing="1"/>
        <w:jc w:val="center"/>
        <w:rPr>
          <w:color w:val="000000" w:themeColor="text1"/>
        </w:rPr>
      </w:pPr>
      <w:r w:rsidRPr="00983EB5">
        <w:rPr>
          <w:color w:val="000000" w:themeColor="text1"/>
        </w:rPr>
        <w:t xml:space="preserve">Note: Adopted from </w:t>
      </w:r>
      <w:r>
        <w:rPr>
          <w:color w:val="000000" w:themeColor="text1"/>
        </w:rPr>
        <w:t>Saaty, 2005.</w:t>
      </w:r>
    </w:p>
    <w:p w14:paraId="1587C78F" w14:textId="77777777" w:rsidR="000F1D1C" w:rsidRDefault="000F1D1C" w:rsidP="00654E8F">
      <w:pPr>
        <w:spacing w:before="240"/>
      </w:pPr>
    </w:p>
    <w:sectPr w:rsidR="000F1D1C" w:rsidSect="000F1D1C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260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124675" w14:textId="77777777" w:rsidR="00904AC9" w:rsidRDefault="00904AC9" w:rsidP="00117666">
      <w:pPr>
        <w:spacing w:after="0"/>
      </w:pPr>
      <w:r>
        <w:separator/>
      </w:r>
    </w:p>
  </w:endnote>
  <w:endnote w:type="continuationSeparator" w:id="0">
    <w:p w14:paraId="58E2E045" w14:textId="77777777" w:rsidR="00904AC9" w:rsidRDefault="00904AC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09644D58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758B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09644D58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758BE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02924EF4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758B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02924EF4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758BE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E87250" w14:textId="77777777" w:rsidR="00904AC9" w:rsidRDefault="00904AC9" w:rsidP="00117666">
      <w:pPr>
        <w:spacing w:after="0"/>
      </w:pPr>
      <w:r>
        <w:separator/>
      </w:r>
    </w:p>
  </w:footnote>
  <w:footnote w:type="continuationSeparator" w:id="0">
    <w:p w14:paraId="3373A648" w14:textId="77777777" w:rsidR="00904AC9" w:rsidRDefault="00904AC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7EAE9060" wp14:editId="09E5B960">
          <wp:extent cx="1382534" cy="497091"/>
          <wp:effectExtent l="0" t="0" r="0" b="0"/>
          <wp:docPr id="14" name="Picture 14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34DC"/>
    <w:rsid w:val="00033562"/>
    <w:rsid w:val="00034304"/>
    <w:rsid w:val="00035434"/>
    <w:rsid w:val="0005001E"/>
    <w:rsid w:val="00050B81"/>
    <w:rsid w:val="00052A14"/>
    <w:rsid w:val="000539F4"/>
    <w:rsid w:val="00077D53"/>
    <w:rsid w:val="00077EF6"/>
    <w:rsid w:val="0009335B"/>
    <w:rsid w:val="00096F4E"/>
    <w:rsid w:val="000B16C8"/>
    <w:rsid w:val="000B7778"/>
    <w:rsid w:val="000C6280"/>
    <w:rsid w:val="000F1D1C"/>
    <w:rsid w:val="00105FD9"/>
    <w:rsid w:val="001076D2"/>
    <w:rsid w:val="00110AE3"/>
    <w:rsid w:val="00117666"/>
    <w:rsid w:val="00127309"/>
    <w:rsid w:val="00143565"/>
    <w:rsid w:val="00144C67"/>
    <w:rsid w:val="00153C5E"/>
    <w:rsid w:val="001549D3"/>
    <w:rsid w:val="00160065"/>
    <w:rsid w:val="00177D84"/>
    <w:rsid w:val="001B52FC"/>
    <w:rsid w:val="001D0B58"/>
    <w:rsid w:val="001F4A63"/>
    <w:rsid w:val="001F60CB"/>
    <w:rsid w:val="002354AD"/>
    <w:rsid w:val="00267D18"/>
    <w:rsid w:val="0027692A"/>
    <w:rsid w:val="00282606"/>
    <w:rsid w:val="002868E2"/>
    <w:rsid w:val="002869C3"/>
    <w:rsid w:val="00287E35"/>
    <w:rsid w:val="002936E4"/>
    <w:rsid w:val="00296D48"/>
    <w:rsid w:val="002B4A57"/>
    <w:rsid w:val="002C10AD"/>
    <w:rsid w:val="002C722B"/>
    <w:rsid w:val="002C74CA"/>
    <w:rsid w:val="002D226A"/>
    <w:rsid w:val="002D4686"/>
    <w:rsid w:val="002F425D"/>
    <w:rsid w:val="003263D2"/>
    <w:rsid w:val="003269F8"/>
    <w:rsid w:val="003543E3"/>
    <w:rsid w:val="003544FB"/>
    <w:rsid w:val="003A47AA"/>
    <w:rsid w:val="003B7DC5"/>
    <w:rsid w:val="003D2D47"/>
    <w:rsid w:val="003D2F2D"/>
    <w:rsid w:val="003F029E"/>
    <w:rsid w:val="00401590"/>
    <w:rsid w:val="00431530"/>
    <w:rsid w:val="00441440"/>
    <w:rsid w:val="00447801"/>
    <w:rsid w:val="00452E9C"/>
    <w:rsid w:val="004735C8"/>
    <w:rsid w:val="00486EC1"/>
    <w:rsid w:val="0049024A"/>
    <w:rsid w:val="004961FF"/>
    <w:rsid w:val="004A6CD9"/>
    <w:rsid w:val="004C3600"/>
    <w:rsid w:val="004D1C86"/>
    <w:rsid w:val="00517A89"/>
    <w:rsid w:val="005250F2"/>
    <w:rsid w:val="00540865"/>
    <w:rsid w:val="00540927"/>
    <w:rsid w:val="00574418"/>
    <w:rsid w:val="00593EEA"/>
    <w:rsid w:val="00597269"/>
    <w:rsid w:val="005A36C7"/>
    <w:rsid w:val="005A42E0"/>
    <w:rsid w:val="005A5EEE"/>
    <w:rsid w:val="005C5023"/>
    <w:rsid w:val="00627271"/>
    <w:rsid w:val="006375C7"/>
    <w:rsid w:val="006451CD"/>
    <w:rsid w:val="006525B0"/>
    <w:rsid w:val="00654E8F"/>
    <w:rsid w:val="00660D05"/>
    <w:rsid w:val="006820B1"/>
    <w:rsid w:val="00690182"/>
    <w:rsid w:val="006A769D"/>
    <w:rsid w:val="006B6855"/>
    <w:rsid w:val="006B7D14"/>
    <w:rsid w:val="006F22CB"/>
    <w:rsid w:val="006F2F44"/>
    <w:rsid w:val="006F330C"/>
    <w:rsid w:val="00701727"/>
    <w:rsid w:val="0070566C"/>
    <w:rsid w:val="00714C50"/>
    <w:rsid w:val="00720D27"/>
    <w:rsid w:val="00721DFD"/>
    <w:rsid w:val="00725A7D"/>
    <w:rsid w:val="007501BE"/>
    <w:rsid w:val="00757731"/>
    <w:rsid w:val="00764FC6"/>
    <w:rsid w:val="00786803"/>
    <w:rsid w:val="00790BB3"/>
    <w:rsid w:val="007A1128"/>
    <w:rsid w:val="007C09E3"/>
    <w:rsid w:val="007C206C"/>
    <w:rsid w:val="007F6124"/>
    <w:rsid w:val="00803D24"/>
    <w:rsid w:val="00817DD6"/>
    <w:rsid w:val="008442BE"/>
    <w:rsid w:val="008815D6"/>
    <w:rsid w:val="00883950"/>
    <w:rsid w:val="00884F8E"/>
    <w:rsid w:val="00885156"/>
    <w:rsid w:val="00896D9C"/>
    <w:rsid w:val="008B50E9"/>
    <w:rsid w:val="008D6C40"/>
    <w:rsid w:val="00904AC9"/>
    <w:rsid w:val="009151AA"/>
    <w:rsid w:val="00915B78"/>
    <w:rsid w:val="0093429D"/>
    <w:rsid w:val="00943573"/>
    <w:rsid w:val="00970F0C"/>
    <w:rsid w:val="00970F7D"/>
    <w:rsid w:val="00994A3D"/>
    <w:rsid w:val="009A290F"/>
    <w:rsid w:val="009C2B12"/>
    <w:rsid w:val="009C70F3"/>
    <w:rsid w:val="009E3145"/>
    <w:rsid w:val="009F413B"/>
    <w:rsid w:val="00A04C71"/>
    <w:rsid w:val="00A174D9"/>
    <w:rsid w:val="00A517FC"/>
    <w:rsid w:val="00A569CD"/>
    <w:rsid w:val="00AB5EE2"/>
    <w:rsid w:val="00AB6715"/>
    <w:rsid w:val="00B00176"/>
    <w:rsid w:val="00B0131C"/>
    <w:rsid w:val="00B064EB"/>
    <w:rsid w:val="00B1270C"/>
    <w:rsid w:val="00B1671E"/>
    <w:rsid w:val="00B22E25"/>
    <w:rsid w:val="00B25EB8"/>
    <w:rsid w:val="00B354E1"/>
    <w:rsid w:val="00B37F4D"/>
    <w:rsid w:val="00B569E0"/>
    <w:rsid w:val="00B72CE8"/>
    <w:rsid w:val="00BA4935"/>
    <w:rsid w:val="00BD1603"/>
    <w:rsid w:val="00BD346F"/>
    <w:rsid w:val="00BD3ED1"/>
    <w:rsid w:val="00C077AD"/>
    <w:rsid w:val="00C07AD6"/>
    <w:rsid w:val="00C457DE"/>
    <w:rsid w:val="00C52A7B"/>
    <w:rsid w:val="00C56BAF"/>
    <w:rsid w:val="00C679AA"/>
    <w:rsid w:val="00C758BE"/>
    <w:rsid w:val="00C75972"/>
    <w:rsid w:val="00CA5446"/>
    <w:rsid w:val="00CC0A3A"/>
    <w:rsid w:val="00CD066B"/>
    <w:rsid w:val="00CE4FEE"/>
    <w:rsid w:val="00D31EE7"/>
    <w:rsid w:val="00DB59C3"/>
    <w:rsid w:val="00DC259A"/>
    <w:rsid w:val="00DE23E8"/>
    <w:rsid w:val="00E07558"/>
    <w:rsid w:val="00E51ADF"/>
    <w:rsid w:val="00E52377"/>
    <w:rsid w:val="00E54CFF"/>
    <w:rsid w:val="00E5687C"/>
    <w:rsid w:val="00E5792C"/>
    <w:rsid w:val="00E64E17"/>
    <w:rsid w:val="00E7612F"/>
    <w:rsid w:val="00E866C9"/>
    <w:rsid w:val="00E92366"/>
    <w:rsid w:val="00EA3D3C"/>
    <w:rsid w:val="00EC5CF8"/>
    <w:rsid w:val="00EE083E"/>
    <w:rsid w:val="00EE2902"/>
    <w:rsid w:val="00EF6E9A"/>
    <w:rsid w:val="00F16A6F"/>
    <w:rsid w:val="00F371E6"/>
    <w:rsid w:val="00F46900"/>
    <w:rsid w:val="00F61D89"/>
    <w:rsid w:val="00F951DD"/>
    <w:rsid w:val="00FB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MDPI41threelinetable">
    <w:name w:val="MDPI_4.1_three_line_table"/>
    <w:basedOn w:val="TableNormal"/>
    <w:uiPriority w:val="99"/>
    <w:rsid w:val="00896D9C"/>
    <w:pPr>
      <w:adjustRightInd w:val="0"/>
      <w:snapToGrid w:val="0"/>
      <w:spacing w:after="0" w:line="240" w:lineRule="auto"/>
      <w:jc w:val="center"/>
    </w:pPr>
    <w:rPr>
      <w:rFonts w:ascii="Palatino Linotype" w:eastAsiaTheme="minorEastAsia" w:hAnsi="Palatino Linotype" w:cs="Times New Roman"/>
      <w:color w:val="000000"/>
      <w:sz w:val="20"/>
      <w:szCs w:val="20"/>
      <w:lang w:eastAsia="zh-CN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27DC758-52B5-42F3-AFEA-31A673EA8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88</TotalTime>
  <Pages>8</Pages>
  <Words>404</Words>
  <Characters>2602</Characters>
  <Application>Microsoft Office Word</Application>
  <DocSecurity>0</DocSecurity>
  <Lines>151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DR。 Mohsin</cp:lastModifiedBy>
  <cp:revision>466</cp:revision>
  <cp:lastPrinted>2024-03-21T02:47:00Z</cp:lastPrinted>
  <dcterms:created xsi:type="dcterms:W3CDTF">2022-11-17T16:58:00Z</dcterms:created>
  <dcterms:modified xsi:type="dcterms:W3CDTF">2024-03-21T04:42:00Z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2e5682f07f7ac934fd1564bd704f09a352547e829e06623c29176d08a526a7c0</vt:lpwstr>
  </property>
</Properties>
</file>