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BB93D11" w14:textId="77777777" w:rsidR="000C3E64" w:rsidRPr="00376CC5" w:rsidRDefault="000C3E64" w:rsidP="000C3E64">
      <w:pPr>
        <w:pStyle w:val="Title"/>
      </w:pPr>
      <w:r w:rsidRPr="00242505">
        <w:t>Clinician and Administrator Perspectives</w:t>
      </w:r>
      <w:r>
        <w:t xml:space="preserve"> on Real-world Experience with Outpatient Administration of </w:t>
      </w:r>
      <w:proofErr w:type="spellStart"/>
      <w:r>
        <w:t>Ciltacabtagene</w:t>
      </w:r>
      <w:proofErr w:type="spellEnd"/>
      <w:r>
        <w:t xml:space="preserve"> </w:t>
      </w:r>
      <w:proofErr w:type="spellStart"/>
      <w:r>
        <w:t>Autoleucel</w:t>
      </w:r>
      <w:proofErr w:type="spellEnd"/>
      <w:r>
        <w:t xml:space="preserve"> Chimeric Antigen Receptor T-Cell Therapy in Relapsed or Refractory Multiple Myeloma</w:t>
      </w:r>
    </w:p>
    <w:p w14:paraId="7A677FDF" w14:textId="03B0795B" w:rsidR="00F920D3" w:rsidRPr="002C035B" w:rsidRDefault="00F920D3" w:rsidP="002C035B">
      <w:pPr>
        <w:pStyle w:val="AuthorList"/>
        <w:spacing w:before="120" w:after="120"/>
        <w:rPr>
          <w:b w:val="0"/>
          <w:bCs/>
        </w:rPr>
      </w:pPr>
      <w:r w:rsidRPr="002C035B">
        <w:rPr>
          <w:b w:val="0"/>
          <w:bCs/>
        </w:rPr>
        <w:t>Doris K</w:t>
      </w:r>
      <w:r w:rsidR="0095398C">
        <w:rPr>
          <w:b w:val="0"/>
          <w:bCs/>
        </w:rPr>
        <w:t>.</w:t>
      </w:r>
      <w:r w:rsidRPr="002C035B">
        <w:rPr>
          <w:b w:val="0"/>
          <w:bCs/>
        </w:rPr>
        <w:t xml:space="preserve"> Hansen MD</w:t>
      </w:r>
      <w:r w:rsidRPr="002C035B">
        <w:rPr>
          <w:b w:val="0"/>
          <w:bCs/>
          <w:vertAlign w:val="superscript"/>
        </w:rPr>
        <w:t>*</w:t>
      </w:r>
      <w:r w:rsidRPr="002C035B">
        <w:rPr>
          <w:b w:val="0"/>
          <w:bCs/>
        </w:rPr>
        <w:t>, Binod Dhakal MD, Mehdi Hamadani MD, David Dingli MD PhD, Tania Jain MD, Carol Ann Huff MD, Murali Janakiram MD, Yi-Hsuan Liu PhD MS RD, Kevin C</w:t>
      </w:r>
      <w:r w:rsidR="0095398C">
        <w:rPr>
          <w:b w:val="0"/>
          <w:bCs/>
        </w:rPr>
        <w:t>.</w:t>
      </w:r>
      <w:r w:rsidRPr="002C035B">
        <w:rPr>
          <w:b w:val="0"/>
          <w:bCs/>
        </w:rPr>
        <w:t xml:space="preserve"> De Braganca, Nicole </w:t>
      </w:r>
      <w:proofErr w:type="spellStart"/>
      <w:r w:rsidRPr="002C035B">
        <w:rPr>
          <w:b w:val="0"/>
          <w:bCs/>
        </w:rPr>
        <w:t>Lodowski</w:t>
      </w:r>
      <w:proofErr w:type="spellEnd"/>
      <w:r w:rsidRPr="002C035B">
        <w:rPr>
          <w:b w:val="0"/>
          <w:bCs/>
        </w:rPr>
        <w:t xml:space="preserve"> MPH, Jennifer Sander MPH, Peter </w:t>
      </w:r>
      <w:proofErr w:type="spellStart"/>
      <w:r w:rsidRPr="002C035B">
        <w:rPr>
          <w:b w:val="0"/>
          <w:bCs/>
        </w:rPr>
        <w:t>Okorozo</w:t>
      </w:r>
      <w:proofErr w:type="spellEnd"/>
      <w:r w:rsidRPr="002C035B">
        <w:rPr>
          <w:b w:val="0"/>
          <w:bCs/>
        </w:rPr>
        <w:t xml:space="preserve"> PharmD, Lindsay McFarland MN RN OCN, Matthew Perciavalle PharmD, Stephen Huo PhD MD MSPH, Zaina P. Qureshi PhD, MS, MPH, and Krina K</w:t>
      </w:r>
      <w:r w:rsidR="0095398C">
        <w:rPr>
          <w:b w:val="0"/>
          <w:bCs/>
        </w:rPr>
        <w:t>.</w:t>
      </w:r>
      <w:r w:rsidRPr="002C035B">
        <w:rPr>
          <w:b w:val="0"/>
          <w:bCs/>
        </w:rPr>
        <w:t xml:space="preserve"> Patel MD </w:t>
      </w:r>
      <w:proofErr w:type="spellStart"/>
      <w:r w:rsidRPr="002C035B">
        <w:rPr>
          <w:b w:val="0"/>
          <w:bCs/>
        </w:rPr>
        <w:t>Msc</w:t>
      </w:r>
      <w:proofErr w:type="spellEnd"/>
    </w:p>
    <w:p w14:paraId="217F3AE0" w14:textId="4A43F5DA" w:rsidR="002868E2" w:rsidRPr="00994A3D" w:rsidRDefault="002868E2" w:rsidP="002C035B">
      <w:pPr>
        <w:spacing w:after="0"/>
        <w:rPr>
          <w:rFonts w:cs="Times New Roman"/>
        </w:rPr>
      </w:pPr>
      <w:r w:rsidRPr="00994A3D">
        <w:rPr>
          <w:rFonts w:cs="Times New Roman"/>
          <w:b/>
        </w:rPr>
        <w:t xml:space="preserve">*Correspondence: </w:t>
      </w:r>
      <w:r w:rsidR="005B6671">
        <w:t>Doris K Hansen, MD</w:t>
      </w:r>
      <w:r w:rsidR="00F920D3">
        <w:t xml:space="preserve">. </w:t>
      </w:r>
      <w:hyperlink r:id="rId11" w:history="1">
        <w:r w:rsidR="006D4228" w:rsidRPr="00234BE3">
          <w:rPr>
            <w:rStyle w:val="Hyperlink"/>
            <w:rFonts w:cs="Times New Roman"/>
          </w:rPr>
          <w:t>Doris.Hansen@moffitt.org</w:t>
        </w:r>
      </w:hyperlink>
      <w:r w:rsidR="006D4228">
        <w:rPr>
          <w:rFonts w:cs="Times New Roman"/>
        </w:rPr>
        <w:t xml:space="preserve"> </w:t>
      </w:r>
    </w:p>
    <w:p w14:paraId="5E584EE8" w14:textId="3C83CE25" w:rsidR="00994A3D" w:rsidRDefault="00654E8F" w:rsidP="0001436A">
      <w:pPr>
        <w:pStyle w:val="Heading1"/>
      </w:pPr>
      <w:r w:rsidRPr="00994A3D">
        <w:t>Supplementary</w:t>
      </w:r>
      <w:r w:rsidR="00F920D3">
        <w:t xml:space="preserve"> </w:t>
      </w:r>
      <w:r w:rsidRPr="00994A3D">
        <w:t>Tables</w:t>
      </w:r>
    </w:p>
    <w:p w14:paraId="54006D45" w14:textId="6557CA98" w:rsidR="00F920D3" w:rsidRPr="00F920D3" w:rsidRDefault="00F920D3" w:rsidP="00F920D3">
      <w:pPr>
        <w:spacing w:after="0"/>
        <w:rPr>
          <w:b/>
          <w:bCs/>
        </w:rPr>
      </w:pPr>
      <w:r w:rsidRPr="00F920D3">
        <w:rPr>
          <w:b/>
          <w:bCs/>
        </w:rPr>
        <w:t xml:space="preserve">Supplementary Table 1. </w:t>
      </w:r>
      <w:r w:rsidR="00A81912">
        <w:rPr>
          <w:b/>
          <w:bCs/>
        </w:rPr>
        <w:t>Overview of</w:t>
      </w:r>
      <w:r w:rsidRPr="00F920D3">
        <w:rPr>
          <w:b/>
          <w:bCs/>
        </w:rPr>
        <w:t xml:space="preserve"> </w:t>
      </w:r>
      <w:r>
        <w:rPr>
          <w:b/>
          <w:bCs/>
        </w:rPr>
        <w:t>p</w:t>
      </w:r>
      <w:r w:rsidRPr="00F920D3">
        <w:rPr>
          <w:b/>
          <w:bCs/>
        </w:rPr>
        <w:t>re-</w:t>
      </w:r>
      <w:r>
        <w:rPr>
          <w:b/>
          <w:bCs/>
        </w:rPr>
        <w:t>r</w:t>
      </w:r>
      <w:r w:rsidRPr="00F920D3">
        <w:rPr>
          <w:b/>
          <w:bCs/>
        </w:rPr>
        <w:t>ead</w:t>
      </w:r>
      <w:r w:rsidR="00A81912">
        <w:rPr>
          <w:b/>
          <w:bCs/>
        </w:rPr>
        <w:t xml:space="preserve"> contents and objectives</w:t>
      </w:r>
      <w:r w:rsidR="00885784">
        <w:rPr>
          <w:b/>
          <w:bCs/>
        </w:rPr>
        <w:t xml:space="preserve"> (Phase 2)</w:t>
      </w:r>
    </w:p>
    <w:tbl>
      <w:tblPr>
        <w:tblStyle w:val="TableGridLight"/>
        <w:tblW w:w="5000" w:type="pct"/>
        <w:tblInd w:w="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3240"/>
        <w:gridCol w:w="6537"/>
      </w:tblGrid>
      <w:tr w:rsidR="00F920D3" w:rsidRPr="00F920D3" w14:paraId="40B4A8BC" w14:textId="77777777" w:rsidTr="00151F8C"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23B7465" w14:textId="77777777" w:rsidR="00F920D3" w:rsidRPr="00F920D3" w:rsidRDefault="00F920D3">
            <w:pPr>
              <w:pStyle w:val="TableHeader"/>
              <w:rPr>
                <w:rStyle w:val="RemoveCharacter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20D3">
              <w:rPr>
                <w:rStyle w:val="RemoveCharacterStyle"/>
                <w:rFonts w:ascii="Times New Roman" w:hAnsi="Times New Roman" w:cs="Times New Roman"/>
                <w:color w:val="auto"/>
                <w:sz w:val="24"/>
                <w:szCs w:val="24"/>
              </w:rPr>
              <w:t>Key sections of the pre-read</w:t>
            </w:r>
          </w:p>
        </w:tc>
        <w:tc>
          <w:tcPr>
            <w:tcW w:w="3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DED391B" w14:textId="77777777" w:rsidR="00F920D3" w:rsidRPr="00F920D3" w:rsidRDefault="00F920D3">
            <w:pPr>
              <w:pStyle w:val="TableHeader"/>
              <w:rPr>
                <w:rStyle w:val="RemoveCharacter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20D3">
              <w:rPr>
                <w:rStyle w:val="RemoveCharacterStyle"/>
                <w:rFonts w:ascii="Times New Roman" w:hAnsi="Times New Roman" w:cs="Times New Roman"/>
                <w:color w:val="auto"/>
                <w:sz w:val="24"/>
                <w:szCs w:val="24"/>
              </w:rPr>
              <w:t>Objectives</w:t>
            </w:r>
          </w:p>
        </w:tc>
      </w:tr>
      <w:tr w:rsidR="00F920D3" w:rsidRPr="00F920D3" w14:paraId="4BA94101" w14:textId="77777777" w:rsidTr="00151F8C">
        <w:tc>
          <w:tcPr>
            <w:tcW w:w="1657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DBA0BBC" w14:textId="77777777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>Interview discussion topics</w:t>
            </w:r>
          </w:p>
        </w:tc>
        <w:tc>
          <w:tcPr>
            <w:tcW w:w="3343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5612A87" w14:textId="5DB364E1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>To present the flow of discussion</w:t>
            </w:r>
            <w:r w:rsidR="00035C9F">
              <w:rPr>
                <w:sz w:val="24"/>
                <w:szCs w:val="24"/>
              </w:rPr>
              <w:t>.</w:t>
            </w:r>
          </w:p>
        </w:tc>
      </w:tr>
      <w:tr w:rsidR="00F920D3" w:rsidRPr="00F920D3" w14:paraId="0D9702CF" w14:textId="77777777" w:rsidTr="00151F8C">
        <w:tc>
          <w:tcPr>
            <w:tcW w:w="1657" w:type="pct"/>
            <w:shd w:val="clear" w:color="auto" w:fill="auto"/>
            <w:hideMark/>
          </w:tcPr>
          <w:p w14:paraId="372F938A" w14:textId="59E9C8C7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>CAR</w:t>
            </w:r>
            <w:r w:rsidR="008E39AF">
              <w:rPr>
                <w:sz w:val="24"/>
                <w:szCs w:val="24"/>
              </w:rPr>
              <w:t xml:space="preserve"> </w:t>
            </w:r>
            <w:r w:rsidRPr="00F920D3">
              <w:rPr>
                <w:sz w:val="24"/>
                <w:szCs w:val="24"/>
              </w:rPr>
              <w:t>T patient journey</w:t>
            </w:r>
          </w:p>
        </w:tc>
        <w:tc>
          <w:tcPr>
            <w:tcW w:w="3343" w:type="pct"/>
            <w:shd w:val="clear" w:color="auto" w:fill="auto"/>
            <w:hideMark/>
          </w:tcPr>
          <w:p w14:paraId="373BD63F" w14:textId="07786AFE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 xml:space="preserve">To explore the patient journey and understand key differences, best </w:t>
            </w:r>
            <w:r w:rsidR="00035C9F" w:rsidRPr="00F920D3">
              <w:rPr>
                <w:sz w:val="24"/>
                <w:szCs w:val="24"/>
              </w:rPr>
              <w:t>practices,</w:t>
            </w:r>
            <w:r w:rsidRPr="00F920D3">
              <w:rPr>
                <w:sz w:val="24"/>
                <w:szCs w:val="24"/>
              </w:rPr>
              <w:t xml:space="preserve"> and challenges between centers</w:t>
            </w:r>
            <w:r w:rsidR="001C626E">
              <w:rPr>
                <w:sz w:val="24"/>
                <w:szCs w:val="24"/>
              </w:rPr>
              <w:t>,</w:t>
            </w:r>
            <w:r w:rsidRPr="00F920D3">
              <w:rPr>
                <w:sz w:val="24"/>
                <w:szCs w:val="24"/>
              </w:rPr>
              <w:t xml:space="preserve"> including ways to improve patient experience</w:t>
            </w:r>
            <w:r w:rsidR="00035C9F">
              <w:rPr>
                <w:sz w:val="24"/>
                <w:szCs w:val="24"/>
              </w:rPr>
              <w:t>.</w:t>
            </w:r>
          </w:p>
        </w:tc>
      </w:tr>
      <w:tr w:rsidR="00F920D3" w:rsidRPr="00F920D3" w14:paraId="7DB2F75C" w14:textId="77777777" w:rsidTr="00151F8C">
        <w:tc>
          <w:tcPr>
            <w:tcW w:w="1657" w:type="pct"/>
            <w:shd w:val="clear" w:color="auto" w:fill="auto"/>
            <w:hideMark/>
          </w:tcPr>
          <w:p w14:paraId="75538375" w14:textId="5B747BB3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>CAR</w:t>
            </w:r>
            <w:r w:rsidR="008E39AF">
              <w:rPr>
                <w:sz w:val="24"/>
                <w:szCs w:val="24"/>
              </w:rPr>
              <w:t xml:space="preserve"> </w:t>
            </w:r>
            <w:r w:rsidRPr="00F920D3">
              <w:rPr>
                <w:sz w:val="24"/>
                <w:szCs w:val="24"/>
              </w:rPr>
              <w:t>T outpatient center setup and processes</w:t>
            </w:r>
          </w:p>
        </w:tc>
        <w:tc>
          <w:tcPr>
            <w:tcW w:w="3343" w:type="pct"/>
            <w:shd w:val="clear" w:color="auto" w:fill="auto"/>
            <w:hideMark/>
          </w:tcPr>
          <w:p w14:paraId="1FE70B8E" w14:textId="7EB28C84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>To discuss best practices and challenges during initial center set-up, including understand</w:t>
            </w:r>
            <w:r w:rsidR="001C626E">
              <w:rPr>
                <w:sz w:val="24"/>
                <w:szCs w:val="24"/>
              </w:rPr>
              <w:t>ing</w:t>
            </w:r>
            <w:r w:rsidRPr="00F920D3">
              <w:rPr>
                <w:sz w:val="24"/>
                <w:szCs w:val="24"/>
              </w:rPr>
              <w:t xml:space="preserve"> multidisciplinary team set up</w:t>
            </w:r>
            <w:r w:rsidR="001C626E">
              <w:rPr>
                <w:sz w:val="24"/>
                <w:szCs w:val="24"/>
              </w:rPr>
              <w:t>s</w:t>
            </w:r>
            <w:r w:rsidRPr="00F920D3">
              <w:rPr>
                <w:sz w:val="24"/>
                <w:szCs w:val="24"/>
              </w:rPr>
              <w:t xml:space="preserve"> between outpatient and hospital practices, and the key processes involved for setting up an outpatient CAR</w:t>
            </w:r>
            <w:r w:rsidR="000B2EFD">
              <w:rPr>
                <w:sz w:val="24"/>
                <w:szCs w:val="24"/>
              </w:rPr>
              <w:t xml:space="preserve"> </w:t>
            </w:r>
            <w:r w:rsidRPr="00F920D3">
              <w:rPr>
                <w:sz w:val="24"/>
                <w:szCs w:val="24"/>
              </w:rPr>
              <w:t>T center</w:t>
            </w:r>
            <w:r w:rsidR="00035C9F">
              <w:rPr>
                <w:sz w:val="24"/>
                <w:szCs w:val="24"/>
              </w:rPr>
              <w:t>.</w:t>
            </w:r>
          </w:p>
        </w:tc>
      </w:tr>
      <w:tr w:rsidR="00F920D3" w:rsidRPr="00F920D3" w14:paraId="79FD7041" w14:textId="77777777" w:rsidTr="00151F8C">
        <w:tc>
          <w:tcPr>
            <w:tcW w:w="1657" w:type="pct"/>
            <w:shd w:val="clear" w:color="auto" w:fill="auto"/>
            <w:hideMark/>
          </w:tcPr>
          <w:p w14:paraId="55C88E24" w14:textId="77777777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>Patient identification and pre-treatment coordination</w:t>
            </w:r>
          </w:p>
        </w:tc>
        <w:tc>
          <w:tcPr>
            <w:tcW w:w="3343" w:type="pct"/>
            <w:shd w:val="clear" w:color="auto" w:fill="auto"/>
          </w:tcPr>
          <w:p w14:paraId="0283165C" w14:textId="7964142B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>To discuss best practices and challenges during early stages of patient identification and coordination</w:t>
            </w:r>
            <w:r w:rsidR="00035C9F">
              <w:rPr>
                <w:sz w:val="24"/>
                <w:szCs w:val="24"/>
              </w:rPr>
              <w:t>,</w:t>
            </w:r>
            <w:r w:rsidRPr="00F920D3">
              <w:rPr>
                <w:sz w:val="24"/>
                <w:szCs w:val="24"/>
              </w:rPr>
              <w:t xml:space="preserve"> including understanding patient identification and evaluation process</w:t>
            </w:r>
            <w:r w:rsidR="00035C9F">
              <w:rPr>
                <w:sz w:val="24"/>
                <w:szCs w:val="24"/>
              </w:rPr>
              <w:t>es</w:t>
            </w:r>
            <w:r w:rsidRPr="00F920D3">
              <w:rPr>
                <w:sz w:val="24"/>
                <w:szCs w:val="24"/>
              </w:rPr>
              <w:t xml:space="preserve"> for outpatient CAR</w:t>
            </w:r>
            <w:r w:rsidR="000B2EFD">
              <w:rPr>
                <w:sz w:val="24"/>
                <w:szCs w:val="24"/>
              </w:rPr>
              <w:t xml:space="preserve"> </w:t>
            </w:r>
            <w:r w:rsidRPr="00F920D3">
              <w:rPr>
                <w:sz w:val="24"/>
                <w:szCs w:val="24"/>
              </w:rPr>
              <w:t>T administration, and the coordination required in this process</w:t>
            </w:r>
            <w:r w:rsidR="00035C9F">
              <w:rPr>
                <w:sz w:val="24"/>
                <w:szCs w:val="24"/>
              </w:rPr>
              <w:t>.</w:t>
            </w:r>
          </w:p>
        </w:tc>
      </w:tr>
      <w:tr w:rsidR="00F920D3" w:rsidRPr="00F920D3" w14:paraId="13F81E67" w14:textId="77777777" w:rsidTr="00151F8C">
        <w:tc>
          <w:tcPr>
            <w:tcW w:w="1657" w:type="pct"/>
            <w:shd w:val="clear" w:color="auto" w:fill="auto"/>
            <w:hideMark/>
          </w:tcPr>
          <w:p w14:paraId="0AC86D99" w14:textId="77777777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>Treatment administration and patient monitoring</w:t>
            </w:r>
          </w:p>
        </w:tc>
        <w:tc>
          <w:tcPr>
            <w:tcW w:w="3343" w:type="pct"/>
            <w:shd w:val="clear" w:color="auto" w:fill="auto"/>
          </w:tcPr>
          <w:p w14:paraId="02D72D79" w14:textId="0F66B9A6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 xml:space="preserve">To discuss best practices and challenges of outpatient CAR-T administration and monitoring including management and monitoring of adverse events such as delayed CRS and neurologic toxicities in </w:t>
            </w:r>
            <w:r w:rsidR="00FE33A8">
              <w:rPr>
                <w:sz w:val="24"/>
                <w:szCs w:val="24"/>
              </w:rPr>
              <w:t xml:space="preserve">the </w:t>
            </w:r>
            <w:r w:rsidRPr="00F920D3">
              <w:rPr>
                <w:sz w:val="24"/>
                <w:szCs w:val="24"/>
              </w:rPr>
              <w:t>outpatient setting</w:t>
            </w:r>
            <w:r w:rsidR="00FE33A8">
              <w:rPr>
                <w:sz w:val="24"/>
                <w:szCs w:val="24"/>
              </w:rPr>
              <w:t>.</w:t>
            </w:r>
          </w:p>
        </w:tc>
      </w:tr>
      <w:tr w:rsidR="00F920D3" w:rsidRPr="00F920D3" w14:paraId="69FDD3C9" w14:textId="77777777" w:rsidTr="00151F8C">
        <w:tc>
          <w:tcPr>
            <w:tcW w:w="1657" w:type="pct"/>
            <w:shd w:val="clear" w:color="auto" w:fill="auto"/>
            <w:hideMark/>
          </w:tcPr>
          <w:p w14:paraId="30B305AD" w14:textId="77777777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>Overall best practices</w:t>
            </w:r>
          </w:p>
        </w:tc>
        <w:tc>
          <w:tcPr>
            <w:tcW w:w="3343" w:type="pct"/>
            <w:shd w:val="clear" w:color="auto" w:fill="auto"/>
          </w:tcPr>
          <w:p w14:paraId="597148AC" w14:textId="73908230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>To discuss any other topics not addressed, and understand the major clinical, financial</w:t>
            </w:r>
            <w:r w:rsidR="00FE33A8">
              <w:rPr>
                <w:sz w:val="24"/>
                <w:szCs w:val="24"/>
              </w:rPr>
              <w:t>,</w:t>
            </w:r>
            <w:r w:rsidRPr="00F920D3">
              <w:rPr>
                <w:sz w:val="24"/>
                <w:szCs w:val="24"/>
              </w:rPr>
              <w:t xml:space="preserve"> and administrative challenges at th</w:t>
            </w:r>
            <w:r w:rsidR="00FE33A8">
              <w:rPr>
                <w:sz w:val="24"/>
                <w:szCs w:val="24"/>
              </w:rPr>
              <w:t xml:space="preserve">e participants’ </w:t>
            </w:r>
            <w:r w:rsidRPr="00F920D3">
              <w:rPr>
                <w:sz w:val="24"/>
                <w:szCs w:val="24"/>
              </w:rPr>
              <w:t>respective outpatient CAR</w:t>
            </w:r>
            <w:r w:rsidR="000B2EFD">
              <w:rPr>
                <w:sz w:val="24"/>
                <w:szCs w:val="24"/>
              </w:rPr>
              <w:t xml:space="preserve"> </w:t>
            </w:r>
            <w:r w:rsidRPr="00F920D3">
              <w:rPr>
                <w:sz w:val="24"/>
                <w:szCs w:val="24"/>
              </w:rPr>
              <w:t>T center</w:t>
            </w:r>
            <w:r w:rsidR="00FE33A8">
              <w:rPr>
                <w:sz w:val="24"/>
                <w:szCs w:val="24"/>
              </w:rPr>
              <w:t>.</w:t>
            </w:r>
          </w:p>
        </w:tc>
      </w:tr>
      <w:tr w:rsidR="00F920D3" w:rsidRPr="00F920D3" w14:paraId="25A7EC3F" w14:textId="77777777" w:rsidTr="00151F8C">
        <w:tc>
          <w:tcPr>
            <w:tcW w:w="1657" w:type="pct"/>
            <w:shd w:val="clear" w:color="auto" w:fill="auto"/>
            <w:hideMark/>
          </w:tcPr>
          <w:p w14:paraId="49B2B609" w14:textId="77777777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>Background research findings</w:t>
            </w:r>
          </w:p>
        </w:tc>
        <w:tc>
          <w:tcPr>
            <w:tcW w:w="3343" w:type="pct"/>
            <w:shd w:val="clear" w:color="auto" w:fill="auto"/>
            <w:hideMark/>
          </w:tcPr>
          <w:p w14:paraId="67FE6650" w14:textId="26E56EFF" w:rsidR="00F920D3" w:rsidRPr="00F920D3" w:rsidRDefault="00F920D3">
            <w:pPr>
              <w:pStyle w:val="TableBody"/>
              <w:rPr>
                <w:sz w:val="24"/>
                <w:szCs w:val="24"/>
              </w:rPr>
            </w:pPr>
            <w:r w:rsidRPr="00F920D3">
              <w:rPr>
                <w:sz w:val="24"/>
                <w:szCs w:val="24"/>
              </w:rPr>
              <w:t>To present the overview of outpatient CAR</w:t>
            </w:r>
            <w:r w:rsidR="000B2EFD">
              <w:rPr>
                <w:sz w:val="24"/>
                <w:szCs w:val="24"/>
              </w:rPr>
              <w:t xml:space="preserve"> </w:t>
            </w:r>
            <w:r w:rsidRPr="00F920D3">
              <w:rPr>
                <w:sz w:val="24"/>
                <w:szCs w:val="24"/>
              </w:rPr>
              <w:t>T administration in the US</w:t>
            </w:r>
            <w:r w:rsidR="00FC0A21">
              <w:rPr>
                <w:sz w:val="24"/>
                <w:szCs w:val="24"/>
              </w:rPr>
              <w:t>.</w:t>
            </w:r>
          </w:p>
        </w:tc>
      </w:tr>
    </w:tbl>
    <w:p w14:paraId="1E91CB09" w14:textId="4ADFECED" w:rsidR="00F920D3" w:rsidRPr="00DA021E" w:rsidRDefault="00405B54" w:rsidP="00F920D3">
      <w:pPr>
        <w:spacing w:before="0" w:after="0"/>
        <w:rPr>
          <w:sz w:val="20"/>
          <w:szCs w:val="20"/>
        </w:rPr>
      </w:pPr>
      <w:r w:rsidRPr="00151F8C">
        <w:rPr>
          <w:sz w:val="20"/>
          <w:szCs w:val="20"/>
        </w:rPr>
        <w:t>CAR</w:t>
      </w:r>
      <w:r w:rsidR="008E39AF">
        <w:rPr>
          <w:sz w:val="20"/>
          <w:szCs w:val="20"/>
        </w:rPr>
        <w:t xml:space="preserve"> </w:t>
      </w:r>
      <w:r w:rsidRPr="00151F8C">
        <w:rPr>
          <w:sz w:val="20"/>
          <w:szCs w:val="20"/>
        </w:rPr>
        <w:t>T: chimeric antigen receptor T-cell</w:t>
      </w:r>
      <w:r w:rsidR="008E39AF">
        <w:rPr>
          <w:sz w:val="20"/>
          <w:szCs w:val="20"/>
        </w:rPr>
        <w:t xml:space="preserve"> therapy</w:t>
      </w:r>
      <w:r w:rsidR="00F920D3" w:rsidRPr="00151F8C">
        <w:rPr>
          <w:sz w:val="20"/>
          <w:szCs w:val="20"/>
        </w:rPr>
        <w:t>; CRS</w:t>
      </w:r>
      <w:r w:rsidRPr="00151F8C">
        <w:rPr>
          <w:sz w:val="20"/>
          <w:szCs w:val="20"/>
        </w:rPr>
        <w:t>: cytokine release syndrome</w:t>
      </w:r>
      <w:r w:rsidR="00F920D3" w:rsidRPr="00151F8C">
        <w:rPr>
          <w:sz w:val="20"/>
          <w:szCs w:val="20"/>
        </w:rPr>
        <w:t>; US</w:t>
      </w:r>
      <w:r w:rsidRPr="00151F8C">
        <w:rPr>
          <w:sz w:val="20"/>
          <w:szCs w:val="20"/>
        </w:rPr>
        <w:t>: United States</w:t>
      </w:r>
      <w:r w:rsidR="00F920D3" w:rsidRPr="00151F8C">
        <w:rPr>
          <w:sz w:val="20"/>
          <w:szCs w:val="20"/>
        </w:rPr>
        <w:t xml:space="preserve">. </w:t>
      </w:r>
    </w:p>
    <w:sectPr w:rsidR="00F920D3" w:rsidRPr="00DA021E" w:rsidSect="00FC0318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964C" w14:textId="77777777" w:rsidR="00ED68A9" w:rsidRDefault="00ED68A9" w:rsidP="00117666">
      <w:pPr>
        <w:spacing w:after="0"/>
      </w:pPr>
      <w:r>
        <w:separator/>
      </w:r>
    </w:p>
  </w:endnote>
  <w:endnote w:type="continuationSeparator" w:id="0">
    <w:p w14:paraId="0DC71DAC" w14:textId="77777777" w:rsidR="00ED68A9" w:rsidRDefault="00ED68A9" w:rsidP="00117666">
      <w:pPr>
        <w:spacing w:after="0"/>
      </w:pPr>
      <w:r>
        <w:continuationSeparator/>
      </w:r>
    </w:p>
  </w:endnote>
  <w:endnote w:type="continuationNotice" w:id="1">
    <w:p w14:paraId="254D4D1B" w14:textId="77777777" w:rsidR="00ED68A9" w:rsidRDefault="00ED68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BF4561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F456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BF4561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BF4561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F456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BF4561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0AAB" w14:textId="77777777" w:rsidR="00ED68A9" w:rsidRDefault="00ED68A9" w:rsidP="00117666">
      <w:pPr>
        <w:spacing w:after="0"/>
      </w:pPr>
      <w:r>
        <w:separator/>
      </w:r>
    </w:p>
  </w:footnote>
  <w:footnote w:type="continuationSeparator" w:id="0">
    <w:p w14:paraId="39B75ADD" w14:textId="77777777" w:rsidR="00ED68A9" w:rsidRDefault="00ED68A9" w:rsidP="00117666">
      <w:pPr>
        <w:spacing w:after="0"/>
      </w:pPr>
      <w:r>
        <w:continuationSeparator/>
      </w:r>
    </w:p>
  </w:footnote>
  <w:footnote w:type="continuationNotice" w:id="1">
    <w:p w14:paraId="20A92E8F" w14:textId="77777777" w:rsidR="00ED68A9" w:rsidRDefault="00ED68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BF4561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BF4561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35C9F"/>
    <w:rsid w:val="00052A14"/>
    <w:rsid w:val="00077D53"/>
    <w:rsid w:val="000B2EFD"/>
    <w:rsid w:val="000B59E4"/>
    <w:rsid w:val="000C3E64"/>
    <w:rsid w:val="00105FD9"/>
    <w:rsid w:val="00117666"/>
    <w:rsid w:val="00143D8B"/>
    <w:rsid w:val="00151F8C"/>
    <w:rsid w:val="001549D3"/>
    <w:rsid w:val="00160065"/>
    <w:rsid w:val="00177D84"/>
    <w:rsid w:val="001B5C6B"/>
    <w:rsid w:val="001C5712"/>
    <w:rsid w:val="001C626E"/>
    <w:rsid w:val="00267D18"/>
    <w:rsid w:val="002819AA"/>
    <w:rsid w:val="002868E2"/>
    <w:rsid w:val="002869C3"/>
    <w:rsid w:val="002936E4"/>
    <w:rsid w:val="002B4A57"/>
    <w:rsid w:val="002C035B"/>
    <w:rsid w:val="002C0A6D"/>
    <w:rsid w:val="002C74CA"/>
    <w:rsid w:val="002F21E9"/>
    <w:rsid w:val="002F3EBF"/>
    <w:rsid w:val="003544FB"/>
    <w:rsid w:val="003715B2"/>
    <w:rsid w:val="003D2F2D"/>
    <w:rsid w:val="00401590"/>
    <w:rsid w:val="00405B54"/>
    <w:rsid w:val="00447801"/>
    <w:rsid w:val="00452E9C"/>
    <w:rsid w:val="00453277"/>
    <w:rsid w:val="004735C8"/>
    <w:rsid w:val="00484809"/>
    <w:rsid w:val="004961FF"/>
    <w:rsid w:val="00517A89"/>
    <w:rsid w:val="005250F2"/>
    <w:rsid w:val="00593EEA"/>
    <w:rsid w:val="005A2135"/>
    <w:rsid w:val="005A5EEE"/>
    <w:rsid w:val="005B6671"/>
    <w:rsid w:val="005D682F"/>
    <w:rsid w:val="005E20BF"/>
    <w:rsid w:val="006375C7"/>
    <w:rsid w:val="00651E9F"/>
    <w:rsid w:val="00654E8F"/>
    <w:rsid w:val="00660D05"/>
    <w:rsid w:val="006820B1"/>
    <w:rsid w:val="006B7D14"/>
    <w:rsid w:val="006D4228"/>
    <w:rsid w:val="00701727"/>
    <w:rsid w:val="0070566C"/>
    <w:rsid w:val="00714C50"/>
    <w:rsid w:val="00725A7D"/>
    <w:rsid w:val="007501BE"/>
    <w:rsid w:val="00790BB3"/>
    <w:rsid w:val="007C206C"/>
    <w:rsid w:val="007E314D"/>
    <w:rsid w:val="007F572D"/>
    <w:rsid w:val="00803D24"/>
    <w:rsid w:val="00817DD6"/>
    <w:rsid w:val="00827E66"/>
    <w:rsid w:val="00885156"/>
    <w:rsid w:val="00885784"/>
    <w:rsid w:val="008E39AF"/>
    <w:rsid w:val="0091498E"/>
    <w:rsid w:val="009151AA"/>
    <w:rsid w:val="00915975"/>
    <w:rsid w:val="00921FF8"/>
    <w:rsid w:val="0093429D"/>
    <w:rsid w:val="00943573"/>
    <w:rsid w:val="0095398C"/>
    <w:rsid w:val="00970F7D"/>
    <w:rsid w:val="00994A3D"/>
    <w:rsid w:val="009A4639"/>
    <w:rsid w:val="009C2B12"/>
    <w:rsid w:val="009C70F3"/>
    <w:rsid w:val="00A174D9"/>
    <w:rsid w:val="00A569CD"/>
    <w:rsid w:val="00A81912"/>
    <w:rsid w:val="00AB6715"/>
    <w:rsid w:val="00AD112D"/>
    <w:rsid w:val="00B1671E"/>
    <w:rsid w:val="00B25EB8"/>
    <w:rsid w:val="00B354E1"/>
    <w:rsid w:val="00B37F4D"/>
    <w:rsid w:val="00B5763B"/>
    <w:rsid w:val="00BE4860"/>
    <w:rsid w:val="00BF4561"/>
    <w:rsid w:val="00C510EC"/>
    <w:rsid w:val="00C52A7B"/>
    <w:rsid w:val="00C56BAF"/>
    <w:rsid w:val="00C679AA"/>
    <w:rsid w:val="00C75972"/>
    <w:rsid w:val="00C81246"/>
    <w:rsid w:val="00CB7ED6"/>
    <w:rsid w:val="00CC0A3A"/>
    <w:rsid w:val="00CD066B"/>
    <w:rsid w:val="00CE1CF0"/>
    <w:rsid w:val="00CE4FEE"/>
    <w:rsid w:val="00D2616C"/>
    <w:rsid w:val="00D66659"/>
    <w:rsid w:val="00DA021E"/>
    <w:rsid w:val="00DB59C3"/>
    <w:rsid w:val="00DC259A"/>
    <w:rsid w:val="00DE23E8"/>
    <w:rsid w:val="00DF1BC6"/>
    <w:rsid w:val="00E070AA"/>
    <w:rsid w:val="00E1625F"/>
    <w:rsid w:val="00E52377"/>
    <w:rsid w:val="00E64E17"/>
    <w:rsid w:val="00E74BA7"/>
    <w:rsid w:val="00E866C9"/>
    <w:rsid w:val="00EA3D3C"/>
    <w:rsid w:val="00EA5CA0"/>
    <w:rsid w:val="00ED68A9"/>
    <w:rsid w:val="00F46900"/>
    <w:rsid w:val="00F61D89"/>
    <w:rsid w:val="00F920D3"/>
    <w:rsid w:val="00FC0318"/>
    <w:rsid w:val="00FC0A21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DEB4DC71-400B-4AB7-BDFF-416020C9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Body">
    <w:name w:val="Table Body"/>
    <w:uiPriority w:val="13"/>
    <w:qFormat/>
    <w:rsid w:val="00F920D3"/>
    <w:pPr>
      <w:spacing w:before="80"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ableHeader">
    <w:name w:val="Table Header"/>
    <w:uiPriority w:val="12"/>
    <w:qFormat/>
    <w:rsid w:val="00F920D3"/>
    <w:pPr>
      <w:keepNext/>
      <w:keepLines/>
      <w:spacing w:before="80" w:after="80" w:line="240" w:lineRule="auto"/>
    </w:pPr>
    <w:rPr>
      <w:rFonts w:ascii="Arial" w:hAnsi="Arial"/>
      <w:b/>
      <w:color w:val="FFFFFF" w:themeColor="background1"/>
      <w:sz w:val="20"/>
      <w:szCs w:val="20"/>
    </w:rPr>
  </w:style>
  <w:style w:type="character" w:customStyle="1" w:styleId="RemoveCharacterStyle">
    <w:name w:val="Remove Character Style"/>
    <w:uiPriority w:val="16"/>
    <w:qFormat/>
    <w:rsid w:val="00F920D3"/>
  </w:style>
  <w:style w:type="table" w:styleId="TableGridLight">
    <w:name w:val="Grid Table Light"/>
    <w:basedOn w:val="TableNormal"/>
    <w:uiPriority w:val="40"/>
    <w:rsid w:val="00F920D3"/>
    <w:pPr>
      <w:spacing w:after="0" w:line="240" w:lineRule="auto"/>
    </w:pPr>
    <w:rPr>
      <w:rFonts w:asciiTheme="majorHAnsi" w:hAnsiTheme="maj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2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ris.Hansen@moffitt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836C7EF8B574F9B454795A48E5624" ma:contentTypeVersion="4" ma:contentTypeDescription="Create a new document." ma:contentTypeScope="" ma:versionID="307747ba8eb29acdd5939541fc3d6e1a">
  <xsd:schema xmlns:xsd="http://www.w3.org/2001/XMLSchema" xmlns:xs="http://www.w3.org/2001/XMLSchema" xmlns:p="http://schemas.microsoft.com/office/2006/metadata/properties" xmlns:ns2="2e90a38e-d4e0-442f-9f18-8cde4a917817" targetNamespace="http://schemas.microsoft.com/office/2006/metadata/properties" ma:root="true" ma:fieldsID="abfcb2a06984a2a21bef25b8512c71bd" ns2:_="">
    <xsd:import namespace="2e90a38e-d4e0-442f-9f18-8cde4a917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0a38e-d4e0-442f-9f18-8cde4a917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0F3E3-80A1-49AF-A283-BA8510DAF7D3}"/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6" baseType="variant"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mailto:Doris.Hansen@moffitt.org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cp:lastModifiedBy>Analysis Group</cp:lastModifiedBy>
  <cp:revision>2</cp:revision>
  <cp:lastPrinted>2013-10-03T15:51:00Z</cp:lastPrinted>
  <dcterms:created xsi:type="dcterms:W3CDTF">2024-05-31T17:52:00Z</dcterms:created>
  <dcterms:modified xsi:type="dcterms:W3CDTF">2024-05-31T17:52:00Z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f82bb101-9b00-462e-af01-9a0e7ec06274</vt:lpwstr>
  </property>
  <property fmtid="{D5CDD505-2E9C-101B-9397-08002B2CF9AE}" pid="3" name="Order">
    <vt:r8>1011900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ContentTypeId">
    <vt:lpwstr>0x0101000AF836C7EF8B574F9B454795A48E5624</vt:lpwstr>
  </property>
</Properties>
</file>