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8A66" w14:textId="745E096A" w:rsidR="00330622" w:rsidRDefault="007C589C">
      <w:pPr>
        <w:spacing w:after="360"/>
        <w:rPr>
          <w:rFonts w:ascii="Times New Roman" w:hAnsi="Times New Roman" w:cs="Times New Roman"/>
          <w:sz w:val="24"/>
        </w:rPr>
      </w:pPr>
      <w:r w:rsidRPr="007C589C">
        <w:rPr>
          <w:rFonts w:ascii="Times New Roman" w:hAnsi="Times New Roman" w:cs="Times New Roman"/>
          <w:sz w:val="24"/>
        </w:rPr>
        <w:t>S</w:t>
      </w:r>
      <w:r w:rsidRPr="007C589C">
        <w:rPr>
          <w:rFonts w:ascii="Times New Roman" w:hAnsi="Times New Roman" w:cs="Times New Roman"/>
          <w:sz w:val="24"/>
        </w:rPr>
        <w:t>upplementary</w:t>
      </w:r>
      <w:r>
        <w:rPr>
          <w:rFonts w:ascii="Times New Roman" w:hAnsi="Times New Roman" w:cs="Times New Roman" w:hint="eastAsia"/>
          <w:sz w:val="24"/>
        </w:rPr>
        <w:t xml:space="preserve"> t</w:t>
      </w:r>
      <w:r w:rsidR="00000000">
        <w:rPr>
          <w:rFonts w:ascii="Times New Roman" w:hAnsi="Times New Roman" w:cs="Times New Roman"/>
          <w:sz w:val="24"/>
        </w:rPr>
        <w:t>able 1 Meteorological and habitat data of desert sampling sites in northwest China.</w:t>
      </w:r>
    </w:p>
    <w:tbl>
      <w:tblPr>
        <w:tblStyle w:val="a3"/>
        <w:tblW w:w="0" w:type="auto"/>
        <w:jc w:val="center"/>
        <w:tblLook w:val="04A0" w:firstRow="1" w:lastRow="0" w:firstColumn="1" w:lastColumn="0" w:noHBand="0" w:noVBand="1"/>
      </w:tblPr>
      <w:tblGrid>
        <w:gridCol w:w="1283"/>
        <w:gridCol w:w="2356"/>
        <w:gridCol w:w="1649"/>
        <w:gridCol w:w="1356"/>
        <w:gridCol w:w="1063"/>
      </w:tblGrid>
      <w:tr w:rsidR="00330622" w14:paraId="29F6E078" w14:textId="77777777">
        <w:trPr>
          <w:trHeight w:val="979"/>
          <w:jc w:val="center"/>
        </w:trPr>
        <w:tc>
          <w:tcPr>
            <w:tcW w:w="0" w:type="auto"/>
            <w:tcBorders>
              <w:left w:val="nil"/>
              <w:bottom w:val="single" w:sz="4" w:space="0" w:color="auto"/>
              <w:right w:val="nil"/>
            </w:tcBorders>
          </w:tcPr>
          <w:p w14:paraId="32174771"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Site</w:t>
            </w:r>
          </w:p>
        </w:tc>
        <w:tc>
          <w:tcPr>
            <w:tcW w:w="0" w:type="auto"/>
            <w:tcBorders>
              <w:left w:val="nil"/>
              <w:bottom w:val="single" w:sz="4" w:space="0" w:color="auto"/>
              <w:right w:val="nil"/>
            </w:tcBorders>
          </w:tcPr>
          <w:p w14:paraId="421C9277"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Desert name</w:t>
            </w:r>
          </w:p>
        </w:tc>
        <w:tc>
          <w:tcPr>
            <w:tcW w:w="0" w:type="auto"/>
            <w:tcBorders>
              <w:left w:val="nil"/>
              <w:bottom w:val="single" w:sz="4" w:space="0" w:color="auto"/>
              <w:right w:val="nil"/>
            </w:tcBorders>
          </w:tcPr>
          <w:p w14:paraId="5D2BC5F5"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Climate</w:t>
            </w:r>
          </w:p>
        </w:tc>
        <w:tc>
          <w:tcPr>
            <w:tcW w:w="0" w:type="auto"/>
            <w:tcBorders>
              <w:left w:val="nil"/>
              <w:bottom w:val="single" w:sz="4" w:space="0" w:color="auto"/>
              <w:right w:val="nil"/>
            </w:tcBorders>
          </w:tcPr>
          <w:p w14:paraId="735622F7"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Height of</w:t>
            </w:r>
          </w:p>
          <w:p w14:paraId="4A884B33"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scrub dunes</w:t>
            </w:r>
          </w:p>
        </w:tc>
        <w:tc>
          <w:tcPr>
            <w:tcW w:w="0" w:type="auto"/>
            <w:tcBorders>
              <w:left w:val="nil"/>
              <w:bottom w:val="single" w:sz="4" w:space="0" w:color="auto"/>
              <w:right w:val="nil"/>
            </w:tcBorders>
          </w:tcPr>
          <w:p w14:paraId="69B9CBE6" w14:textId="77777777" w:rsidR="00330622" w:rsidRDefault="00000000">
            <w:pPr>
              <w:spacing w:line="360" w:lineRule="auto"/>
            </w:pPr>
            <w:r>
              <w:rPr>
                <w:rFonts w:ascii="Times New Roman" w:hAnsi="Times New Roman" w:cs="Times New Roman"/>
                <w:sz w:val="24"/>
                <w:lang w:bidi="ar"/>
              </w:rPr>
              <w:t>GW</w:t>
            </w:r>
          </w:p>
          <w:p w14:paraId="17D037BC" w14:textId="77777777" w:rsidR="00330622" w:rsidRDefault="00330622">
            <w:pPr>
              <w:spacing w:line="360" w:lineRule="auto"/>
              <w:rPr>
                <w:rFonts w:ascii="Times New Roman" w:hAnsi="Times New Roman" w:cs="Times New Roman"/>
                <w:sz w:val="24"/>
              </w:rPr>
            </w:pPr>
          </w:p>
        </w:tc>
      </w:tr>
      <w:tr w:rsidR="00330622" w14:paraId="5502A199" w14:textId="77777777">
        <w:trPr>
          <w:jc w:val="center"/>
        </w:trPr>
        <w:tc>
          <w:tcPr>
            <w:tcW w:w="1283" w:type="dxa"/>
            <w:tcBorders>
              <w:top w:val="single" w:sz="4" w:space="0" w:color="auto"/>
              <w:left w:val="nil"/>
              <w:bottom w:val="nil"/>
              <w:right w:val="nil"/>
            </w:tcBorders>
          </w:tcPr>
          <w:p w14:paraId="7F0E25C5" w14:textId="77777777" w:rsidR="00330622" w:rsidRDefault="00000000">
            <w:pPr>
              <w:spacing w:line="360" w:lineRule="auto"/>
              <w:rPr>
                <w:rFonts w:ascii="Times New Roman" w:hAnsi="Times New Roman" w:cs="Times New Roman"/>
                <w:sz w:val="24"/>
              </w:rPr>
            </w:pPr>
            <w:proofErr w:type="spellStart"/>
            <w:r>
              <w:rPr>
                <w:rFonts w:ascii="Times New Roman" w:hAnsi="Times New Roman" w:cs="Times New Roman"/>
                <w:sz w:val="24"/>
              </w:rPr>
              <w:t>Huocheng</w:t>
            </w:r>
            <w:proofErr w:type="spellEnd"/>
          </w:p>
        </w:tc>
        <w:tc>
          <w:tcPr>
            <w:tcW w:w="2356" w:type="dxa"/>
            <w:tcBorders>
              <w:top w:val="single" w:sz="4" w:space="0" w:color="auto"/>
              <w:left w:val="nil"/>
              <w:bottom w:val="nil"/>
              <w:right w:val="nil"/>
            </w:tcBorders>
          </w:tcPr>
          <w:p w14:paraId="5CCBF006"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Ili basin</w:t>
            </w:r>
          </w:p>
        </w:tc>
        <w:tc>
          <w:tcPr>
            <w:tcW w:w="1649" w:type="dxa"/>
            <w:tcBorders>
              <w:top w:val="single" w:sz="4" w:space="0" w:color="auto"/>
              <w:left w:val="nil"/>
              <w:bottom w:val="nil"/>
              <w:right w:val="nil"/>
            </w:tcBorders>
          </w:tcPr>
          <w:p w14:paraId="16C400F5"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Semi-arid</w:t>
            </w:r>
          </w:p>
        </w:tc>
        <w:tc>
          <w:tcPr>
            <w:tcW w:w="1356" w:type="dxa"/>
            <w:tcBorders>
              <w:top w:val="single" w:sz="4" w:space="0" w:color="auto"/>
              <w:left w:val="nil"/>
              <w:bottom w:val="nil"/>
              <w:right w:val="nil"/>
            </w:tcBorders>
          </w:tcPr>
          <w:p w14:paraId="78656442"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2.5 m</w:t>
            </w:r>
          </w:p>
        </w:tc>
        <w:tc>
          <w:tcPr>
            <w:tcW w:w="1063" w:type="dxa"/>
            <w:tcBorders>
              <w:top w:val="single" w:sz="4" w:space="0" w:color="auto"/>
              <w:left w:val="nil"/>
              <w:bottom w:val="nil"/>
              <w:right w:val="nil"/>
            </w:tcBorders>
          </w:tcPr>
          <w:p w14:paraId="64C42D16"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10–20 m</w:t>
            </w:r>
          </w:p>
        </w:tc>
      </w:tr>
      <w:tr w:rsidR="00330622" w14:paraId="3666A296" w14:textId="77777777">
        <w:trPr>
          <w:jc w:val="center"/>
        </w:trPr>
        <w:tc>
          <w:tcPr>
            <w:tcW w:w="0" w:type="auto"/>
            <w:tcBorders>
              <w:top w:val="nil"/>
              <w:left w:val="nil"/>
              <w:bottom w:val="nil"/>
              <w:right w:val="nil"/>
            </w:tcBorders>
          </w:tcPr>
          <w:p w14:paraId="60FE470B" w14:textId="77777777" w:rsidR="00330622" w:rsidRDefault="00000000">
            <w:pPr>
              <w:spacing w:line="360" w:lineRule="auto"/>
              <w:rPr>
                <w:rFonts w:ascii="Times New Roman" w:hAnsi="Times New Roman" w:cs="Times New Roman"/>
                <w:sz w:val="24"/>
              </w:rPr>
            </w:pPr>
            <w:proofErr w:type="spellStart"/>
            <w:r>
              <w:rPr>
                <w:rFonts w:ascii="Times New Roman" w:hAnsi="Times New Roman" w:cs="Times New Roman"/>
                <w:sz w:val="24"/>
              </w:rPr>
              <w:t>Mosuowan</w:t>
            </w:r>
            <w:proofErr w:type="spellEnd"/>
          </w:p>
        </w:tc>
        <w:tc>
          <w:tcPr>
            <w:tcW w:w="0" w:type="auto"/>
            <w:tcBorders>
              <w:top w:val="nil"/>
              <w:left w:val="nil"/>
              <w:bottom w:val="nil"/>
              <w:right w:val="nil"/>
            </w:tcBorders>
          </w:tcPr>
          <w:p w14:paraId="15F85062" w14:textId="77777777" w:rsidR="00330622" w:rsidRDefault="00000000">
            <w:pPr>
              <w:spacing w:line="360" w:lineRule="auto"/>
              <w:rPr>
                <w:rFonts w:ascii="Times New Roman" w:hAnsi="Times New Roman" w:cs="Times New Roman"/>
                <w:sz w:val="24"/>
              </w:rPr>
            </w:pPr>
            <w:proofErr w:type="spellStart"/>
            <w:r>
              <w:rPr>
                <w:rFonts w:ascii="Times New Roman" w:hAnsi="Times New Roman" w:cs="Times New Roman"/>
                <w:sz w:val="24"/>
              </w:rPr>
              <w:t>Gurbantunggut</w:t>
            </w:r>
            <w:proofErr w:type="spellEnd"/>
            <w:r>
              <w:rPr>
                <w:rFonts w:ascii="Times New Roman" w:hAnsi="Times New Roman" w:cs="Times New Roman"/>
                <w:sz w:val="24"/>
              </w:rPr>
              <w:t xml:space="preserve"> Desert</w:t>
            </w:r>
          </w:p>
        </w:tc>
        <w:tc>
          <w:tcPr>
            <w:tcW w:w="0" w:type="auto"/>
            <w:tcBorders>
              <w:top w:val="nil"/>
              <w:left w:val="nil"/>
              <w:bottom w:val="nil"/>
              <w:right w:val="nil"/>
            </w:tcBorders>
          </w:tcPr>
          <w:p w14:paraId="72307BD7"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Arid</w:t>
            </w:r>
          </w:p>
        </w:tc>
        <w:tc>
          <w:tcPr>
            <w:tcW w:w="0" w:type="auto"/>
            <w:tcBorders>
              <w:top w:val="nil"/>
              <w:left w:val="nil"/>
              <w:bottom w:val="nil"/>
              <w:right w:val="nil"/>
            </w:tcBorders>
          </w:tcPr>
          <w:p w14:paraId="490BE8CE"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2.5 m</w:t>
            </w:r>
          </w:p>
        </w:tc>
        <w:tc>
          <w:tcPr>
            <w:tcW w:w="0" w:type="auto"/>
            <w:tcBorders>
              <w:top w:val="nil"/>
              <w:left w:val="nil"/>
              <w:bottom w:val="nil"/>
              <w:right w:val="nil"/>
            </w:tcBorders>
          </w:tcPr>
          <w:p w14:paraId="68EF10DB"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20–25 m</w:t>
            </w:r>
          </w:p>
        </w:tc>
      </w:tr>
      <w:tr w:rsidR="00330622" w14:paraId="177A8611" w14:textId="77777777">
        <w:trPr>
          <w:jc w:val="center"/>
        </w:trPr>
        <w:tc>
          <w:tcPr>
            <w:tcW w:w="1283" w:type="dxa"/>
            <w:tcBorders>
              <w:top w:val="nil"/>
              <w:left w:val="nil"/>
              <w:right w:val="nil"/>
            </w:tcBorders>
          </w:tcPr>
          <w:p w14:paraId="1A782617" w14:textId="77777777" w:rsidR="00330622" w:rsidRDefault="00000000">
            <w:pPr>
              <w:spacing w:line="360" w:lineRule="auto"/>
              <w:rPr>
                <w:rFonts w:ascii="Times New Roman" w:hAnsi="Times New Roman" w:cs="Times New Roman"/>
                <w:sz w:val="24"/>
              </w:rPr>
            </w:pPr>
            <w:proofErr w:type="spellStart"/>
            <w:r>
              <w:rPr>
                <w:rFonts w:ascii="Times New Roman" w:hAnsi="Times New Roman" w:cs="Times New Roman" w:hint="eastAsia"/>
                <w:sz w:val="24"/>
              </w:rPr>
              <w:t>Tazhong</w:t>
            </w:r>
            <w:proofErr w:type="spellEnd"/>
          </w:p>
        </w:tc>
        <w:tc>
          <w:tcPr>
            <w:tcW w:w="2356" w:type="dxa"/>
            <w:tcBorders>
              <w:top w:val="nil"/>
              <w:left w:val="nil"/>
              <w:right w:val="nil"/>
            </w:tcBorders>
          </w:tcPr>
          <w:p w14:paraId="0E5A12C8"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Taklimakan Desert</w:t>
            </w:r>
          </w:p>
        </w:tc>
        <w:tc>
          <w:tcPr>
            <w:tcW w:w="1649" w:type="dxa"/>
            <w:tcBorders>
              <w:top w:val="nil"/>
              <w:left w:val="nil"/>
              <w:right w:val="nil"/>
            </w:tcBorders>
          </w:tcPr>
          <w:p w14:paraId="308F2EA4"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Extremely arid</w:t>
            </w:r>
          </w:p>
        </w:tc>
        <w:tc>
          <w:tcPr>
            <w:tcW w:w="1356" w:type="dxa"/>
            <w:tcBorders>
              <w:top w:val="nil"/>
              <w:left w:val="nil"/>
              <w:right w:val="nil"/>
            </w:tcBorders>
          </w:tcPr>
          <w:p w14:paraId="7FFD14F4" w14:textId="77777777" w:rsidR="00330622" w:rsidRDefault="00000000">
            <w:pPr>
              <w:spacing w:line="360" w:lineRule="auto"/>
              <w:rPr>
                <w:rFonts w:ascii="Times New Roman" w:hAnsi="Times New Roman" w:cs="Times New Roman"/>
                <w:sz w:val="24"/>
              </w:rPr>
            </w:pPr>
            <w:r>
              <w:rPr>
                <w:rFonts w:ascii="Times New Roman" w:hAnsi="Times New Roman" w:cs="Times New Roman"/>
                <w:sz w:val="24"/>
              </w:rPr>
              <w:t>2.5 m</w:t>
            </w:r>
          </w:p>
        </w:tc>
        <w:tc>
          <w:tcPr>
            <w:tcW w:w="1063" w:type="dxa"/>
            <w:tcBorders>
              <w:top w:val="nil"/>
              <w:left w:val="nil"/>
              <w:right w:val="nil"/>
            </w:tcBorders>
          </w:tcPr>
          <w:p w14:paraId="2B19CA81" w14:textId="77777777" w:rsidR="00330622" w:rsidRDefault="00000000">
            <w:pPr>
              <w:spacing w:line="360" w:lineRule="auto"/>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sz w:val="24"/>
              </w:rPr>
              <w:t>–</w:t>
            </w:r>
            <w:r>
              <w:rPr>
                <w:rFonts w:ascii="Times New Roman" w:hAnsi="Times New Roman" w:cs="Times New Roman" w:hint="eastAsia"/>
                <w:sz w:val="24"/>
              </w:rPr>
              <w:t>6m</w:t>
            </w:r>
          </w:p>
        </w:tc>
      </w:tr>
    </w:tbl>
    <w:p w14:paraId="5275ED6D" w14:textId="77777777" w:rsidR="00330622" w:rsidRDefault="00000000">
      <w:pPr>
        <w:widowControl/>
        <w:spacing w:before="240" w:after="240"/>
        <w:rPr>
          <w:rFonts w:ascii="Times New Roman" w:hAnsi="Times New Roman" w:cs="Times New Roman"/>
          <w:sz w:val="24"/>
        </w:rPr>
      </w:pPr>
      <w:r>
        <w:rPr>
          <w:rFonts w:ascii="Times New Roman" w:hAnsi="Times New Roman" w:cs="Times New Roman"/>
          <w:sz w:val="24"/>
        </w:rPr>
        <w:t xml:space="preserve">Notes: GW represents groundwater. The depth of the groundwater table at the meteorological tower is 5–6 m </w:t>
      </w:r>
      <w:r>
        <w:rPr>
          <w:rFonts w:ascii="Times New Roman" w:hAnsi="Times New Roman" w:cs="Times New Roman"/>
          <w:sz w:val="24"/>
        </w:rPr>
        <w:fldChar w:fldCharType="begin"/>
      </w:r>
      <w:r>
        <w:rPr>
          <w:rFonts w:ascii="Times New Roman" w:hAnsi="Times New Roman" w:cs="Times New Roman" w:hint="eastAsia"/>
          <w:sz w:val="24"/>
        </w:rPr>
        <w:instrText xml:space="preserve"> ADDIN ZOTERO_ITEM CSL_CITATION {"citationID":"Txsjn8yJ","properties":{"formattedCitation":"(Dong et al., 2020)","plainCitation":"(Dong et al., 2020)","noteIndex":0},"citationItems":[{"id":76,"uris":["http://zotero.org/users/local/Hwy46hO7/items/P8BPPLIE"],"itemData":{"id":76,"type":"article-journal","abstract":"Tamarix taklamakanensis, a dominant species in the Taklimakan Desert of China, plays a crucial role in stabilizing sand dunes and maintaining regional ecosystem stability. This study aimed to determine the water use strategies of T. taklamakanensis in the Taklimakan Desert under a falling groundwater depth. Four typical T. taklamakanensis nabkha habitats (sandy desert of Tazhong site, saline desert-alluvial plain of Qiemo site, desert-oasis ecotone of Qira site and desert-oasis ecotone of Aral site) were selected with different climate, soil, groundwater and plant cover conditions. Stable isotope values of hydrogen and oxygen were measured for plant xylem water, soil water (soil depths within 0</w:instrText>
      </w:r>
      <w:r>
        <w:rPr>
          <w:rFonts w:ascii="Times New Roman" w:hAnsi="Times New Roman" w:cs="Times New Roman" w:hint="eastAsia"/>
          <w:sz w:val="24"/>
        </w:rPr>
        <w:instrText>–</w:instrText>
      </w:r>
      <w:r>
        <w:rPr>
          <w:rFonts w:ascii="Times New Roman" w:hAnsi="Times New Roman" w:cs="Times New Roman" w:hint="eastAsia"/>
          <w:sz w:val="24"/>
        </w:rPr>
        <w:instrText>500 cm), snowmelt water and groundwater in the different habitats. Four potential water sources for T. taklamakanensis, defined as shallow, middle and deep soil water, as well as groundwater, were investigated using a Bayesian isotope mixing model. It was found that groundwater in the Taklimakan Desert was not completely recharged by precipitation, but through the river runoff from snowmelt water in the nearby mountain ranges. The surface soil water content was quickly depleted by strong evaporation, groundwater depth was relatively shallow and the height of T. taklamakanensis nabkha was relatively low, thus T. taklamakanensis primarily utilized the middle (23%</w:instrText>
      </w:r>
      <w:r>
        <w:rPr>
          <w:rFonts w:ascii="Times New Roman" w:hAnsi="Times New Roman" w:cs="Times New Roman" w:hint="eastAsia"/>
          <w:sz w:val="24"/>
        </w:rPr>
        <w:instrText>±</w:instrText>
      </w:r>
      <w:r>
        <w:rPr>
          <w:rFonts w:ascii="Times New Roman" w:hAnsi="Times New Roman" w:cs="Times New Roman" w:hint="eastAsia"/>
          <w:sz w:val="24"/>
        </w:rPr>
        <w:instrText>1%) and deep (31%</w:instrText>
      </w:r>
      <w:r>
        <w:rPr>
          <w:rFonts w:ascii="Times New Roman" w:hAnsi="Times New Roman" w:cs="Times New Roman" w:hint="eastAsia"/>
          <w:sz w:val="24"/>
        </w:rPr>
        <w:instrText>±</w:instrText>
      </w:r>
      <w:r>
        <w:rPr>
          <w:rFonts w:ascii="Times New Roman" w:hAnsi="Times New Roman" w:cs="Times New Roman" w:hint="eastAsia"/>
          <w:sz w:val="24"/>
        </w:rPr>
        <w:instrText>5%) soil water and groundwater (36%</w:instrText>
      </w:r>
      <w:r>
        <w:rPr>
          <w:rFonts w:ascii="Times New Roman" w:hAnsi="Times New Roman" w:cs="Times New Roman" w:hint="eastAsia"/>
          <w:sz w:val="24"/>
        </w:rPr>
        <w:instrText>±</w:instrText>
      </w:r>
      <w:r>
        <w:rPr>
          <w:rFonts w:ascii="Times New Roman" w:hAnsi="Times New Roman" w:cs="Times New Roman" w:hint="eastAsia"/>
          <w:sz w:val="24"/>
        </w:rPr>
        <w:instrText>2%) within the sandy desert habitat. T. taklamakanensis mainly used the deep soil water (55%</w:instrText>
      </w:r>
      <w:r>
        <w:rPr>
          <w:rFonts w:ascii="Times New Roman" w:hAnsi="Times New Roman" w:cs="Times New Roman" w:hint="eastAsia"/>
          <w:sz w:val="24"/>
        </w:rPr>
        <w:instrText>±</w:instrText>
      </w:r>
      <w:r>
        <w:rPr>
          <w:rFonts w:ascii="Times New Roman" w:hAnsi="Times New Roman" w:cs="Times New Roman" w:hint="eastAsia"/>
          <w:sz w:val="24"/>
        </w:rPr>
        <w:instrText>4%) and a small amount of groundwater (25%</w:instrText>
      </w:r>
      <w:r>
        <w:rPr>
          <w:rFonts w:ascii="Times New Roman" w:hAnsi="Times New Roman" w:cs="Times New Roman" w:hint="eastAsia"/>
          <w:sz w:val="24"/>
        </w:rPr>
        <w:instrText>±</w:instrText>
      </w:r>
      <w:r>
        <w:rPr>
          <w:rFonts w:ascii="Times New Roman" w:hAnsi="Times New Roman" w:cs="Times New Roman" w:hint="eastAsia"/>
          <w:sz w:val="24"/>
        </w:rPr>
        <w:instrText>2%) within the saline desert-alluvial plain habitat, where the soil water content was relatively high and the groundwater depth was shallow. In contrast, within the desert-oasis ecotone in the Qira and Aral sites, T. taklamakanensis primarily utilized the deep soil water (35%</w:instrText>
      </w:r>
      <w:r>
        <w:rPr>
          <w:rFonts w:ascii="Times New Roman" w:hAnsi="Times New Roman" w:cs="Times New Roman" w:hint="eastAsia"/>
          <w:sz w:val="24"/>
        </w:rPr>
        <w:instrText>±</w:instrText>
      </w:r>
      <w:r>
        <w:rPr>
          <w:rFonts w:ascii="Times New Roman" w:hAnsi="Times New Roman" w:cs="Times New Roman" w:hint="eastAsia"/>
          <w:sz w:val="24"/>
        </w:rPr>
        <w:instrText>1% and 38%</w:instrText>
      </w:r>
      <w:r>
        <w:rPr>
          <w:rFonts w:ascii="Times New Roman" w:hAnsi="Times New Roman" w:cs="Times New Roman" w:hint="eastAsia"/>
          <w:sz w:val="24"/>
        </w:rPr>
        <w:instrText>±</w:instrText>
      </w:r>
      <w:r>
        <w:rPr>
          <w:rFonts w:ascii="Times New Roman" w:hAnsi="Times New Roman" w:cs="Times New Roman" w:hint="eastAsia"/>
          <w:sz w:val="24"/>
        </w:rPr>
        <w:instrText xml:space="preserve">2%, respectively) and may also use groundwater because the height of T. taklamakanensis nabkha was relatively high in these habitats and the soil water content was relatively low, which is associated with the reduced groundwater depth due to excessive water resource exploitation and utilization by surrounding cities. Consequently, T. taklamakanensis showed distinct water use strategies among the different habitats and primarily depended on the relatively stable water sources (deep soil water and groundwater), reflecting its adaptations to the different habitats in the arid desert environment. These findings improve our understanding on determining the water sources and water use strategies of T. taklamakanensis in the Taklimakan Desert.","container-title":"Journal of Arid Land","DOI":"10.1007/s40333-020-0051-4","ISSN":"2194-7783","issue":"1","journalAbbreviation":"J. Arid Land","language":"en","page":"115-129","source":"Springer Link","title":"Stable oxygen-hydrogen isotopes reveal water use strategies of Tamarix taklamakanensis in the Taklimakan Desert, China","volume":"12","author":[{"family":"Dong","given":"Zhengwu"},{"family":"Li","given":"Shengyu"},{"family":"Zhao","given":"Ying"},{"family":"Lei","given":"Jiaqiang"},{"family":"Wang","given":"Yongdong"},{"family":"Li","given":"Congjuan"}],"issued":{"date-parts":[["2020",2,1]]}}}],"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(Dong et al., 2020)</w:t>
      </w:r>
      <w:r>
        <w:rPr>
          <w:rFonts w:ascii="Times New Roman" w:hAnsi="Times New Roman" w:cs="Times New Roman"/>
          <w:sz w:val="24"/>
        </w:rPr>
        <w:fldChar w:fldCharType="end"/>
      </w:r>
      <w:r>
        <w:rPr>
          <w:rFonts w:ascii="Times New Roman" w:hAnsi="Times New Roman" w:cs="Times New Roman"/>
          <w:sz w:val="24"/>
        </w:rPr>
        <w:t xml:space="preserve">; the depth of the groundwater table at </w:t>
      </w:r>
      <w:proofErr w:type="spellStart"/>
      <w:r>
        <w:rPr>
          <w:rFonts w:ascii="Times New Roman" w:hAnsi="Times New Roman" w:cs="Times New Roman"/>
          <w:sz w:val="24"/>
        </w:rPr>
        <w:t>Mosuowan</w:t>
      </w:r>
      <w:proofErr w:type="spellEnd"/>
      <w:r>
        <w:rPr>
          <w:rFonts w:ascii="Times New Roman" w:hAnsi="Times New Roman" w:cs="Times New Roman"/>
          <w:sz w:val="24"/>
        </w:rPr>
        <w:t xml:space="preserve"> is 20–25 m </w:t>
      </w:r>
      <w:r>
        <w:rPr>
          <w:rFonts w:ascii="Times New Roman" w:hAnsi="Times New Roman" w:cs="Times New Roman"/>
          <w:sz w:val="24"/>
        </w:rPr>
        <w:fldChar w:fldCharType="begin"/>
      </w:r>
      <w:r>
        <w:rPr>
          <w:rFonts w:ascii="Times New Roman" w:hAnsi="Times New Roman" w:cs="Times New Roman" w:hint="eastAsia"/>
          <w:sz w:val="24"/>
        </w:rPr>
        <w:instrText xml:space="preserve"> ADDIN ZOTERO_ITEM CSL_CITATION {"citationID":"P4FNJSIJ","properties":{"formattedCitation":"(Wu et al., 2019)","plainCitation":"(Wu et al., 2019)","noteIndex":0},"citationItems":[{"id":220,"uris":["http://zotero.org/users/local/Hwy46hO7/items/BKGNB6WG"],"itemData":{"id":220,"type":"article-journal","abstract":"Groundwater is an important water source for plants in desert regions and greatly affects the performance and survival of desert plants. Moreover, the effects of groundwater variations on desert plants are not completely understood. This study aims to investigate the groundwater dependency of two dominant woody species (Haloxylon ammodendron and H. persicum) in the Gurbantunggut Desert of Central Asia, and evaluate their water use and physiological responses under a decline in groundwater depth.","container-title":"Plant and Soil","DOI":"10.1007/s11104-019-04251-2","ISSN":"1573-5036","issue":"1","journalAbbreviation":"Plant Soil","language":"en","page":"39-55","source":"Springer Link","title":"Seasonal variation in the groundwater dependency of two dominant woody species in a desert region of Central Asia","volume":"444","author":[{"family":"Wu","given":"Xue"},{"family":"Zheng","given":"Xin-Jun"},{"family":"Yin","given":"Xin-Wei"},{"family":"Yue","given":"Yue-Meng"},{"family":"Liu","given":"Ran"},{"family":"Xu","given":"Gui-Qing"},{"family":"Li","given":"Yan"}],"issued":{"date-parts":[["2019",11,1]]}}}],"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(Wu et al., 2019)</w:t>
      </w:r>
      <w:r>
        <w:rPr>
          <w:rFonts w:ascii="Times New Roman" w:hAnsi="Times New Roman" w:cs="Times New Roman"/>
          <w:sz w:val="24"/>
        </w:rPr>
        <w:fldChar w:fldCharType="end"/>
      </w:r>
      <w:r>
        <w:rPr>
          <w:rFonts w:ascii="Times New Roman" w:hAnsi="Times New Roman" w:cs="Times New Roman"/>
          <w:sz w:val="24"/>
        </w:rPr>
        <w:t xml:space="preserve">; and the groundwater level at </w:t>
      </w:r>
      <w:proofErr w:type="spellStart"/>
      <w:r>
        <w:rPr>
          <w:rFonts w:ascii="Times New Roman" w:hAnsi="Times New Roman" w:cs="Times New Roman"/>
          <w:sz w:val="24"/>
        </w:rPr>
        <w:t>Huocheng</w:t>
      </w:r>
      <w:proofErr w:type="spellEnd"/>
      <w:r>
        <w:rPr>
          <w:rFonts w:ascii="Times New Roman" w:hAnsi="Times New Roman" w:cs="Times New Roman"/>
          <w:sz w:val="24"/>
        </w:rPr>
        <w:t xml:space="preserve"> is 10–20 m </w:t>
      </w:r>
      <w:r>
        <w:rPr>
          <w:rFonts w:ascii="Times New Roman" w:hAnsi="Times New Roman" w:cs="Times New Roman"/>
          <w:sz w:val="24"/>
        </w:rPr>
        <w:fldChar w:fldCharType="begin"/>
      </w:r>
      <w:r>
        <w:rPr>
          <w:rFonts w:ascii="Times New Roman" w:hAnsi="Times New Roman" w:cs="Times New Roman" w:hint="eastAsia"/>
          <w:sz w:val="24"/>
        </w:rPr>
        <w:instrText xml:space="preserve"> ADDIN ZOTERO_ITEM CSL_CITATION {"citationID":"Khkh7Utm","properties":{"formattedCitation":"(\\uc0\\u38669{}\\uc0\\u19990{}\\uc0\\u29840{} et al., 2020)","plainCitation":"(</w:instrText>
      </w:r>
      <w:r>
        <w:rPr>
          <w:rFonts w:ascii="Times New Roman" w:hAnsi="Times New Roman" w:cs="Times New Roman" w:hint="eastAsia"/>
          <w:sz w:val="24"/>
        </w:rPr>
        <w:instrText>霍世璐</w:instrText>
      </w:r>
      <w:r>
        <w:rPr>
          <w:rFonts w:ascii="Times New Roman" w:hAnsi="Times New Roman" w:cs="Times New Roman" w:hint="eastAsia"/>
          <w:sz w:val="24"/>
        </w:rPr>
        <w:instrText xml:space="preserve"> et al., 2020)","dontUpdate":true,"noteIndex":0},"citationItems":[{"id":120,"uris":["http://zotero.org/users/local/Hwy46hO7/items/G9N6MPGC"],"itemData":{"id":120,"type":"article-journal","abstract":"</w:instrText>
      </w:r>
      <w:r>
        <w:rPr>
          <w:rFonts w:ascii="Times New Roman" w:hAnsi="Times New Roman" w:cs="Times New Roman" w:hint="eastAsia"/>
          <w:sz w:val="24"/>
        </w:rPr>
        <w:instrText>地下水资源构成变化及驱动力分析研究对于城市水资源的开发利用、发展规划及城市资源的管理具有实际指导意义。前人对新疆伊犁霍城县的研究多为当年水资源量，未涉及水资源构成变化的讨论。文章采用地下水均衡、数理统计及因子分析等方法，对霍城县近</w:instrText>
      </w:r>
      <w:r>
        <w:rPr>
          <w:rFonts w:ascii="Times New Roman" w:hAnsi="Times New Roman" w:cs="Times New Roman" w:hint="eastAsia"/>
          <w:sz w:val="24"/>
        </w:rPr>
        <w:instrText>30</w:instrText>
      </w:r>
      <w:r>
        <w:rPr>
          <w:rFonts w:ascii="Times New Roman" w:hAnsi="Times New Roman" w:cs="Times New Roman" w:hint="eastAsia"/>
          <w:sz w:val="24"/>
        </w:rPr>
        <w:instrText>年地下水资源构成变化及驱动力进行了定量研究。结果表明：</w:instrText>
      </w:r>
      <w:r>
        <w:rPr>
          <w:rFonts w:ascii="Times New Roman" w:hAnsi="Times New Roman" w:cs="Times New Roman" w:hint="eastAsia"/>
          <w:sz w:val="24"/>
        </w:rPr>
        <w:instrText>1985</w:instrText>
      </w:r>
      <w:r>
        <w:rPr>
          <w:rFonts w:ascii="Times New Roman" w:hAnsi="Times New Roman" w:cs="Times New Roman" w:hint="eastAsia"/>
          <w:sz w:val="24"/>
        </w:rPr>
        <w:instrText>—</w:instrText>
      </w:r>
      <w:r>
        <w:rPr>
          <w:rFonts w:ascii="Times New Roman" w:hAnsi="Times New Roman" w:cs="Times New Roman" w:hint="eastAsia"/>
          <w:sz w:val="24"/>
        </w:rPr>
        <w:instrText>2014</w:instrText>
      </w:r>
      <w:r>
        <w:rPr>
          <w:rFonts w:ascii="Times New Roman" w:hAnsi="Times New Roman" w:cs="Times New Roman" w:hint="eastAsia"/>
          <w:sz w:val="24"/>
        </w:rPr>
        <w:instrText>年霍城县地下水资源总体呈下降趋势，</w:instrText>
      </w:r>
      <w:r>
        <w:rPr>
          <w:rFonts w:ascii="Times New Roman" w:hAnsi="Times New Roman" w:cs="Times New Roman" w:hint="eastAsia"/>
          <w:sz w:val="24"/>
        </w:rPr>
        <w:instrText>1985</w:instrText>
      </w:r>
      <w:r>
        <w:rPr>
          <w:rFonts w:ascii="Times New Roman" w:hAnsi="Times New Roman" w:cs="Times New Roman" w:hint="eastAsia"/>
          <w:sz w:val="24"/>
        </w:rPr>
        <w:instrText>—</w:instrText>
      </w:r>
      <w:r>
        <w:rPr>
          <w:rFonts w:ascii="Times New Roman" w:hAnsi="Times New Roman" w:cs="Times New Roman" w:hint="eastAsia"/>
          <w:sz w:val="24"/>
        </w:rPr>
        <w:instrText>1990</w:instrText>
      </w:r>
      <w:r>
        <w:rPr>
          <w:rFonts w:ascii="Times New Roman" w:hAnsi="Times New Roman" w:cs="Times New Roman" w:hint="eastAsia"/>
          <w:sz w:val="24"/>
        </w:rPr>
        <w:instrText>年间为正均衡，</w:instrText>
      </w:r>
      <w:r>
        <w:rPr>
          <w:rFonts w:ascii="Times New Roman" w:hAnsi="Times New Roman" w:cs="Times New Roman" w:hint="eastAsia"/>
          <w:sz w:val="24"/>
        </w:rPr>
        <w:instrText>2000</w:instrText>
      </w:r>
      <w:r>
        <w:rPr>
          <w:rFonts w:ascii="Times New Roman" w:hAnsi="Times New Roman" w:cs="Times New Roman" w:hint="eastAsia"/>
          <w:sz w:val="24"/>
        </w:rPr>
        <w:instrText>—</w:instrText>
      </w:r>
      <w:r>
        <w:rPr>
          <w:rFonts w:ascii="Times New Roman" w:hAnsi="Times New Roman" w:cs="Times New Roman" w:hint="eastAsia"/>
          <w:sz w:val="24"/>
        </w:rPr>
        <w:instrText>2014</w:instrText>
      </w:r>
      <w:r>
        <w:rPr>
          <w:rFonts w:ascii="Times New Roman" w:hAnsi="Times New Roman" w:cs="Times New Roman" w:hint="eastAsia"/>
          <w:sz w:val="24"/>
        </w:rPr>
        <w:instrText>年演变为负均衡。同时地下水资源构成发生了深刻变化，从水均衡法得到河道和渠系入渗补给显著减少，田间入渗补给量持续增加，泉水排泄量减少</w:instrText>
      </w:r>
      <w:r>
        <w:rPr>
          <w:rFonts w:ascii="Times New Roman" w:hAnsi="Times New Roman" w:cs="Times New Roman" w:hint="eastAsia"/>
          <w:sz w:val="24"/>
        </w:rPr>
        <w:instrText>22.85%</w:instrText>
      </w:r>
      <w:r>
        <w:rPr>
          <w:rFonts w:ascii="Times New Roman" w:hAnsi="Times New Roman" w:cs="Times New Roman" w:hint="eastAsia"/>
          <w:sz w:val="24"/>
        </w:rPr>
        <w:instrText>，人工开采量增加</w:instrText>
      </w:r>
      <w:r>
        <w:rPr>
          <w:rFonts w:ascii="Times New Roman" w:hAnsi="Times New Roman" w:cs="Times New Roman" w:hint="eastAsia"/>
          <w:sz w:val="24"/>
        </w:rPr>
        <w:instrText>15.2%</w:instrText>
      </w:r>
      <w:r>
        <w:rPr>
          <w:rFonts w:ascii="Times New Roman" w:hAnsi="Times New Roman" w:cs="Times New Roman" w:hint="eastAsia"/>
          <w:sz w:val="24"/>
        </w:rPr>
        <w:instrText>；从因子分析法对比出</w:instrText>
      </w:r>
      <w:r>
        <w:rPr>
          <w:rFonts w:ascii="Times New Roman" w:hAnsi="Times New Roman" w:cs="Times New Roman" w:hint="eastAsia"/>
          <w:sz w:val="24"/>
        </w:rPr>
        <w:instrText>1985</w:instrText>
      </w:r>
      <w:r>
        <w:rPr>
          <w:rFonts w:ascii="Times New Roman" w:hAnsi="Times New Roman" w:cs="Times New Roman" w:hint="eastAsia"/>
          <w:sz w:val="24"/>
        </w:rPr>
        <w:instrText>—</w:instrText>
      </w:r>
      <w:r>
        <w:rPr>
          <w:rFonts w:ascii="Times New Roman" w:hAnsi="Times New Roman" w:cs="Times New Roman" w:hint="eastAsia"/>
          <w:sz w:val="24"/>
        </w:rPr>
        <w:instrText>2000</w:instrText>
      </w:r>
      <w:r>
        <w:rPr>
          <w:rFonts w:ascii="Times New Roman" w:hAnsi="Times New Roman" w:cs="Times New Roman" w:hint="eastAsia"/>
          <w:sz w:val="24"/>
        </w:rPr>
        <w:instrText>年较</w:instrText>
      </w:r>
      <w:r>
        <w:rPr>
          <w:rFonts w:ascii="Times New Roman" w:hAnsi="Times New Roman" w:cs="Times New Roman" w:hint="eastAsia"/>
          <w:sz w:val="24"/>
        </w:rPr>
        <w:instrText>2000</w:instrText>
      </w:r>
      <w:r>
        <w:rPr>
          <w:rFonts w:ascii="Times New Roman" w:hAnsi="Times New Roman" w:cs="Times New Roman" w:hint="eastAsia"/>
          <w:sz w:val="24"/>
        </w:rPr>
        <w:instrText>—</w:instrText>
      </w:r>
      <w:r>
        <w:rPr>
          <w:rFonts w:ascii="Times New Roman" w:hAnsi="Times New Roman" w:cs="Times New Roman" w:hint="eastAsia"/>
          <w:sz w:val="24"/>
        </w:rPr>
        <w:instrText>2014</w:instrText>
      </w:r>
      <w:r>
        <w:rPr>
          <w:rFonts w:ascii="Times New Roman" w:hAnsi="Times New Roman" w:cs="Times New Roman" w:hint="eastAsia"/>
          <w:sz w:val="24"/>
        </w:rPr>
        <w:instrText>年，水资源构成项中的主要成分与水资源总量的正负相关性发生了改变。泉水排泄量、河道入渗量、水库入渗量与水资源总量的相关性由负相关变为正相关，田间入渗补给及人工开采由正相关变为负相关；水均衡法和因子分析法对地下水资源构成变化分析结果呈现较高的相关性，结果表明人类活动对地下水资源构成产生深刻影响，是造成霍城县地下水资源变化的主要驱动力，其中灌溉面积不断增大的同时，改进灌溉方式提升灌溉水利用系数，使得田间入渗量增加速度较为平缓。人工开采使地下水位持续下降，造成泉水资源量呈阶段性衰减，同时研究区地下水位重新分布，灌溉面积及灌水总量增大，使得蒸发量增大。故而针对各驱动力提出相应节水措施对指导当地水资源的可持续利用有着重要意义。</w:instrText>
      </w:r>
      <w:r>
        <w:rPr>
          <w:rFonts w:ascii="Times New Roman" w:hAnsi="Times New Roman" w:cs="Times New Roman" w:hint="eastAsia"/>
          <w:sz w:val="24"/>
        </w:rPr>
        <w:instrText>","container-title":"</w:instrText>
      </w:r>
      <w:r>
        <w:rPr>
          <w:rFonts w:ascii="Times New Roman" w:hAnsi="Times New Roman" w:cs="Times New Roman" w:hint="eastAsia"/>
          <w:sz w:val="24"/>
        </w:rPr>
        <w:instrText>水文地质工程地质</w:instrText>
      </w:r>
      <w:r>
        <w:rPr>
          <w:rFonts w:ascii="Times New Roman" w:hAnsi="Times New Roman" w:cs="Times New Roman" w:hint="eastAsia"/>
          <w:sz w:val="24"/>
        </w:rPr>
        <w:instrText xml:space="preserve">","DOI":"10.16030/j.cnki.issn.1000-3665.201910026","ISSN":"1000-3665","issue":"2","journalAbbreviation":"swdzgcdz","language":"cn","license":"http://creativecommons.org/licenses/by/3.0/","note":"publisher: </w:instrText>
      </w:r>
      <w:r>
        <w:rPr>
          <w:rFonts w:ascii="Times New Roman" w:hAnsi="Times New Roman" w:cs="Times New Roman" w:hint="eastAsia"/>
          <w:sz w:val="24"/>
        </w:rPr>
        <w:instrText>科学出版社</w:instrText>
      </w:r>
      <w:r>
        <w:rPr>
          <w:rFonts w:ascii="Times New Roman" w:hAnsi="Times New Roman" w:cs="Times New Roman" w:hint="eastAsia"/>
          <w:sz w:val="24"/>
        </w:rPr>
        <w:instrText>","page":"51-59","source":"swdzgcdz.com","title":"</w:instrText>
      </w:r>
      <w:r>
        <w:rPr>
          <w:rFonts w:ascii="Times New Roman" w:hAnsi="Times New Roman" w:cs="Times New Roman" w:hint="eastAsia"/>
          <w:sz w:val="24"/>
        </w:rPr>
        <w:instrText>霍城县地下水资源构成变化及驱动力分析</w:instrText>
      </w:r>
      <w:r>
        <w:rPr>
          <w:rFonts w:ascii="Times New Roman" w:hAnsi="Times New Roman" w:cs="Times New Roman" w:hint="eastAsia"/>
          <w:sz w:val="24"/>
        </w:rPr>
        <w:instrText>","volume":"47","author":[{"family":"</w:instrText>
      </w:r>
      <w:r>
        <w:rPr>
          <w:rFonts w:ascii="Times New Roman" w:hAnsi="Times New Roman" w:cs="Times New Roman" w:hint="eastAsia"/>
          <w:sz w:val="24"/>
        </w:rPr>
        <w:instrText>霍世璐</w:instrText>
      </w:r>
      <w:r>
        <w:rPr>
          <w:rFonts w:ascii="Times New Roman" w:hAnsi="Times New Roman" w:cs="Times New Roman" w:hint="eastAsia"/>
          <w:sz w:val="24"/>
        </w:rPr>
        <w:instrText>","given":""},{"family":"</w:instrText>
      </w:r>
      <w:r>
        <w:rPr>
          <w:rFonts w:ascii="Times New Roman" w:hAnsi="Times New Roman" w:cs="Times New Roman" w:hint="eastAsia"/>
          <w:sz w:val="24"/>
        </w:rPr>
        <w:instrText>王文科</w:instrText>
      </w:r>
      <w:r>
        <w:rPr>
          <w:rFonts w:ascii="Times New Roman" w:hAnsi="Times New Roman" w:cs="Times New Roman" w:hint="eastAsia"/>
          <w:sz w:val="24"/>
        </w:rPr>
        <w:instrText>","given":""},{"family":"</w:instrText>
      </w:r>
      <w:r>
        <w:rPr>
          <w:rFonts w:ascii="Times New Roman" w:hAnsi="Times New Roman" w:cs="Times New Roman" w:hint="eastAsia"/>
          <w:sz w:val="24"/>
        </w:rPr>
        <w:instrText>段磊</w:instrText>
      </w:r>
      <w:r>
        <w:rPr>
          <w:rFonts w:ascii="Times New Roman" w:hAnsi="Times New Roman" w:cs="Times New Roman" w:hint="eastAsia"/>
          <w:sz w:val="24"/>
        </w:rPr>
        <w:instrText>","given":""},{"family":"</w:instrText>
      </w:r>
      <w:r>
        <w:rPr>
          <w:rFonts w:ascii="Times New Roman" w:hAnsi="Times New Roman" w:cs="Times New Roman" w:hint="eastAsia"/>
          <w:sz w:val="24"/>
        </w:rPr>
        <w:instrText>李瑛</w:instrText>
      </w:r>
      <w:r>
        <w:rPr>
          <w:rFonts w:ascii="Times New Roman" w:hAnsi="Times New Roman" w:cs="Times New Roman" w:hint="eastAsia"/>
          <w:sz w:val="24"/>
        </w:rPr>
        <w:instrText>","given":""},{"family":"</w:instrText>
      </w:r>
      <w:r>
        <w:rPr>
          <w:rFonts w:ascii="Times New Roman" w:hAnsi="Times New Roman" w:cs="Times New Roman" w:hint="eastAsia"/>
          <w:sz w:val="24"/>
        </w:rPr>
        <w:instrText>张琛</w:instrText>
      </w:r>
      <w:r>
        <w:rPr>
          <w:rFonts w:ascii="Times New Roman" w:hAnsi="Times New Roman" w:cs="Times New Roman" w:hint="eastAsia"/>
          <w:sz w:val="24"/>
        </w:rPr>
        <w:instrText>","given":""},{"family":"</w:instrText>
      </w:r>
      <w:r>
        <w:rPr>
          <w:rFonts w:ascii="Times New Roman" w:hAnsi="Times New Roman" w:cs="Times New Roman" w:hint="eastAsia"/>
          <w:sz w:val="24"/>
        </w:rPr>
        <w:instrText>刘明明</w:instrText>
      </w:r>
      <w:r>
        <w:rPr>
          <w:rFonts w:ascii="Times New Roman" w:hAnsi="Times New Roman" w:cs="Times New Roman" w:hint="eastAsia"/>
          <w:sz w:val="24"/>
        </w:rPr>
        <w:instrText>","given":""},{"family":"</w:instrText>
      </w:r>
      <w:r>
        <w:rPr>
          <w:rFonts w:ascii="Times New Roman" w:hAnsi="Times New Roman" w:cs="Times New Roman" w:hint="eastAsia"/>
          <w:sz w:val="24"/>
        </w:rPr>
        <w:instrText>曾磊</w:instrText>
      </w:r>
      <w:r>
        <w:rPr>
          <w:rFonts w:ascii="Times New Roman" w:hAnsi="Times New Roman" w:cs="Times New Roman" w:hint="eastAsia"/>
          <w:sz w:val="24"/>
        </w:rPr>
        <w:instrText xml:space="preserve">","given":""}],"issued":{"date-parts":[["2020"]]}}}],"schema":"https://github.com/citation-style-language/schema/raw/master/csl-citation.json"}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w:t>
      </w:r>
      <w:r>
        <w:rPr>
          <w:rFonts w:ascii="Times New Roman" w:hAnsi="Times New Roman" w:cs="Times New Roman" w:hint="eastAsia"/>
          <w:sz w:val="24"/>
        </w:rPr>
        <w:t>Huo</w:t>
      </w:r>
      <w:r>
        <w:rPr>
          <w:rFonts w:ascii="Times New Roman" w:hAnsi="Times New Roman" w:cs="Times New Roman"/>
          <w:sz w:val="24"/>
        </w:rPr>
        <w:t xml:space="preserve"> et al., 2020)</w:t>
      </w:r>
      <w:r>
        <w:rPr>
          <w:rFonts w:ascii="Times New Roman" w:hAnsi="Times New Roman" w:cs="Times New Roman"/>
          <w:sz w:val="24"/>
        </w:rPr>
        <w:fldChar w:fldCharType="end"/>
      </w:r>
      <w:r>
        <w:rPr>
          <w:rFonts w:ascii="Times New Roman" w:hAnsi="Times New Roman" w:cs="Times New Roman"/>
          <w:sz w:val="24"/>
        </w:rPr>
        <w:t>.</w:t>
      </w:r>
    </w:p>
    <w:p w14:paraId="112251BB" w14:textId="77777777" w:rsidR="00330622" w:rsidRDefault="00330622"/>
    <w:sectPr w:rsidR="003306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700F9" w14:textId="77777777" w:rsidR="00EE1F99" w:rsidRDefault="00EE1F99" w:rsidP="00726880">
      <w:r>
        <w:separator/>
      </w:r>
    </w:p>
  </w:endnote>
  <w:endnote w:type="continuationSeparator" w:id="0">
    <w:p w14:paraId="24A19FB0" w14:textId="77777777" w:rsidR="00EE1F99" w:rsidRDefault="00EE1F99" w:rsidP="0072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B0C6D" w14:textId="77777777" w:rsidR="00EE1F99" w:rsidRDefault="00EE1F99" w:rsidP="00726880">
      <w:r>
        <w:separator/>
      </w:r>
    </w:p>
  </w:footnote>
  <w:footnote w:type="continuationSeparator" w:id="0">
    <w:p w14:paraId="46B9A762" w14:textId="77777777" w:rsidR="00EE1F99" w:rsidRDefault="00EE1F99" w:rsidP="00726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ViY2JkMjU3NGYzZTEwMzZmMGFkZWViYmNkYWU3NDIifQ=="/>
  </w:docVars>
  <w:rsids>
    <w:rsidRoot w:val="5DE5569A"/>
    <w:rsid w:val="00330622"/>
    <w:rsid w:val="00456A9B"/>
    <w:rsid w:val="00510C8C"/>
    <w:rsid w:val="00726880"/>
    <w:rsid w:val="007C589C"/>
    <w:rsid w:val="00864B5C"/>
    <w:rsid w:val="00A53D62"/>
    <w:rsid w:val="00CE2C06"/>
    <w:rsid w:val="00EE1F99"/>
    <w:rsid w:val="5DE5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F18DE"/>
  <w15:docId w15:val="{4F436332-6443-4F6A-B860-4FE0BD6C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26880"/>
    <w:pPr>
      <w:tabs>
        <w:tab w:val="center" w:pos="4153"/>
        <w:tab w:val="right" w:pos="8306"/>
      </w:tabs>
      <w:snapToGrid w:val="0"/>
      <w:jc w:val="center"/>
    </w:pPr>
    <w:rPr>
      <w:sz w:val="18"/>
      <w:szCs w:val="18"/>
    </w:rPr>
  </w:style>
  <w:style w:type="character" w:customStyle="1" w:styleId="a5">
    <w:name w:val="页眉 字符"/>
    <w:basedOn w:val="a0"/>
    <w:link w:val="a4"/>
    <w:rsid w:val="00726880"/>
    <w:rPr>
      <w:kern w:val="2"/>
      <w:sz w:val="18"/>
      <w:szCs w:val="18"/>
    </w:rPr>
  </w:style>
  <w:style w:type="paragraph" w:styleId="a6">
    <w:name w:val="footer"/>
    <w:basedOn w:val="a"/>
    <w:link w:val="a7"/>
    <w:rsid w:val="00726880"/>
    <w:pPr>
      <w:tabs>
        <w:tab w:val="center" w:pos="4153"/>
        <w:tab w:val="right" w:pos="8306"/>
      </w:tabs>
      <w:snapToGrid w:val="0"/>
      <w:jc w:val="left"/>
    </w:pPr>
    <w:rPr>
      <w:sz w:val="18"/>
      <w:szCs w:val="18"/>
    </w:rPr>
  </w:style>
  <w:style w:type="character" w:customStyle="1" w:styleId="a7">
    <w:name w:val="页脚 字符"/>
    <w:basedOn w:val="a0"/>
    <w:link w:val="a6"/>
    <w:rsid w:val="007268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Embrace</dc:creator>
  <cp:lastModifiedBy>yq Xu</cp:lastModifiedBy>
  <cp:revision>2</cp:revision>
  <dcterms:created xsi:type="dcterms:W3CDTF">2024-07-23T03:14:00Z</dcterms:created>
  <dcterms:modified xsi:type="dcterms:W3CDTF">2024-07-23T03:14:00Z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9F613461C9BF49C7B95FD2C9C66962C7_11</vt:lpwstr>
  </property>
</Properties>
</file>