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3119A" w14:textId="56E20805" w:rsidR="00DB02F7" w:rsidRPr="00A51F1D" w:rsidRDefault="00000000">
      <w:pPr>
        <w:rPr>
          <w:rFonts w:eastAsiaTheme="minorEastAsia" w:hint="eastAsia"/>
          <w:b/>
          <w:sz w:val="20"/>
          <w:szCs w:val="20"/>
          <w:lang w:eastAsia="zh-CN"/>
        </w:rPr>
      </w:pPr>
      <w:r>
        <w:rPr>
          <w:rFonts w:eastAsia="Times New Roman"/>
          <w:b/>
          <w:sz w:val="20"/>
          <w:szCs w:val="20"/>
          <w:lang w:eastAsia="en-GB"/>
        </w:rPr>
        <w:t>STROBE-MR checklist of recommended items to address in reports of Mendelian randomization studies</w:t>
      </w:r>
      <w:r>
        <w:rPr>
          <w:rFonts w:eastAsia="Times New Roman"/>
          <w:b/>
          <w:sz w:val="20"/>
          <w:szCs w:val="20"/>
          <w:lang w:eastAsia="en-GB"/>
        </w:rPr>
        <w:fldChar w:fldCharType="begin" w:fldLock="1"/>
      </w:r>
      <w:r>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1</w:t>
      </w:r>
      <w:r>
        <w:rPr>
          <w:rFonts w:eastAsia="Times New Roman"/>
          <w:b/>
          <w:sz w:val="20"/>
          <w:szCs w:val="20"/>
          <w:lang w:eastAsia="en-GB"/>
        </w:rPr>
        <w:fldChar w:fldCharType="end"/>
      </w:r>
      <w:r>
        <w:rPr>
          <w:rFonts w:eastAsia="Times New Roman"/>
          <w:b/>
          <w:sz w:val="20"/>
          <w:szCs w:val="20"/>
          <w:lang w:eastAsia="en-GB"/>
        </w:rPr>
        <w:t xml:space="preserve"> </w:t>
      </w:r>
      <w:r>
        <w:rPr>
          <w:rFonts w:eastAsia="Times New Roman"/>
          <w:b/>
          <w:sz w:val="20"/>
          <w:szCs w:val="20"/>
          <w:lang w:eastAsia="en-GB"/>
        </w:rPr>
        <w:fldChar w:fldCharType="begin" w:fldLock="1"/>
      </w:r>
      <w:r>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2</w:t>
      </w:r>
      <w:r>
        <w:rPr>
          <w:rFonts w:eastAsia="Times New Roman"/>
          <w:b/>
          <w:sz w:val="20"/>
          <w:szCs w:val="20"/>
          <w:lang w:eastAsia="en-GB"/>
        </w:rPr>
        <w:fldChar w:fldCharType="end"/>
      </w:r>
    </w:p>
    <w:p w14:paraId="7A67134A" w14:textId="77777777" w:rsidR="00DB02F7" w:rsidRDefault="00DB02F7">
      <w:pPr>
        <w:rPr>
          <w:rFonts w:eastAsia="Times New Roman"/>
          <w:b/>
          <w:sz w:val="20"/>
          <w:szCs w:val="20"/>
          <w:lang w:eastAsia="en-GB"/>
        </w:rPr>
      </w:pPr>
    </w:p>
    <w:tbl>
      <w:tblPr>
        <w:tblW w:w="14490" w:type="dxa"/>
        <w:tblLook w:val="04A0" w:firstRow="1" w:lastRow="0" w:firstColumn="1" w:lastColumn="0" w:noHBand="0" w:noVBand="1"/>
      </w:tblPr>
      <w:tblGrid>
        <w:gridCol w:w="587"/>
        <w:gridCol w:w="1747"/>
        <w:gridCol w:w="3685"/>
        <w:gridCol w:w="676"/>
        <w:gridCol w:w="7795"/>
      </w:tblGrid>
      <w:tr w:rsidR="006540D7" w14:paraId="753E7509" w14:textId="77777777">
        <w:tc>
          <w:tcPr>
            <w:tcW w:w="587" w:type="dxa"/>
            <w:tcBorders>
              <w:top w:val="single" w:sz="4" w:space="0" w:color="auto"/>
              <w:bottom w:val="single" w:sz="6" w:space="0" w:color="7F7F7F"/>
            </w:tcBorders>
            <w:shd w:val="clear" w:color="auto" w:fill="auto"/>
          </w:tcPr>
          <w:p w14:paraId="5F5BEF9F" w14:textId="77777777" w:rsidR="00DB02F7" w:rsidRDefault="00000000">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65049CC6" w14:textId="77777777" w:rsidR="00DB02F7" w:rsidRDefault="00000000">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7CFF34FD" w14:textId="77777777" w:rsidR="00DB02F7" w:rsidRDefault="00000000">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65A0BEAD" w14:textId="77777777" w:rsidR="00DB02F7" w:rsidRDefault="00000000">
            <w:pPr>
              <w:spacing w:beforeLines="40" w:before="96" w:afterLines="40" w:after="96" w:line="24" w:lineRule="atLeast"/>
              <w:rPr>
                <w:rFonts w:eastAsia="Cambria"/>
                <w:b/>
                <w:bCs/>
                <w:sz w:val="18"/>
                <w:szCs w:val="18"/>
                <w:highlight w:val="yellow"/>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62BFDAEC" w14:textId="77777777" w:rsidR="00DB02F7" w:rsidRDefault="00000000">
            <w:pPr>
              <w:spacing w:beforeLines="40" w:before="96" w:afterLines="40" w:after="96" w:line="24" w:lineRule="atLeast"/>
              <w:rPr>
                <w:rFonts w:eastAsia="Cambria"/>
                <w:b/>
                <w:bCs/>
                <w:sz w:val="18"/>
                <w:szCs w:val="18"/>
                <w:highlight w:val="yellow"/>
                <w:lang w:val="en-GB" w:eastAsia="en-US"/>
              </w:rPr>
            </w:pPr>
            <w:r>
              <w:rPr>
                <w:rFonts w:eastAsia="Cambria"/>
                <w:b/>
                <w:bCs/>
                <w:sz w:val="18"/>
                <w:szCs w:val="18"/>
                <w:lang w:val="en-GB" w:eastAsia="en-US"/>
              </w:rPr>
              <w:t>Relevant text from manuscript</w:t>
            </w:r>
          </w:p>
        </w:tc>
      </w:tr>
      <w:tr w:rsidR="006540D7" w14:paraId="6B65C6CD" w14:textId="77777777">
        <w:tc>
          <w:tcPr>
            <w:tcW w:w="587" w:type="dxa"/>
            <w:tcBorders>
              <w:top w:val="single" w:sz="6" w:space="0" w:color="7F7F7F"/>
              <w:bottom w:val="single" w:sz="6" w:space="0" w:color="7F7F7F"/>
            </w:tcBorders>
            <w:shd w:val="clear" w:color="auto" w:fill="EEEEEE"/>
          </w:tcPr>
          <w:p w14:paraId="781CCA49"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038941A4"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43A7F271"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Indicate Mendelian randomization (MR) as the study’s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1D0CA5EE" w14:textId="07C9AA15" w:rsidR="00DB02F7" w:rsidRPr="00337CAD" w:rsidRDefault="00DB02F7">
            <w:pPr>
              <w:spacing w:beforeLines="40" w:before="96" w:afterLines="40" w:after="96" w:line="24" w:lineRule="atLeast"/>
              <w:jc w:val="center"/>
              <w:rPr>
                <w:rFonts w:ascii="Times New Roman Bold" w:eastAsia="宋体" w:hAnsi="Times New Roman Bold" w:cs="Times New Roman Bold"/>
                <w:b/>
                <w:bCs/>
                <w:sz w:val="18"/>
                <w:szCs w:val="18"/>
                <w:highlight w:val="yellow"/>
                <w:lang w:val="en-GB" w:eastAsia="zh-CN"/>
              </w:rPr>
            </w:pPr>
          </w:p>
        </w:tc>
        <w:tc>
          <w:tcPr>
            <w:tcW w:w="4320" w:type="dxa"/>
            <w:tcBorders>
              <w:top w:val="single" w:sz="6" w:space="0" w:color="7F7F7F"/>
              <w:bottom w:val="single" w:sz="6" w:space="0" w:color="7F7F7F"/>
            </w:tcBorders>
            <w:shd w:val="clear" w:color="auto" w:fill="EEEEEE"/>
          </w:tcPr>
          <w:p w14:paraId="09465CE1" w14:textId="76CE32D1" w:rsidR="00DB02F7" w:rsidRPr="00690775" w:rsidRDefault="00D13913">
            <w:pPr>
              <w:spacing w:beforeLines="40" w:before="96" w:afterLines="40" w:after="96" w:line="24" w:lineRule="atLeast"/>
              <w:rPr>
                <w:rFonts w:ascii="Times New Roman" w:eastAsia="Times New Roman" w:hAnsi="Times New Roman" w:cs="Times New Roman"/>
                <w:sz w:val="16"/>
                <w:szCs w:val="16"/>
                <w:highlight w:val="yellow"/>
                <w:lang w:val="en-GB" w:eastAsia="en-GB"/>
              </w:rPr>
            </w:pPr>
            <w:r w:rsidRPr="00690775">
              <w:rPr>
                <w:rFonts w:ascii="Times New Roman" w:hAnsi="Times New Roman" w:cs="Times New Roman"/>
                <w:sz w:val="16"/>
                <w:szCs w:val="16"/>
              </w:rPr>
              <w:t xml:space="preserve"> The causal effect analysis was performed using four methods of Mendelian randomization (MR)</w:t>
            </w:r>
          </w:p>
        </w:tc>
      </w:tr>
      <w:tr w:rsidR="006540D7" w14:paraId="47153229" w14:textId="77777777">
        <w:tc>
          <w:tcPr>
            <w:tcW w:w="587" w:type="dxa"/>
            <w:tcBorders>
              <w:top w:val="single" w:sz="6" w:space="0" w:color="7F7F7F"/>
            </w:tcBorders>
            <w:shd w:val="clear" w:color="auto" w:fill="auto"/>
          </w:tcPr>
          <w:p w14:paraId="3A88A6FA" w14:textId="77777777" w:rsidR="00DB02F7" w:rsidRDefault="00DB02F7">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277A8C14"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235CAB24" w14:textId="77777777" w:rsidR="00DB02F7" w:rsidRDefault="00DB02F7">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351E4FAF"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tcBorders>
              <w:top w:val="single" w:sz="6" w:space="0" w:color="7F7F7F"/>
            </w:tcBorders>
          </w:tcPr>
          <w:p w14:paraId="66E3AA9D" w14:textId="77777777" w:rsidR="00DB02F7" w:rsidRPr="00690775" w:rsidRDefault="00DB02F7">
            <w:pPr>
              <w:spacing w:beforeLines="40" w:before="96" w:afterLines="40" w:after="96" w:line="24" w:lineRule="atLeast"/>
              <w:rPr>
                <w:rFonts w:ascii="Times New Roman" w:eastAsia="Cambria" w:hAnsi="Times New Roman" w:cs="Times New Roman"/>
                <w:sz w:val="16"/>
                <w:szCs w:val="16"/>
                <w:lang w:val="en-GB" w:eastAsia="en-US"/>
              </w:rPr>
            </w:pPr>
          </w:p>
        </w:tc>
      </w:tr>
      <w:tr w:rsidR="006540D7" w14:paraId="21ACB201" w14:textId="77777777">
        <w:tc>
          <w:tcPr>
            <w:tcW w:w="587" w:type="dxa"/>
            <w:shd w:val="clear" w:color="auto" w:fill="EEEEEE"/>
          </w:tcPr>
          <w:p w14:paraId="133222AB"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2</w:t>
            </w:r>
          </w:p>
        </w:tc>
        <w:tc>
          <w:tcPr>
            <w:tcW w:w="1822" w:type="dxa"/>
            <w:shd w:val="clear" w:color="auto" w:fill="EEEEEE"/>
          </w:tcPr>
          <w:p w14:paraId="0568B073"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Background</w:t>
            </w:r>
          </w:p>
        </w:tc>
        <w:tc>
          <w:tcPr>
            <w:tcW w:w="7041" w:type="dxa"/>
            <w:shd w:val="clear" w:color="auto" w:fill="EEEEEE"/>
          </w:tcPr>
          <w:p w14:paraId="1C45D358"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720" w:type="dxa"/>
            <w:shd w:val="clear" w:color="auto" w:fill="EEEEEE"/>
          </w:tcPr>
          <w:p w14:paraId="3DC986D9" w14:textId="5E8EA106"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54ECF62B" w14:textId="13BBAAEC" w:rsidR="00DB02F7" w:rsidRPr="00690775" w:rsidRDefault="00D13913" w:rsidP="00D13913">
            <w:pPr>
              <w:spacing w:beforeLines="40" w:before="96" w:afterLines="40" w:after="96" w:line="24" w:lineRule="atLeast"/>
              <w:jc w:val="both"/>
              <w:rPr>
                <w:rFonts w:ascii="Times New Roman" w:eastAsia="宋体" w:hAnsi="Times New Roman" w:cs="Times New Roman"/>
                <w:sz w:val="16"/>
                <w:szCs w:val="16"/>
                <w:lang w:val="en-US" w:eastAsia="zh-CN"/>
              </w:rPr>
            </w:pPr>
            <w:r w:rsidRPr="00690775">
              <w:rPr>
                <w:rFonts w:ascii="Times New Roman" w:hAnsi="Times New Roman" w:cs="Times New Roman"/>
                <w:sz w:val="16"/>
                <w:szCs w:val="16"/>
              </w:rPr>
              <w:t>Presently, the co-morbidity of IBD and conjunctivitis is one of the major public health concerns. Therefore, analysis of the genetic perspective of their common genetic risk loci may be effective in disease management.</w:t>
            </w:r>
          </w:p>
        </w:tc>
      </w:tr>
      <w:tr w:rsidR="006540D7" w14:paraId="24375695" w14:textId="77777777">
        <w:trPr>
          <w:trHeight w:val="90"/>
        </w:trPr>
        <w:tc>
          <w:tcPr>
            <w:tcW w:w="587" w:type="dxa"/>
            <w:tcBorders>
              <w:bottom w:val="single" w:sz="6" w:space="0" w:color="7F7F7F"/>
            </w:tcBorders>
            <w:shd w:val="clear" w:color="auto" w:fill="auto"/>
          </w:tcPr>
          <w:p w14:paraId="793596CB"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3</w:t>
            </w:r>
          </w:p>
        </w:tc>
        <w:tc>
          <w:tcPr>
            <w:tcW w:w="1822" w:type="dxa"/>
            <w:tcBorders>
              <w:bottom w:val="single" w:sz="6" w:space="0" w:color="7F7F7F"/>
            </w:tcBorders>
            <w:shd w:val="clear" w:color="auto" w:fill="auto"/>
          </w:tcPr>
          <w:p w14:paraId="17E6E010"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0F2E7219"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03DBE9F9" w14:textId="5ECD0867"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Borders>
              <w:bottom w:val="single" w:sz="6" w:space="0" w:color="7F7F7F"/>
            </w:tcBorders>
          </w:tcPr>
          <w:p w14:paraId="26ABB479" w14:textId="3925B52F" w:rsidR="00DB02F7" w:rsidRPr="00690775" w:rsidRDefault="00D13913" w:rsidP="00D13913">
            <w:pPr>
              <w:spacing w:beforeLines="40" w:before="96" w:afterLines="40" w:after="96" w:line="24" w:lineRule="atLeast"/>
              <w:jc w:val="both"/>
              <w:rPr>
                <w:rFonts w:ascii="Times New Roman" w:eastAsia="Times New Roman" w:hAnsi="Times New Roman" w:cs="Times New Roman"/>
                <w:sz w:val="16"/>
                <w:szCs w:val="16"/>
                <w:lang w:val="en-GB" w:eastAsia="en-GB"/>
              </w:rPr>
            </w:pPr>
            <w:r w:rsidRPr="00690775">
              <w:rPr>
                <w:rFonts w:ascii="Times New Roman" w:hAnsi="Times New Roman" w:cs="Times New Roman"/>
                <w:sz w:val="16"/>
                <w:szCs w:val="16"/>
              </w:rPr>
              <w:t xml:space="preserve"> Since Mendelian randomization (MR), also known as a natural randomized controlled trial (RCT), is based on the "random assignment of parental alleles to offspring", it eliminates the possible confounding factors. Therefore, MR was used for causality analysis in the present study</w:t>
            </w:r>
          </w:p>
        </w:tc>
      </w:tr>
      <w:tr w:rsidR="006540D7" w14:paraId="6BAD7093" w14:textId="77777777">
        <w:tc>
          <w:tcPr>
            <w:tcW w:w="587" w:type="dxa"/>
            <w:tcBorders>
              <w:top w:val="single" w:sz="6" w:space="0" w:color="7F7F7F"/>
            </w:tcBorders>
            <w:shd w:val="clear" w:color="auto" w:fill="EEEEEE"/>
          </w:tcPr>
          <w:p w14:paraId="7A0156AF" w14:textId="77777777" w:rsidR="00DB02F7" w:rsidRDefault="00DB02F7">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20677F7F"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METHODS</w:t>
            </w:r>
          </w:p>
        </w:tc>
        <w:tc>
          <w:tcPr>
            <w:tcW w:w="7041" w:type="dxa"/>
            <w:tcBorders>
              <w:top w:val="single" w:sz="6" w:space="0" w:color="7F7F7F"/>
            </w:tcBorders>
            <w:shd w:val="clear" w:color="auto" w:fill="EEEEEE"/>
          </w:tcPr>
          <w:p w14:paraId="3D92F1CB" w14:textId="77777777" w:rsidR="00DB02F7" w:rsidRDefault="00DB02F7">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4952DD99"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tcBorders>
              <w:top w:val="single" w:sz="6" w:space="0" w:color="7F7F7F"/>
            </w:tcBorders>
            <w:shd w:val="clear" w:color="auto" w:fill="EEEEEE"/>
          </w:tcPr>
          <w:p w14:paraId="0B0C2328" w14:textId="77777777" w:rsidR="00DB02F7" w:rsidRPr="00690775" w:rsidRDefault="00DB02F7">
            <w:pPr>
              <w:spacing w:beforeLines="40" w:before="96" w:afterLines="40" w:after="96" w:line="24" w:lineRule="atLeast"/>
              <w:rPr>
                <w:rFonts w:ascii="Times New Roman" w:eastAsia="Cambria" w:hAnsi="Times New Roman" w:cs="Times New Roman"/>
                <w:sz w:val="16"/>
                <w:szCs w:val="16"/>
                <w:lang w:val="en-GB" w:eastAsia="en-US"/>
              </w:rPr>
            </w:pPr>
          </w:p>
        </w:tc>
      </w:tr>
      <w:tr w:rsidR="006540D7" w14:paraId="543AE09D" w14:textId="77777777">
        <w:tc>
          <w:tcPr>
            <w:tcW w:w="587" w:type="dxa"/>
            <w:shd w:val="clear" w:color="auto" w:fill="auto"/>
          </w:tcPr>
          <w:p w14:paraId="77C49655"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4</w:t>
            </w:r>
          </w:p>
        </w:tc>
        <w:tc>
          <w:tcPr>
            <w:tcW w:w="1822" w:type="dxa"/>
            <w:shd w:val="clear" w:color="auto" w:fill="auto"/>
          </w:tcPr>
          <w:p w14:paraId="4BC8407A"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Study design and data sources</w:t>
            </w:r>
          </w:p>
        </w:tc>
        <w:tc>
          <w:tcPr>
            <w:tcW w:w="7041" w:type="dxa"/>
            <w:shd w:val="clear" w:color="auto" w:fill="auto"/>
          </w:tcPr>
          <w:p w14:paraId="5C5E5D10"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2B25195D" w14:textId="77777777" w:rsidR="00DB02F7" w:rsidRDefault="00DB02F7">
            <w:pPr>
              <w:spacing w:beforeLines="40" w:before="96" w:afterLines="40" w:after="96" w:line="24" w:lineRule="atLeast"/>
              <w:jc w:val="center"/>
              <w:rPr>
                <w:rFonts w:ascii="Times New Roman Bold" w:eastAsia="Times New Roman" w:hAnsi="Times New Roman Bold" w:cs="Times New Roman Bold"/>
                <w:b/>
                <w:bCs/>
                <w:sz w:val="18"/>
                <w:szCs w:val="18"/>
                <w:lang w:val="en-GB" w:eastAsia="en-GB"/>
              </w:rPr>
            </w:pPr>
          </w:p>
        </w:tc>
        <w:tc>
          <w:tcPr>
            <w:tcW w:w="4320" w:type="dxa"/>
          </w:tcPr>
          <w:p w14:paraId="494AC380" w14:textId="77777777" w:rsidR="00DB02F7" w:rsidRPr="00690775" w:rsidRDefault="00DB02F7">
            <w:pPr>
              <w:spacing w:beforeLines="40" w:before="96" w:afterLines="40" w:after="96" w:line="24" w:lineRule="atLeast"/>
              <w:rPr>
                <w:rFonts w:ascii="Times New Roman" w:eastAsia="Times New Roman" w:hAnsi="Times New Roman" w:cs="Times New Roman"/>
                <w:sz w:val="16"/>
                <w:szCs w:val="16"/>
                <w:lang w:val="en-GB" w:eastAsia="en-GB"/>
              </w:rPr>
            </w:pPr>
          </w:p>
        </w:tc>
      </w:tr>
      <w:tr w:rsidR="006540D7" w14:paraId="4A35EAC6" w14:textId="77777777">
        <w:tc>
          <w:tcPr>
            <w:tcW w:w="587" w:type="dxa"/>
            <w:shd w:val="clear" w:color="auto" w:fill="EEEEEE"/>
          </w:tcPr>
          <w:p w14:paraId="71C7BC13"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16872B54"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EEEEEE"/>
          </w:tcPr>
          <w:p w14:paraId="5A95E3E5"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shd w:val="clear" w:color="auto" w:fill="FFFFFF"/>
                <w:lang w:val="en-GB" w:eastAsia="en-GB"/>
              </w:rPr>
              <w:t xml:space="preserve">Setting: </w:t>
            </w:r>
            <w:r>
              <w:rPr>
                <w:rFonts w:eastAsia="Times New Roman"/>
                <w:sz w:val="18"/>
                <w:szCs w:val="18"/>
                <w:lang w:val="en-GB" w:eastAsia="en-GB"/>
              </w:rPr>
              <w:t xml:space="preserve">Describe the study design and the underlying population, if possible. </w:t>
            </w:r>
            <w:r>
              <w:rPr>
                <w:rFonts w:eastAsia="Times New Roman"/>
                <w:sz w:val="18"/>
                <w:szCs w:val="18"/>
                <w:shd w:val="clear" w:color="auto" w:fill="FFFFFF"/>
                <w:lang w:val="en-GB" w:eastAsia="en-GB"/>
              </w:rPr>
              <w:t xml:space="preserve">Describe the setting, locations, and relevant dates, including periods </w:t>
            </w:r>
            <w:r>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4354B2BD" w14:textId="55F9CA40"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shd w:val="clear" w:color="auto" w:fill="FFFFFF"/>
                <w:lang w:val="en-US" w:eastAsia="zh-CN"/>
              </w:rPr>
            </w:pPr>
          </w:p>
        </w:tc>
        <w:tc>
          <w:tcPr>
            <w:tcW w:w="4320" w:type="dxa"/>
            <w:shd w:val="clear" w:color="auto" w:fill="EEEEEE"/>
          </w:tcPr>
          <w:p w14:paraId="2359E1BE" w14:textId="77777777" w:rsidR="00DB02F7" w:rsidRPr="00690775" w:rsidRDefault="00000000">
            <w:pPr>
              <w:spacing w:beforeLines="40" w:before="96" w:afterLines="40" w:after="96" w:line="24" w:lineRule="atLeast"/>
              <w:jc w:val="center"/>
              <w:rPr>
                <w:rFonts w:ascii="Times New Roman" w:eastAsia="宋体" w:hAnsi="Times New Roman" w:cs="Times New Roman"/>
                <w:sz w:val="16"/>
                <w:szCs w:val="16"/>
                <w:shd w:val="clear" w:color="auto" w:fill="FFFFFF"/>
                <w:lang w:val="en-US" w:eastAsia="zh-CN"/>
              </w:rPr>
            </w:pPr>
            <w:r w:rsidRPr="00690775">
              <w:rPr>
                <w:rFonts w:ascii="Times New Roman" w:eastAsia="宋体" w:hAnsi="Times New Roman" w:cs="Times New Roman"/>
                <w:sz w:val="16"/>
                <w:szCs w:val="16"/>
                <w:shd w:val="clear" w:color="auto" w:fill="FFFFFF"/>
                <w:lang w:val="en-US" w:eastAsia="zh-CN"/>
              </w:rPr>
              <w:t>NA</w:t>
            </w:r>
          </w:p>
        </w:tc>
      </w:tr>
      <w:tr w:rsidR="006540D7" w14:paraId="22F60244" w14:textId="77777777">
        <w:tc>
          <w:tcPr>
            <w:tcW w:w="587" w:type="dxa"/>
            <w:shd w:val="clear" w:color="auto" w:fill="auto"/>
          </w:tcPr>
          <w:p w14:paraId="117C82FA"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0B96A83"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auto"/>
          </w:tcPr>
          <w:p w14:paraId="14381E8D" w14:textId="77777777" w:rsidR="00DB02F7" w:rsidRDefault="00000000">
            <w:pPr>
              <w:spacing w:beforeLines="40" w:before="96" w:afterLines="40" w:after="96" w:line="24" w:lineRule="atLeast"/>
              <w:textAlignment w:val="baseline"/>
              <w:rPr>
                <w:rFonts w:eastAsia="Cambria"/>
                <w:sz w:val="18"/>
                <w:szCs w:val="18"/>
                <w:lang w:val="en-GB" w:eastAsia="en-US"/>
              </w:rPr>
            </w:pPr>
            <w:r>
              <w:rPr>
                <w:rFonts w:eastAsia="Times New Roman"/>
                <w:sz w:val="18"/>
                <w:szCs w:val="18"/>
                <w:shd w:val="clear" w:color="auto" w:fill="FFFFFF"/>
                <w:lang w:val="en-GB" w:eastAsia="en-GB"/>
              </w:rPr>
              <w:t xml:space="preserve">Participants: Give the eligibility criteria, and the sources and methods of selection of participants. </w:t>
            </w:r>
            <w:r>
              <w:rPr>
                <w:rFonts w:eastAsia="Times New Roman"/>
                <w:color w:val="000000"/>
                <w:sz w:val="18"/>
                <w:szCs w:val="18"/>
              </w:rPr>
              <w:t>Report the sample size, and whether any power or sample size calculations were carried out prior to the main analysis</w:t>
            </w:r>
            <w:r>
              <w:rPr>
                <w:rFonts w:eastAsia="Times New Roman"/>
                <w:sz w:val="18"/>
                <w:szCs w:val="18"/>
                <w:lang w:val="en-GB" w:eastAsia="en-GB"/>
              </w:rPr>
              <w:t> </w:t>
            </w:r>
          </w:p>
        </w:tc>
        <w:tc>
          <w:tcPr>
            <w:tcW w:w="720" w:type="dxa"/>
          </w:tcPr>
          <w:p w14:paraId="47F8BD8C" w14:textId="7AC84D5A" w:rsidR="00DB02F7" w:rsidRDefault="00DB02F7">
            <w:pPr>
              <w:spacing w:beforeLines="40" w:before="96" w:afterLines="40" w:after="96" w:line="24" w:lineRule="atLeast"/>
              <w:jc w:val="center"/>
              <w:textAlignment w:val="baseline"/>
              <w:rPr>
                <w:rFonts w:ascii="Times New Roman Bold" w:eastAsia="宋体" w:hAnsi="Times New Roman Bold" w:cs="Times New Roman Bold"/>
                <w:b/>
                <w:bCs/>
                <w:sz w:val="18"/>
                <w:szCs w:val="18"/>
                <w:shd w:val="clear" w:color="auto" w:fill="FFFFFF"/>
                <w:lang w:val="en-US" w:eastAsia="zh-CN"/>
              </w:rPr>
            </w:pPr>
          </w:p>
        </w:tc>
        <w:tc>
          <w:tcPr>
            <w:tcW w:w="4320" w:type="dxa"/>
          </w:tcPr>
          <w:p w14:paraId="2C8C71C9" w14:textId="341649AA" w:rsidR="00DB02F7" w:rsidRPr="00690775" w:rsidRDefault="00E35D5F">
            <w:pPr>
              <w:spacing w:beforeLines="40" w:before="96" w:afterLines="40" w:after="96" w:line="24" w:lineRule="atLeast"/>
              <w:jc w:val="both"/>
              <w:textAlignment w:val="baseline"/>
              <w:rPr>
                <w:rFonts w:ascii="Times New Roman" w:eastAsia="Times New Roman" w:hAnsi="Times New Roman" w:cs="Times New Roman"/>
                <w:sz w:val="16"/>
                <w:szCs w:val="16"/>
                <w:shd w:val="clear" w:color="auto" w:fill="FFFFFF"/>
                <w:lang w:val="en-US" w:eastAsia="en-GB"/>
              </w:rPr>
            </w:pPr>
            <w:r w:rsidRPr="00E35D5F">
              <w:rPr>
                <w:rFonts w:ascii="Times New Roman" w:hAnsi="Times New Roman" w:cs="Times New Roman"/>
                <w:sz w:val="16"/>
                <w:szCs w:val="16"/>
                <w:lang w:val="en-US"/>
              </w:rPr>
              <w:t>Three data</w:t>
            </w:r>
            <w:r w:rsidRPr="00E35D5F">
              <w:rPr>
                <w:rFonts w:ascii="Times New Roman" w:hAnsi="Times New Roman" w:cs="Times New Roman" w:hint="eastAsia"/>
                <w:sz w:val="16"/>
                <w:szCs w:val="16"/>
                <w:lang w:val="en-US"/>
              </w:rPr>
              <w:t>sets</w:t>
            </w:r>
            <w:r w:rsidRPr="00E35D5F">
              <w:rPr>
                <w:rFonts w:ascii="Times New Roman" w:hAnsi="Times New Roman" w:cs="Times New Roman"/>
                <w:sz w:val="16"/>
                <w:szCs w:val="16"/>
                <w:lang w:val="en-US"/>
              </w:rPr>
              <w:t>, including IBD (ID: ebi-a-GCST004131</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=25,042,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=34,915</w:t>
            </w:r>
            <w:r w:rsidRPr="00E35D5F">
              <w:rPr>
                <w:rFonts w:ascii="Times New Roman" w:hAnsi="Times New Roman" w:cs="Times New Roman"/>
                <w:sz w:val="16"/>
                <w:szCs w:val="16"/>
                <w:lang w:val="en-US"/>
              </w:rPr>
              <w:t>), CD (ID: ebi-a-GCST004132</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=12,194,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=28,072</w:t>
            </w:r>
            <w:r w:rsidRPr="00E35D5F">
              <w:rPr>
                <w:rFonts w:ascii="Times New Roman" w:hAnsi="Times New Roman" w:cs="Times New Roman"/>
                <w:sz w:val="16"/>
                <w:szCs w:val="16"/>
                <w:lang w:val="en-US"/>
              </w:rPr>
              <w:t>), and UC (ID: ebi-a-GCST004133</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=12,366,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=33,609</w:t>
            </w:r>
            <w:r w:rsidRPr="00E35D5F">
              <w:rPr>
                <w:rFonts w:ascii="Times New Roman" w:hAnsi="Times New Roman" w:cs="Times New Roman"/>
                <w:sz w:val="16"/>
                <w:szCs w:val="16"/>
                <w:lang w:val="en-US"/>
              </w:rPr>
              <w:t>) from the IEU GWAS database (https://gwas.mrcieu.ac.uk/) were selected based on the sample size, number of SNPs, study ethnicity (Europe), and year of publication. Moreover, GWAS data for conjunctivitis</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=32,417,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=28,895)</w:t>
            </w:r>
            <w:r w:rsidRPr="00E35D5F">
              <w:rPr>
                <w:rFonts w:ascii="Times New Roman" w:hAnsi="Times New Roman" w:cs="Times New Roman"/>
                <w:sz w:val="16"/>
                <w:szCs w:val="16"/>
                <w:lang w:val="en-US"/>
              </w:rPr>
              <w:t xml:space="preserve"> were obtained from the </w:t>
            </w:r>
            <w:proofErr w:type="spellStart"/>
            <w:r w:rsidRPr="00E35D5F">
              <w:rPr>
                <w:rFonts w:ascii="Times New Roman" w:hAnsi="Times New Roman" w:cs="Times New Roman"/>
                <w:sz w:val="16"/>
                <w:szCs w:val="16"/>
                <w:lang w:val="en-US"/>
              </w:rPr>
              <w:t>FinnGen</w:t>
            </w:r>
            <w:proofErr w:type="spellEnd"/>
            <w:r w:rsidRPr="00E35D5F">
              <w:rPr>
                <w:rFonts w:ascii="Times New Roman" w:hAnsi="Times New Roman" w:cs="Times New Roman"/>
                <w:sz w:val="16"/>
                <w:szCs w:val="16"/>
                <w:lang w:val="en-US"/>
              </w:rPr>
              <w:t xml:space="preserve"> database (https://r10.finngen.fi/)</w:t>
            </w:r>
          </w:p>
        </w:tc>
      </w:tr>
      <w:tr w:rsidR="006540D7" w14:paraId="1BC6FD7E" w14:textId="77777777">
        <w:tc>
          <w:tcPr>
            <w:tcW w:w="587" w:type="dxa"/>
            <w:shd w:val="clear" w:color="auto" w:fill="EEEEEE"/>
          </w:tcPr>
          <w:p w14:paraId="52C1A0CD"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942B7DB"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EEEEEE"/>
          </w:tcPr>
          <w:p w14:paraId="3F942F2A"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Describe measurement, quality control and selection of genetic variants</w:t>
            </w:r>
          </w:p>
        </w:tc>
        <w:tc>
          <w:tcPr>
            <w:tcW w:w="720" w:type="dxa"/>
            <w:shd w:val="clear" w:color="auto" w:fill="EEEEEE"/>
          </w:tcPr>
          <w:p w14:paraId="32E23999" w14:textId="714C7226" w:rsidR="00DB02F7" w:rsidRPr="00D13913"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shd w:val="clear" w:color="auto" w:fill="EEEEEE"/>
          </w:tcPr>
          <w:p w14:paraId="3AFD2025" w14:textId="28685DD8" w:rsidR="00DB02F7" w:rsidRPr="00690775" w:rsidRDefault="00D13913" w:rsidP="00D13913">
            <w:pPr>
              <w:numPr>
                <w:ilvl w:val="0"/>
                <w:numId w:val="2"/>
              </w:numPr>
              <w:spacing w:beforeLines="40" w:before="96" w:afterLines="40" w:after="96" w:line="24" w:lineRule="atLeast"/>
              <w:jc w:val="both"/>
              <w:rPr>
                <w:rFonts w:ascii="Times New Roman" w:eastAsia="Times New Roman" w:hAnsi="Times New Roman" w:cs="Times New Roman"/>
                <w:sz w:val="16"/>
                <w:szCs w:val="16"/>
                <w:lang w:val="en-GB" w:eastAsia="en-GB"/>
              </w:rPr>
            </w:pPr>
            <w:r w:rsidRPr="00690775">
              <w:rPr>
                <w:rFonts w:ascii="Times New Roman" w:eastAsia="Times New Roman" w:hAnsi="Times New Roman" w:cs="Times New Roman"/>
                <w:sz w:val="16"/>
                <w:szCs w:val="16"/>
                <w:lang w:val="en-GB" w:eastAsia="en-GB"/>
              </w:rPr>
              <w:t xml:space="preserve"> In addition, pleiotropic (23,26), heterogeneity (27), and leave-one-out (28) analyses were performed to ensure the quality, accuracy, and reliability of the </w:t>
            </w:r>
            <w:proofErr w:type="spellStart"/>
            <w:r w:rsidRPr="00690775">
              <w:rPr>
                <w:rFonts w:ascii="Times New Roman" w:eastAsia="Times New Roman" w:hAnsi="Times New Roman" w:cs="Times New Roman"/>
                <w:sz w:val="16"/>
                <w:szCs w:val="16"/>
                <w:lang w:val="en-GB" w:eastAsia="en-GB"/>
              </w:rPr>
              <w:t>analyzed</w:t>
            </w:r>
            <w:proofErr w:type="spellEnd"/>
            <w:r w:rsidRPr="00690775">
              <w:rPr>
                <w:rFonts w:ascii="Times New Roman" w:eastAsia="Times New Roman" w:hAnsi="Times New Roman" w:cs="Times New Roman"/>
                <w:sz w:val="16"/>
                <w:szCs w:val="16"/>
                <w:lang w:val="en-GB" w:eastAsia="en-GB"/>
              </w:rPr>
              <w:t xml:space="preserve"> results</w:t>
            </w:r>
          </w:p>
        </w:tc>
      </w:tr>
      <w:tr w:rsidR="006540D7" w14:paraId="3486FC37" w14:textId="77777777">
        <w:tc>
          <w:tcPr>
            <w:tcW w:w="587" w:type="dxa"/>
            <w:shd w:val="clear" w:color="auto" w:fill="auto"/>
          </w:tcPr>
          <w:p w14:paraId="3BF77A47"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201AD5C7"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auto"/>
          </w:tcPr>
          <w:p w14:paraId="408800EB" w14:textId="77777777" w:rsidR="00DB02F7" w:rsidRDefault="00000000">
            <w:pPr>
              <w:spacing w:beforeLines="40" w:before="96" w:afterLines="40" w:after="96" w:line="24" w:lineRule="atLeast"/>
              <w:textAlignment w:val="baseline"/>
              <w:rPr>
                <w:rFonts w:eastAsia="Cambria"/>
                <w:sz w:val="18"/>
                <w:szCs w:val="18"/>
                <w:lang w:val="en-GB" w:eastAsia="en-US"/>
              </w:rPr>
            </w:pPr>
            <w:r>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C98181B" w14:textId="28C41DE0" w:rsidR="00DB02F7" w:rsidRPr="00337CAD" w:rsidRDefault="00DB02F7">
            <w:pPr>
              <w:spacing w:beforeLines="40" w:before="96" w:afterLines="40" w:after="96" w:line="24" w:lineRule="atLeast"/>
              <w:jc w:val="center"/>
              <w:textAlignment w:val="baseline"/>
              <w:rPr>
                <w:rFonts w:ascii="Times New Roman Bold" w:eastAsiaTheme="minorEastAsia" w:hAnsi="Times New Roman Bold" w:cs="Times New Roman Bold" w:hint="eastAsia"/>
                <w:b/>
                <w:bCs/>
                <w:sz w:val="18"/>
                <w:szCs w:val="18"/>
                <w:shd w:val="clear" w:color="auto" w:fill="FFFFFF"/>
                <w:lang w:val="en-US" w:eastAsia="zh-CN"/>
              </w:rPr>
            </w:pPr>
          </w:p>
        </w:tc>
        <w:tc>
          <w:tcPr>
            <w:tcW w:w="4320" w:type="dxa"/>
          </w:tcPr>
          <w:p w14:paraId="31E18A64" w14:textId="77777777" w:rsidR="00DB02F7" w:rsidRPr="00690775" w:rsidRDefault="00000000">
            <w:pPr>
              <w:spacing w:beforeLines="40" w:before="96" w:afterLines="40" w:after="96" w:line="24" w:lineRule="atLeast"/>
              <w:jc w:val="center"/>
              <w:textAlignment w:val="baseline"/>
              <w:rPr>
                <w:rFonts w:ascii="Times New Roman" w:eastAsia="Times New Roman" w:hAnsi="Times New Roman" w:cs="Times New Roman"/>
                <w:sz w:val="16"/>
                <w:szCs w:val="16"/>
                <w:shd w:val="clear" w:color="auto" w:fill="FFFFFF"/>
                <w:lang w:val="en-US" w:eastAsia="en-GB"/>
              </w:rPr>
            </w:pPr>
            <w:r w:rsidRPr="00690775">
              <w:rPr>
                <w:rFonts w:ascii="Times New Roman" w:eastAsia="Times New Roman" w:hAnsi="Times New Roman" w:cs="Times New Roman"/>
                <w:sz w:val="16"/>
                <w:szCs w:val="16"/>
                <w:shd w:val="clear" w:color="auto" w:fill="FFFFFF"/>
                <w:lang w:val="en-US" w:eastAsia="en-GB"/>
              </w:rPr>
              <w:t>NA</w:t>
            </w:r>
          </w:p>
        </w:tc>
      </w:tr>
      <w:tr w:rsidR="006540D7" w14:paraId="7BE89090" w14:textId="77777777">
        <w:tc>
          <w:tcPr>
            <w:tcW w:w="587" w:type="dxa"/>
            <w:shd w:val="clear" w:color="auto" w:fill="EEEEEE"/>
          </w:tcPr>
          <w:p w14:paraId="3986944F"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AF47BBA"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e)</w:t>
            </w:r>
          </w:p>
        </w:tc>
        <w:tc>
          <w:tcPr>
            <w:tcW w:w="7041" w:type="dxa"/>
            <w:shd w:val="clear" w:color="auto" w:fill="EEEEEE"/>
          </w:tcPr>
          <w:p w14:paraId="103B9765" w14:textId="77777777" w:rsidR="00DB02F7" w:rsidRDefault="00000000">
            <w:pPr>
              <w:spacing w:beforeLines="40" w:before="96" w:afterLines="40" w:after="96" w:line="24" w:lineRule="atLeast"/>
              <w:textAlignment w:val="baseline"/>
              <w:rPr>
                <w:rFonts w:eastAsia="Cambria"/>
                <w:sz w:val="18"/>
                <w:szCs w:val="18"/>
                <w:lang w:val="en-GB" w:eastAsia="en-US"/>
              </w:rPr>
            </w:pPr>
            <w:r>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592BA4E1" w14:textId="06BAD8B8" w:rsidR="00DB02F7" w:rsidRDefault="00DB02F7">
            <w:pPr>
              <w:spacing w:beforeLines="40" w:before="96" w:afterLines="40" w:after="96" w:line="24" w:lineRule="atLeast"/>
              <w:jc w:val="center"/>
              <w:textAlignment w:val="baseline"/>
              <w:rPr>
                <w:rFonts w:ascii="Times New Roman Bold" w:eastAsia="Times New Roman" w:hAnsi="Times New Roman Bold" w:cs="Times New Roman Bold"/>
                <w:b/>
                <w:bCs/>
                <w:sz w:val="16"/>
                <w:szCs w:val="16"/>
                <w:shd w:val="clear" w:color="auto" w:fill="FFFFFF"/>
                <w:lang w:val="en-GB" w:eastAsia="en-GB"/>
              </w:rPr>
            </w:pPr>
          </w:p>
        </w:tc>
        <w:tc>
          <w:tcPr>
            <w:tcW w:w="4320" w:type="dxa"/>
            <w:shd w:val="clear" w:color="auto" w:fill="EEEEEE"/>
          </w:tcPr>
          <w:p w14:paraId="7A612580" w14:textId="77777777" w:rsidR="00DB02F7" w:rsidRPr="00690775" w:rsidRDefault="00000000">
            <w:pPr>
              <w:spacing w:beforeLines="40" w:before="96" w:afterLines="40" w:after="96" w:line="24" w:lineRule="atLeast"/>
              <w:jc w:val="center"/>
              <w:textAlignment w:val="baseline"/>
              <w:rPr>
                <w:rFonts w:ascii="Times New Roman" w:eastAsia="Times New Roman" w:hAnsi="Times New Roman" w:cs="Times New Roman"/>
                <w:sz w:val="16"/>
                <w:szCs w:val="16"/>
                <w:shd w:val="clear" w:color="auto" w:fill="FFFFFF"/>
                <w:lang w:val="en-GB" w:eastAsia="en-GB"/>
              </w:rPr>
            </w:pPr>
            <w:r w:rsidRPr="00690775">
              <w:rPr>
                <w:rFonts w:ascii="Times New Roman" w:eastAsia="Times New Roman" w:hAnsi="Times New Roman" w:cs="Times New Roman"/>
                <w:sz w:val="16"/>
                <w:szCs w:val="16"/>
                <w:shd w:val="clear" w:color="auto" w:fill="FFFFFF"/>
                <w:lang w:val="en-GB" w:eastAsia="en-GB"/>
              </w:rPr>
              <w:t>Not involved</w:t>
            </w:r>
          </w:p>
        </w:tc>
      </w:tr>
      <w:tr w:rsidR="006540D7" w14:paraId="4B391EB3" w14:textId="77777777">
        <w:tc>
          <w:tcPr>
            <w:tcW w:w="587" w:type="dxa"/>
            <w:shd w:val="clear" w:color="auto" w:fill="auto"/>
          </w:tcPr>
          <w:p w14:paraId="23FEE843"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5</w:t>
            </w:r>
          </w:p>
        </w:tc>
        <w:tc>
          <w:tcPr>
            <w:tcW w:w="1822" w:type="dxa"/>
            <w:shd w:val="clear" w:color="auto" w:fill="auto"/>
          </w:tcPr>
          <w:p w14:paraId="0521273D"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Assumptions</w:t>
            </w:r>
          </w:p>
          <w:p w14:paraId="63EAFAEB" w14:textId="77777777" w:rsidR="00DB02F7" w:rsidRDefault="00DB02F7">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48A8E635"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12945B1E" w14:textId="4918C31D"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60785BE6" w14:textId="58884F18" w:rsidR="00DB02F7" w:rsidRPr="00690775" w:rsidRDefault="00690775">
            <w:pPr>
              <w:numPr>
                <w:ilvl w:val="0"/>
                <w:numId w:val="3"/>
              </w:numPr>
              <w:spacing w:beforeLines="40" w:before="96" w:afterLines="40" w:after="96" w:line="24" w:lineRule="atLeast"/>
              <w:jc w:val="both"/>
              <w:rPr>
                <w:rFonts w:ascii="Times New Roman" w:eastAsia="宋体" w:hAnsi="Times New Roman" w:cs="Times New Roman"/>
                <w:sz w:val="16"/>
                <w:szCs w:val="16"/>
                <w:lang w:val="en-US" w:eastAsia="zh-CN"/>
              </w:rPr>
            </w:pPr>
            <w:r w:rsidRPr="00690775">
              <w:rPr>
                <w:rFonts w:ascii="Times New Roman" w:hAnsi="Times New Roman" w:cs="Times New Roman"/>
                <w:sz w:val="16"/>
                <w:szCs w:val="16"/>
              </w:rPr>
              <w:t>Potential causal associations between IBD and conjunctivitis were evaluated using a bidirectional two-sample MR analysis following its three main assumptions.</w:t>
            </w:r>
          </w:p>
          <w:p w14:paraId="1D406A42" w14:textId="28738317" w:rsidR="00DB02F7" w:rsidRPr="00690775" w:rsidRDefault="00690775" w:rsidP="00690775">
            <w:pPr>
              <w:numPr>
                <w:ilvl w:val="0"/>
                <w:numId w:val="3"/>
              </w:numPr>
              <w:spacing w:beforeLines="40" w:before="96" w:afterLines="40" w:after="96" w:line="24" w:lineRule="atLeast"/>
              <w:jc w:val="both"/>
              <w:rPr>
                <w:rFonts w:ascii="Times New Roman" w:eastAsia="宋体" w:hAnsi="Times New Roman" w:cs="Times New Roman"/>
                <w:sz w:val="16"/>
                <w:szCs w:val="16"/>
                <w:lang w:val="en-US" w:eastAsia="zh-CN"/>
              </w:rPr>
            </w:pPr>
            <w:r w:rsidRPr="00690775">
              <w:rPr>
                <w:rFonts w:ascii="Times New Roman" w:hAnsi="Times New Roman" w:cs="Times New Roman"/>
                <w:sz w:val="16"/>
                <w:szCs w:val="16"/>
              </w:rPr>
              <w:t>In addition, pleiotropic (23,26), heterogeneity (27), and leave-one-out (28) analyses were performed to ensure the quality, accuracy, and reliability of the analyzed results.</w:t>
            </w:r>
          </w:p>
        </w:tc>
      </w:tr>
      <w:tr w:rsidR="006540D7" w14:paraId="0E4C6BBC" w14:textId="77777777">
        <w:tc>
          <w:tcPr>
            <w:tcW w:w="587" w:type="dxa"/>
            <w:shd w:val="clear" w:color="auto" w:fill="EEEEEE"/>
          </w:tcPr>
          <w:p w14:paraId="695B8B42"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6</w:t>
            </w:r>
          </w:p>
        </w:tc>
        <w:tc>
          <w:tcPr>
            <w:tcW w:w="1822" w:type="dxa"/>
            <w:shd w:val="clear" w:color="auto" w:fill="EEEEEE"/>
          </w:tcPr>
          <w:p w14:paraId="77FA5D68"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Statistical methods: main analysis</w:t>
            </w:r>
          </w:p>
        </w:tc>
        <w:tc>
          <w:tcPr>
            <w:tcW w:w="7041" w:type="dxa"/>
            <w:shd w:val="clear" w:color="auto" w:fill="EEEEEE"/>
          </w:tcPr>
          <w:p w14:paraId="5ADE5757"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Describe statistical methods and statistics used</w:t>
            </w:r>
          </w:p>
        </w:tc>
        <w:tc>
          <w:tcPr>
            <w:tcW w:w="720" w:type="dxa"/>
            <w:shd w:val="clear" w:color="auto" w:fill="EEEEEE"/>
          </w:tcPr>
          <w:p w14:paraId="1EC9887D" w14:textId="77777777" w:rsidR="00DB02F7" w:rsidRDefault="00DB02F7">
            <w:pPr>
              <w:spacing w:beforeLines="40" w:before="96" w:afterLines="40" w:after="96" w:line="24" w:lineRule="atLeast"/>
              <w:jc w:val="center"/>
              <w:rPr>
                <w:rFonts w:ascii="Times New Roman Bold" w:eastAsia="Times New Roman" w:hAnsi="Times New Roman Bold" w:cs="Times New Roman Bold"/>
                <w:b/>
                <w:bCs/>
                <w:sz w:val="18"/>
                <w:szCs w:val="18"/>
                <w:lang w:val="en-GB" w:eastAsia="en-GB"/>
              </w:rPr>
            </w:pPr>
          </w:p>
        </w:tc>
        <w:tc>
          <w:tcPr>
            <w:tcW w:w="4320" w:type="dxa"/>
            <w:shd w:val="clear" w:color="auto" w:fill="EEEEEE"/>
          </w:tcPr>
          <w:p w14:paraId="3485DBC2" w14:textId="77777777" w:rsidR="00DB02F7" w:rsidRPr="00690775" w:rsidRDefault="00DB02F7">
            <w:pPr>
              <w:spacing w:beforeLines="40" w:before="96" w:afterLines="40" w:after="96" w:line="24" w:lineRule="atLeast"/>
              <w:rPr>
                <w:rFonts w:ascii="Times New Roman" w:eastAsia="Times New Roman" w:hAnsi="Times New Roman" w:cs="Times New Roman"/>
                <w:sz w:val="16"/>
                <w:szCs w:val="16"/>
                <w:lang w:val="en-GB" w:eastAsia="en-GB"/>
              </w:rPr>
            </w:pPr>
          </w:p>
        </w:tc>
      </w:tr>
      <w:tr w:rsidR="006540D7" w14:paraId="4507CA0B" w14:textId="77777777">
        <w:tc>
          <w:tcPr>
            <w:tcW w:w="587" w:type="dxa"/>
            <w:shd w:val="clear" w:color="auto" w:fill="auto"/>
          </w:tcPr>
          <w:p w14:paraId="24CDBF00"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4252338"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1FC4C202"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Describe how quantitative variables were handled in the analyses (i.e., scale, units, model)</w:t>
            </w:r>
          </w:p>
        </w:tc>
        <w:tc>
          <w:tcPr>
            <w:tcW w:w="720" w:type="dxa"/>
          </w:tcPr>
          <w:p w14:paraId="5A539613" w14:textId="298CFE43"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51B5C307" w14:textId="7DA73330" w:rsidR="00DB02F7" w:rsidRPr="00690775" w:rsidRDefault="00690775" w:rsidP="00690775">
            <w:pPr>
              <w:spacing w:beforeLines="40" w:before="96" w:afterLines="40" w:after="96" w:line="24" w:lineRule="atLeast"/>
              <w:jc w:val="center"/>
              <w:rPr>
                <w:rFonts w:ascii="Times New Roman" w:eastAsia="Times New Roman" w:hAnsi="Times New Roman" w:cs="Times New Roman"/>
                <w:sz w:val="16"/>
                <w:szCs w:val="16"/>
                <w:lang w:val="en-GB" w:eastAsia="en-GB"/>
              </w:rPr>
            </w:pPr>
            <w:r w:rsidRPr="00690775">
              <w:rPr>
                <w:rFonts w:ascii="Times New Roman" w:eastAsia="Times New Roman" w:hAnsi="Times New Roman" w:cs="Times New Roman"/>
                <w:sz w:val="16"/>
                <w:szCs w:val="16"/>
                <w:shd w:val="clear" w:color="auto" w:fill="FFFFFF"/>
                <w:lang w:val="en-US" w:eastAsia="en-GB"/>
              </w:rPr>
              <w:t>NA</w:t>
            </w:r>
          </w:p>
        </w:tc>
      </w:tr>
      <w:tr w:rsidR="006540D7" w14:paraId="575D1C73" w14:textId="77777777">
        <w:tc>
          <w:tcPr>
            <w:tcW w:w="587" w:type="dxa"/>
            <w:shd w:val="clear" w:color="auto" w:fill="EEEEEE"/>
          </w:tcPr>
          <w:p w14:paraId="56DEF46B"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2538057"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186F70C9"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6468712" w14:textId="0D908543"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701100EB" w14:textId="2496B5BD" w:rsidR="00DB02F7" w:rsidRPr="00690775" w:rsidRDefault="00690775" w:rsidP="00690775">
            <w:pPr>
              <w:spacing w:beforeLines="40" w:before="96" w:afterLines="40" w:after="96" w:line="24" w:lineRule="atLeast"/>
              <w:jc w:val="center"/>
              <w:rPr>
                <w:rFonts w:ascii="Times New Roman" w:eastAsia="Times New Roman" w:hAnsi="Times New Roman" w:cs="Times New Roman"/>
                <w:sz w:val="16"/>
                <w:szCs w:val="16"/>
                <w:lang w:val="en-GB" w:eastAsia="en-GB"/>
              </w:rPr>
            </w:pPr>
            <w:r w:rsidRPr="00690775">
              <w:rPr>
                <w:rFonts w:ascii="Times New Roman" w:eastAsia="Times New Roman" w:hAnsi="Times New Roman" w:cs="Times New Roman"/>
                <w:sz w:val="16"/>
                <w:szCs w:val="16"/>
                <w:lang w:val="en-GB" w:eastAsia="en-GB"/>
              </w:rPr>
              <w:t>NA</w:t>
            </w:r>
          </w:p>
        </w:tc>
      </w:tr>
      <w:tr w:rsidR="006540D7" w14:paraId="31827098" w14:textId="77777777">
        <w:tc>
          <w:tcPr>
            <w:tcW w:w="587" w:type="dxa"/>
            <w:shd w:val="clear" w:color="auto" w:fill="auto"/>
          </w:tcPr>
          <w:p w14:paraId="2A1942F7"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262AD9BF"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auto"/>
          </w:tcPr>
          <w:p w14:paraId="54F029F6"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1C869757" w14:textId="7C5518ED" w:rsidR="00DB02F7" w:rsidRPr="00690775"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tcPr>
          <w:p w14:paraId="72689754" w14:textId="611D1CA2" w:rsidR="00DB02F7" w:rsidRPr="00690775" w:rsidRDefault="00690775" w:rsidP="00690775">
            <w:pPr>
              <w:spacing w:beforeLines="40" w:before="96" w:afterLines="40" w:after="96" w:line="24" w:lineRule="atLeast"/>
              <w:jc w:val="both"/>
              <w:rPr>
                <w:rFonts w:ascii="Times New Roman" w:eastAsia="宋体" w:hAnsi="Times New Roman" w:cs="Times New Roman"/>
                <w:sz w:val="16"/>
                <w:szCs w:val="16"/>
                <w:lang w:val="en-US" w:eastAsia="zh-CN"/>
              </w:rPr>
            </w:pPr>
            <w:r w:rsidRPr="00690775">
              <w:rPr>
                <w:rFonts w:ascii="Times New Roman" w:eastAsia="宋体" w:hAnsi="Times New Roman" w:cs="Times New Roman"/>
                <w:sz w:val="16"/>
                <w:szCs w:val="16"/>
                <w:lang w:val="en-US" w:eastAsia="zh-CN"/>
              </w:rPr>
              <w:t xml:space="preserve">In addition, the causal effects were estimated mainly by the inverse variance weighted (IVW) (22), while MR-Egger (23), weighted median (WM) (24), and maximum likelihood (ML) (25) methods supplemented the findings. </w:t>
            </w:r>
          </w:p>
        </w:tc>
      </w:tr>
      <w:tr w:rsidR="006540D7" w14:paraId="71356B57" w14:textId="77777777">
        <w:tc>
          <w:tcPr>
            <w:tcW w:w="587" w:type="dxa"/>
            <w:shd w:val="clear" w:color="auto" w:fill="EEEEEE"/>
          </w:tcPr>
          <w:p w14:paraId="74265374"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D5C79FB"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EEEEEE"/>
          </w:tcPr>
          <w:p w14:paraId="5FC0814D"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Explain how missing data were addressed</w:t>
            </w:r>
          </w:p>
        </w:tc>
        <w:tc>
          <w:tcPr>
            <w:tcW w:w="720" w:type="dxa"/>
            <w:shd w:val="clear" w:color="auto" w:fill="EEEEEE"/>
          </w:tcPr>
          <w:p w14:paraId="772D4F32" w14:textId="58572789"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20442468" w14:textId="77777777" w:rsidR="00DB02F7" w:rsidRPr="00690775" w:rsidRDefault="00DB02F7">
            <w:pPr>
              <w:spacing w:beforeLines="40" w:before="96" w:afterLines="40" w:after="96" w:line="24" w:lineRule="atLeast"/>
              <w:rPr>
                <w:rFonts w:ascii="Times New Roman" w:eastAsia="Times New Roman" w:hAnsi="Times New Roman" w:cs="Times New Roman"/>
                <w:sz w:val="16"/>
                <w:szCs w:val="16"/>
                <w:lang w:val="en-GB" w:eastAsia="en-GB"/>
              </w:rPr>
            </w:pPr>
          </w:p>
        </w:tc>
      </w:tr>
      <w:tr w:rsidR="006540D7" w14:paraId="6E24633F" w14:textId="77777777">
        <w:tc>
          <w:tcPr>
            <w:tcW w:w="587" w:type="dxa"/>
            <w:shd w:val="clear" w:color="auto" w:fill="auto"/>
          </w:tcPr>
          <w:p w14:paraId="2963E656"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8884349"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e)</w:t>
            </w:r>
          </w:p>
        </w:tc>
        <w:tc>
          <w:tcPr>
            <w:tcW w:w="7041" w:type="dxa"/>
            <w:shd w:val="clear" w:color="auto" w:fill="auto"/>
          </w:tcPr>
          <w:p w14:paraId="1E8A43C1"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If applicable, indicate how multiple testing was addressed</w:t>
            </w:r>
          </w:p>
        </w:tc>
        <w:tc>
          <w:tcPr>
            <w:tcW w:w="720" w:type="dxa"/>
          </w:tcPr>
          <w:p w14:paraId="3955FCE2" w14:textId="547B6032" w:rsidR="00DB02F7" w:rsidRPr="00337CAD" w:rsidRDefault="00DB02F7">
            <w:pPr>
              <w:spacing w:beforeLines="40" w:before="96" w:afterLines="40" w:after="96" w:line="24" w:lineRule="atLeast"/>
              <w:jc w:val="center"/>
              <w:rPr>
                <w:rFonts w:ascii="Times New Roman Bold" w:eastAsiaTheme="minorEastAsia" w:hAnsi="Times New Roman Bold" w:cs="Times New Roman Bold" w:hint="eastAsia"/>
                <w:b/>
                <w:bCs/>
                <w:sz w:val="18"/>
                <w:szCs w:val="18"/>
                <w:lang w:val="en-GB" w:eastAsia="zh-CN"/>
              </w:rPr>
            </w:pPr>
          </w:p>
        </w:tc>
        <w:tc>
          <w:tcPr>
            <w:tcW w:w="4320" w:type="dxa"/>
          </w:tcPr>
          <w:p w14:paraId="32D345AA" w14:textId="77777777" w:rsidR="00DB02F7" w:rsidRPr="00690775" w:rsidRDefault="00DB02F7">
            <w:pPr>
              <w:spacing w:beforeLines="40" w:before="96" w:afterLines="40" w:after="96" w:line="24" w:lineRule="atLeast"/>
              <w:rPr>
                <w:rFonts w:ascii="Times New Roman" w:eastAsia="Times New Roman" w:hAnsi="Times New Roman" w:cs="Times New Roman"/>
                <w:sz w:val="16"/>
                <w:szCs w:val="16"/>
                <w:lang w:val="en-GB" w:eastAsia="en-GB"/>
              </w:rPr>
            </w:pPr>
          </w:p>
        </w:tc>
      </w:tr>
      <w:tr w:rsidR="006540D7" w14:paraId="63B17C56" w14:textId="77777777">
        <w:tc>
          <w:tcPr>
            <w:tcW w:w="587" w:type="dxa"/>
            <w:shd w:val="clear" w:color="auto" w:fill="EEEEEE"/>
          </w:tcPr>
          <w:p w14:paraId="05005596"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7</w:t>
            </w:r>
          </w:p>
        </w:tc>
        <w:tc>
          <w:tcPr>
            <w:tcW w:w="1822" w:type="dxa"/>
            <w:shd w:val="clear" w:color="auto" w:fill="EEEEEE"/>
          </w:tcPr>
          <w:p w14:paraId="78E00BF8"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Assessment of assumptions</w:t>
            </w:r>
          </w:p>
        </w:tc>
        <w:tc>
          <w:tcPr>
            <w:tcW w:w="7041" w:type="dxa"/>
            <w:shd w:val="clear" w:color="auto" w:fill="EEEEEE"/>
          </w:tcPr>
          <w:p w14:paraId="463816F0" w14:textId="77777777" w:rsidR="00DB02F7" w:rsidRDefault="00000000">
            <w:pPr>
              <w:tabs>
                <w:tab w:val="left" w:pos="1620"/>
              </w:tabs>
              <w:spacing w:beforeLines="40" w:before="96" w:afterLines="40" w:after="96" w:line="24" w:lineRule="atLeast"/>
              <w:rPr>
                <w:rFonts w:eastAsia="Cambria"/>
                <w:sz w:val="18"/>
                <w:szCs w:val="18"/>
                <w:lang w:val="en-GB" w:eastAsia="en-US"/>
              </w:rPr>
            </w:pPr>
            <w:r>
              <w:rPr>
                <w:rFonts w:eastAsia="Times New Roman"/>
                <w:sz w:val="18"/>
                <w:szCs w:val="18"/>
                <w:lang w:val="en-GB" w:eastAsia="en-GB"/>
              </w:rPr>
              <w:t>Describe any methods or prior knowledge used to assess the assumptions or justify their validity</w:t>
            </w:r>
            <w:r>
              <w:rPr>
                <w:rFonts w:eastAsia="Cambria"/>
                <w:sz w:val="18"/>
                <w:szCs w:val="18"/>
                <w:lang w:val="en-GB" w:eastAsia="en-US"/>
              </w:rPr>
              <w:tab/>
            </w:r>
          </w:p>
        </w:tc>
        <w:tc>
          <w:tcPr>
            <w:tcW w:w="720" w:type="dxa"/>
            <w:shd w:val="clear" w:color="auto" w:fill="EEEEEE"/>
          </w:tcPr>
          <w:p w14:paraId="70D4DA1D" w14:textId="1C263083" w:rsidR="00DB02F7" w:rsidRPr="00690775" w:rsidRDefault="00DB02F7">
            <w:pPr>
              <w:tabs>
                <w:tab w:val="left" w:pos="1620"/>
              </w:tabs>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shd w:val="clear" w:color="auto" w:fill="EEEEEE"/>
          </w:tcPr>
          <w:p w14:paraId="30C07E13" w14:textId="39144B9B" w:rsidR="00DB02F7" w:rsidRPr="00690775" w:rsidRDefault="00690775">
            <w:pPr>
              <w:numPr>
                <w:ilvl w:val="0"/>
                <w:numId w:val="5"/>
              </w:numPr>
              <w:tabs>
                <w:tab w:val="left" w:pos="1620"/>
              </w:tabs>
              <w:spacing w:beforeLines="40" w:before="96" w:afterLines="40" w:after="96" w:line="24" w:lineRule="atLeast"/>
              <w:jc w:val="both"/>
              <w:rPr>
                <w:rFonts w:ascii="Times New Roman" w:eastAsia="宋体" w:hAnsi="Times New Roman" w:cs="Times New Roman"/>
                <w:sz w:val="16"/>
                <w:szCs w:val="16"/>
                <w:lang w:val="en-US" w:eastAsia="zh-CN"/>
              </w:rPr>
            </w:pPr>
            <w:r w:rsidRPr="00690775">
              <w:rPr>
                <w:rFonts w:ascii="Times New Roman" w:eastAsia="宋体" w:hAnsi="Times New Roman" w:cs="Times New Roman"/>
                <w:sz w:val="16"/>
                <w:szCs w:val="16"/>
                <w:lang w:val="en-US" w:eastAsia="zh-CN"/>
              </w:rPr>
              <w:t xml:space="preserve">In addition, the causal effects were estimated mainly by the inverse variance weighted (IVW) (22), while MR-Egger (23), weighted median (WM) (24), and maximum likelihood (ML) (25) methods supplemented the findings. </w:t>
            </w:r>
          </w:p>
        </w:tc>
      </w:tr>
      <w:tr w:rsidR="006540D7" w14:paraId="0B4497D8" w14:textId="77777777">
        <w:tc>
          <w:tcPr>
            <w:tcW w:w="587" w:type="dxa"/>
            <w:shd w:val="clear" w:color="auto" w:fill="auto"/>
          </w:tcPr>
          <w:p w14:paraId="2AFBDC7D"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8</w:t>
            </w:r>
          </w:p>
        </w:tc>
        <w:tc>
          <w:tcPr>
            <w:tcW w:w="1822" w:type="dxa"/>
            <w:shd w:val="clear" w:color="auto" w:fill="auto"/>
          </w:tcPr>
          <w:p w14:paraId="1B467ACF"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 xml:space="preserve">Sensitivity analyses and </w:t>
            </w:r>
            <w:r>
              <w:rPr>
                <w:rFonts w:eastAsia="Times New Roman"/>
                <w:b/>
                <w:bCs/>
                <w:sz w:val="18"/>
                <w:szCs w:val="18"/>
                <w:lang w:val="en-GB" w:eastAsia="en-GB"/>
              </w:rPr>
              <w:lastRenderedPageBreak/>
              <w:t>additional analyses</w:t>
            </w:r>
          </w:p>
        </w:tc>
        <w:tc>
          <w:tcPr>
            <w:tcW w:w="7041" w:type="dxa"/>
            <w:shd w:val="clear" w:color="auto" w:fill="auto"/>
          </w:tcPr>
          <w:p w14:paraId="79E2110A"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lastRenderedPageBreak/>
              <w:t xml:space="preserve">Describe any sensitivity analyses or additional analyses performed (e.g. </w:t>
            </w:r>
            <w:r>
              <w:rPr>
                <w:rFonts w:eastAsia="Times New Roman"/>
                <w:sz w:val="18"/>
                <w:szCs w:val="18"/>
                <w:lang w:val="en-GB" w:eastAsia="en-GB"/>
              </w:rPr>
              <w:lastRenderedPageBreak/>
              <w:t>comparison of effect estimates from different approaches, independent replication, bias analytic techniques, validation of instruments, simulations)</w:t>
            </w:r>
          </w:p>
        </w:tc>
        <w:tc>
          <w:tcPr>
            <w:tcW w:w="720" w:type="dxa"/>
          </w:tcPr>
          <w:p w14:paraId="70B4B586" w14:textId="001FDCF9" w:rsidR="00DB02F7" w:rsidRPr="00690775"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tcPr>
          <w:p w14:paraId="5D93D44E" w14:textId="242A0E91" w:rsidR="00DB02F7" w:rsidRPr="00690775" w:rsidRDefault="00690775" w:rsidP="00690775">
            <w:pPr>
              <w:spacing w:beforeLines="40" w:before="96" w:afterLines="40" w:after="96" w:line="24" w:lineRule="atLeast"/>
              <w:jc w:val="both"/>
              <w:rPr>
                <w:rFonts w:ascii="Times New Roman" w:eastAsia="Times New Roman" w:hAnsi="Times New Roman" w:cs="Times New Roman"/>
                <w:sz w:val="16"/>
                <w:szCs w:val="16"/>
                <w:lang w:val="en-US" w:eastAsia="en-GB"/>
              </w:rPr>
            </w:pPr>
            <w:r w:rsidRPr="00690775">
              <w:rPr>
                <w:rFonts w:ascii="Times New Roman" w:eastAsia="Times New Roman" w:hAnsi="Times New Roman" w:cs="Times New Roman"/>
                <w:sz w:val="16"/>
                <w:szCs w:val="16"/>
                <w:lang w:val="en-US" w:eastAsia="en-GB"/>
              </w:rPr>
              <w:t>In addition, pleiotropic (23,26), heterogeneity (27), and leave-one-out (28) analyses were performed to ensure the quality, accuracy, and reliability of the analyzed results.</w:t>
            </w:r>
          </w:p>
        </w:tc>
      </w:tr>
      <w:tr w:rsidR="006540D7" w14:paraId="37DF4E91" w14:textId="77777777">
        <w:tc>
          <w:tcPr>
            <w:tcW w:w="587" w:type="dxa"/>
            <w:shd w:val="clear" w:color="auto" w:fill="EEEEEE"/>
          </w:tcPr>
          <w:p w14:paraId="6181F556"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9</w:t>
            </w:r>
          </w:p>
        </w:tc>
        <w:tc>
          <w:tcPr>
            <w:tcW w:w="1822" w:type="dxa"/>
            <w:shd w:val="clear" w:color="auto" w:fill="EEEEEE"/>
          </w:tcPr>
          <w:p w14:paraId="51ADC31A"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Software and pre-registration</w:t>
            </w:r>
          </w:p>
        </w:tc>
        <w:tc>
          <w:tcPr>
            <w:tcW w:w="7041" w:type="dxa"/>
            <w:shd w:val="clear" w:color="auto" w:fill="EEEEEE"/>
          </w:tcPr>
          <w:p w14:paraId="122294A4" w14:textId="77777777" w:rsidR="00DB02F7" w:rsidRDefault="00DB02F7">
            <w:pPr>
              <w:spacing w:beforeLines="40" w:before="96" w:afterLines="40" w:after="96" w:line="24" w:lineRule="atLeast"/>
              <w:rPr>
                <w:rFonts w:eastAsia="Cambria"/>
                <w:sz w:val="18"/>
                <w:szCs w:val="18"/>
                <w:lang w:val="en-GB" w:eastAsia="en-US"/>
              </w:rPr>
            </w:pPr>
          </w:p>
        </w:tc>
        <w:tc>
          <w:tcPr>
            <w:tcW w:w="720" w:type="dxa"/>
            <w:shd w:val="clear" w:color="auto" w:fill="EEEEEE"/>
          </w:tcPr>
          <w:p w14:paraId="53AD0309"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shd w:val="clear" w:color="auto" w:fill="EEEEEE"/>
          </w:tcPr>
          <w:p w14:paraId="2F5A5799" w14:textId="77777777" w:rsidR="00DB02F7" w:rsidRPr="00690775" w:rsidRDefault="00DB02F7">
            <w:pPr>
              <w:spacing w:beforeLines="40" w:before="96" w:afterLines="40" w:after="96" w:line="24" w:lineRule="atLeast"/>
              <w:rPr>
                <w:rFonts w:ascii="Times New Roman" w:eastAsia="Cambria" w:hAnsi="Times New Roman" w:cs="Times New Roman"/>
                <w:sz w:val="16"/>
                <w:szCs w:val="16"/>
                <w:lang w:val="en-GB" w:eastAsia="en-US"/>
              </w:rPr>
            </w:pPr>
          </w:p>
        </w:tc>
      </w:tr>
      <w:tr w:rsidR="006540D7" w14:paraId="2D6893A6" w14:textId="77777777">
        <w:tc>
          <w:tcPr>
            <w:tcW w:w="587" w:type="dxa"/>
            <w:shd w:val="clear" w:color="auto" w:fill="auto"/>
          </w:tcPr>
          <w:p w14:paraId="0CD5DD2E"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392F2A6"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377381FA"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Name statistical software and package(s), including version and settings used </w:t>
            </w:r>
          </w:p>
        </w:tc>
        <w:tc>
          <w:tcPr>
            <w:tcW w:w="720" w:type="dxa"/>
          </w:tcPr>
          <w:p w14:paraId="654E2C15" w14:textId="7E48AC0D"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09F0D056" w14:textId="77777777" w:rsidR="00690775" w:rsidRPr="00690775" w:rsidRDefault="00690775">
            <w:pPr>
              <w:numPr>
                <w:ilvl w:val="0"/>
                <w:numId w:val="7"/>
              </w:numPr>
              <w:spacing w:beforeLines="40" w:before="96" w:afterLines="40" w:after="96" w:line="24" w:lineRule="atLeast"/>
              <w:rPr>
                <w:rFonts w:ascii="Times New Roman" w:eastAsia="Times New Roman" w:hAnsi="Times New Roman" w:cs="Times New Roman"/>
                <w:sz w:val="16"/>
                <w:szCs w:val="16"/>
                <w:lang w:val="en-US" w:eastAsia="en-GB"/>
              </w:rPr>
            </w:pPr>
            <w:r w:rsidRPr="00690775">
              <w:rPr>
                <w:rFonts w:ascii="Times New Roman" w:hAnsi="Times New Roman" w:cs="Times New Roman"/>
                <w:sz w:val="16"/>
                <w:szCs w:val="16"/>
              </w:rPr>
              <w:t xml:space="preserve"> The entire MR analysis utilized the </w:t>
            </w:r>
            <w:proofErr w:type="spellStart"/>
            <w:r w:rsidRPr="00690775">
              <w:rPr>
                <w:rFonts w:ascii="Times New Roman" w:hAnsi="Times New Roman" w:cs="Times New Roman"/>
                <w:sz w:val="16"/>
                <w:szCs w:val="16"/>
              </w:rPr>
              <w:t>TwoSampleMR</w:t>
            </w:r>
            <w:proofErr w:type="spellEnd"/>
            <w:r w:rsidRPr="00690775">
              <w:rPr>
                <w:rFonts w:ascii="Times New Roman" w:hAnsi="Times New Roman" w:cs="Times New Roman"/>
                <w:sz w:val="16"/>
                <w:szCs w:val="16"/>
              </w:rPr>
              <w:t xml:space="preserve"> R (https://mrcieu.github.io/TwoSampleMR/) and the MR-PRESSO R software packages (https://github.com/rondolab/MR-). </w:t>
            </w:r>
          </w:p>
          <w:p w14:paraId="6A3C7BDC" w14:textId="5F38325C" w:rsidR="00DB02F7" w:rsidRPr="00690775" w:rsidRDefault="00000000">
            <w:pPr>
              <w:numPr>
                <w:ilvl w:val="0"/>
                <w:numId w:val="7"/>
              </w:numPr>
              <w:spacing w:beforeLines="40" w:before="96" w:afterLines="40" w:after="96" w:line="24" w:lineRule="atLeast"/>
              <w:rPr>
                <w:rFonts w:ascii="Times New Roman" w:eastAsia="Times New Roman" w:hAnsi="Times New Roman" w:cs="Times New Roman"/>
                <w:sz w:val="16"/>
                <w:szCs w:val="16"/>
                <w:lang w:val="en-US" w:eastAsia="en-GB"/>
              </w:rPr>
            </w:pPr>
            <w:r w:rsidRPr="00690775">
              <w:rPr>
                <w:rFonts w:ascii="Times New Roman" w:eastAsia="等线" w:hAnsi="Times New Roman" w:cs="Times New Roman"/>
                <w:sz w:val="16"/>
                <w:szCs w:val="16"/>
              </w:rPr>
              <w:t>All the GWAS data and statistical software used in this study were publicly available (which can be accessed through the following URLs), and all the generated results in this study were provided in the main text and supplemental data.</w:t>
            </w:r>
          </w:p>
        </w:tc>
      </w:tr>
      <w:tr w:rsidR="006540D7" w14:paraId="48046E90" w14:textId="77777777">
        <w:tc>
          <w:tcPr>
            <w:tcW w:w="587" w:type="dxa"/>
            <w:tcBorders>
              <w:bottom w:val="single" w:sz="6" w:space="0" w:color="7F7F7F"/>
            </w:tcBorders>
            <w:shd w:val="clear" w:color="auto" w:fill="EEEEEE"/>
          </w:tcPr>
          <w:p w14:paraId="1FF500ED"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153151BA"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tcBorders>
              <w:bottom w:val="single" w:sz="6" w:space="0" w:color="7F7F7F"/>
            </w:tcBorders>
            <w:shd w:val="clear" w:color="auto" w:fill="EEEEEE"/>
          </w:tcPr>
          <w:p w14:paraId="201906F1"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7B2C1221" w14:textId="44FD6EDA" w:rsidR="00DB02F7" w:rsidRDefault="00DB02F7">
            <w:pPr>
              <w:spacing w:beforeLines="40" w:before="96" w:afterLines="40" w:after="96" w:line="24" w:lineRule="atLeast"/>
              <w:jc w:val="center"/>
              <w:rPr>
                <w:rFonts w:ascii="Times New Roman Bold" w:eastAsia="Times New Roman" w:hAnsi="Times New Roman Bold" w:cs="Times New Roman Bold"/>
                <w:b/>
                <w:bCs/>
                <w:sz w:val="18"/>
                <w:szCs w:val="18"/>
                <w:lang w:val="en-GB" w:eastAsia="en-GB"/>
              </w:rPr>
            </w:pPr>
          </w:p>
        </w:tc>
        <w:tc>
          <w:tcPr>
            <w:tcW w:w="4320" w:type="dxa"/>
            <w:tcBorders>
              <w:bottom w:val="single" w:sz="6" w:space="0" w:color="7F7F7F"/>
            </w:tcBorders>
            <w:shd w:val="clear" w:color="auto" w:fill="EEEEEE"/>
          </w:tcPr>
          <w:p w14:paraId="64C0803C" w14:textId="77777777" w:rsidR="00DB02F7" w:rsidRPr="00690775" w:rsidRDefault="00000000">
            <w:pPr>
              <w:spacing w:beforeLines="40" w:before="96" w:afterLines="40" w:after="96" w:line="24" w:lineRule="atLeast"/>
              <w:jc w:val="center"/>
              <w:rPr>
                <w:rFonts w:ascii="Times New Roman" w:eastAsia="Times New Roman" w:hAnsi="Times New Roman" w:cs="Times New Roman"/>
                <w:sz w:val="16"/>
                <w:szCs w:val="16"/>
                <w:lang w:val="en-GB" w:eastAsia="en-GB"/>
              </w:rPr>
            </w:pPr>
            <w:r w:rsidRPr="00690775">
              <w:rPr>
                <w:rFonts w:ascii="Times New Roman" w:eastAsia="Times New Roman" w:hAnsi="Times New Roman" w:cs="Times New Roman"/>
                <w:sz w:val="16"/>
                <w:szCs w:val="16"/>
                <w:lang w:val="en-GB" w:eastAsia="en-GB"/>
              </w:rPr>
              <w:t>Not involved</w:t>
            </w:r>
          </w:p>
        </w:tc>
      </w:tr>
      <w:tr w:rsidR="006540D7" w14:paraId="37865064" w14:textId="77777777">
        <w:trPr>
          <w:trHeight w:val="90"/>
        </w:trPr>
        <w:tc>
          <w:tcPr>
            <w:tcW w:w="587" w:type="dxa"/>
            <w:tcBorders>
              <w:top w:val="single" w:sz="6" w:space="0" w:color="7F7F7F"/>
            </w:tcBorders>
            <w:shd w:val="clear" w:color="auto" w:fill="auto"/>
          </w:tcPr>
          <w:p w14:paraId="6D12724F" w14:textId="77777777" w:rsidR="00DB02F7" w:rsidRDefault="00DB02F7">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7B84565"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RESULTS</w:t>
            </w:r>
          </w:p>
        </w:tc>
        <w:tc>
          <w:tcPr>
            <w:tcW w:w="7041" w:type="dxa"/>
            <w:tcBorders>
              <w:top w:val="single" w:sz="6" w:space="0" w:color="7F7F7F"/>
            </w:tcBorders>
            <w:shd w:val="clear" w:color="auto" w:fill="auto"/>
          </w:tcPr>
          <w:p w14:paraId="734B27E7" w14:textId="77777777" w:rsidR="00DB02F7" w:rsidRDefault="00DB02F7">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2546BEA2"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tcBorders>
              <w:top w:val="single" w:sz="6" w:space="0" w:color="7F7F7F"/>
            </w:tcBorders>
          </w:tcPr>
          <w:p w14:paraId="260C0E1E" w14:textId="77777777" w:rsidR="00DB02F7" w:rsidRPr="00690775" w:rsidRDefault="00DB02F7">
            <w:pPr>
              <w:spacing w:beforeLines="40" w:before="96" w:afterLines="40" w:after="96" w:line="24" w:lineRule="atLeast"/>
              <w:rPr>
                <w:rFonts w:ascii="Times New Roman" w:eastAsia="Cambria" w:hAnsi="Times New Roman" w:cs="Times New Roman"/>
                <w:sz w:val="16"/>
                <w:szCs w:val="16"/>
                <w:lang w:val="en-GB" w:eastAsia="en-US"/>
              </w:rPr>
            </w:pPr>
          </w:p>
        </w:tc>
      </w:tr>
      <w:tr w:rsidR="006540D7" w14:paraId="3E4A6A39" w14:textId="77777777">
        <w:tc>
          <w:tcPr>
            <w:tcW w:w="587" w:type="dxa"/>
            <w:shd w:val="clear" w:color="auto" w:fill="EEEEEE"/>
          </w:tcPr>
          <w:p w14:paraId="36C6EEB6"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10</w:t>
            </w:r>
          </w:p>
        </w:tc>
        <w:tc>
          <w:tcPr>
            <w:tcW w:w="1822" w:type="dxa"/>
            <w:shd w:val="clear" w:color="auto" w:fill="EEEEEE"/>
          </w:tcPr>
          <w:p w14:paraId="08C0828E"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Descriptive data</w:t>
            </w:r>
          </w:p>
        </w:tc>
        <w:tc>
          <w:tcPr>
            <w:tcW w:w="7041" w:type="dxa"/>
            <w:shd w:val="clear" w:color="auto" w:fill="EEEEEE"/>
          </w:tcPr>
          <w:p w14:paraId="5C5D2B2B" w14:textId="77777777" w:rsidR="00DB02F7" w:rsidRDefault="00DB02F7">
            <w:pPr>
              <w:spacing w:beforeLines="40" w:before="96" w:afterLines="40" w:after="96" w:line="24" w:lineRule="atLeast"/>
              <w:rPr>
                <w:rFonts w:eastAsia="Cambria"/>
                <w:sz w:val="18"/>
                <w:szCs w:val="18"/>
                <w:lang w:val="en-GB" w:eastAsia="en-US"/>
              </w:rPr>
            </w:pPr>
          </w:p>
        </w:tc>
        <w:tc>
          <w:tcPr>
            <w:tcW w:w="720" w:type="dxa"/>
            <w:shd w:val="clear" w:color="auto" w:fill="EEEEEE"/>
          </w:tcPr>
          <w:p w14:paraId="7D4E098D"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shd w:val="clear" w:color="auto" w:fill="EEEEEE"/>
          </w:tcPr>
          <w:p w14:paraId="35D16CDF" w14:textId="77777777" w:rsidR="00DB02F7" w:rsidRPr="00690775" w:rsidRDefault="00DB02F7">
            <w:pPr>
              <w:spacing w:beforeLines="40" w:before="96" w:afterLines="40" w:after="96" w:line="24" w:lineRule="atLeast"/>
              <w:rPr>
                <w:rFonts w:ascii="Times New Roman" w:eastAsia="Cambria" w:hAnsi="Times New Roman" w:cs="Times New Roman"/>
                <w:sz w:val="16"/>
                <w:szCs w:val="16"/>
                <w:lang w:val="en-GB" w:eastAsia="en-US"/>
              </w:rPr>
            </w:pPr>
          </w:p>
        </w:tc>
      </w:tr>
      <w:tr w:rsidR="006540D7" w14:paraId="40920EE4" w14:textId="77777777">
        <w:tc>
          <w:tcPr>
            <w:tcW w:w="587" w:type="dxa"/>
            <w:shd w:val="clear" w:color="auto" w:fill="auto"/>
          </w:tcPr>
          <w:p w14:paraId="47D9E3EC"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D09BF10"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49F3729F"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Report the numbers of individuals at each stage of included studies and reasons for exclusion. Consider use of a flow diagram</w:t>
            </w:r>
          </w:p>
        </w:tc>
        <w:tc>
          <w:tcPr>
            <w:tcW w:w="720" w:type="dxa"/>
          </w:tcPr>
          <w:p w14:paraId="1B81253E" w14:textId="1147F3CF"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447E6914" w14:textId="41936BC4" w:rsidR="00DB02F7" w:rsidRPr="00690775" w:rsidRDefault="006540D7" w:rsidP="006540D7">
            <w:pPr>
              <w:spacing w:beforeLines="40" w:before="96" w:afterLines="40" w:after="96" w:line="24" w:lineRule="atLeast"/>
              <w:jc w:val="center"/>
              <w:rPr>
                <w:rFonts w:ascii="Times New Roman" w:eastAsia="Times New Roman" w:hAnsi="Times New Roman" w:cs="Times New Roman"/>
                <w:sz w:val="16"/>
                <w:szCs w:val="16"/>
                <w:lang w:val="en-GB" w:eastAsia="en-GB"/>
              </w:rPr>
            </w:pPr>
            <w:r w:rsidRPr="006540D7">
              <w:rPr>
                <w:rFonts w:ascii="Times New Roman" w:hAnsi="Times New Roman" w:cs="Times New Roman"/>
                <w:sz w:val="16"/>
                <w:szCs w:val="16"/>
              </w:rPr>
              <w:t>NA</w:t>
            </w:r>
          </w:p>
        </w:tc>
      </w:tr>
      <w:tr w:rsidR="006540D7" w14:paraId="52B9EB7B" w14:textId="77777777">
        <w:tc>
          <w:tcPr>
            <w:tcW w:w="587" w:type="dxa"/>
            <w:shd w:val="clear" w:color="auto" w:fill="EEEEEE"/>
          </w:tcPr>
          <w:p w14:paraId="3E520683"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D0A694"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3E93778C"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Report summary statistics for phenotypic exposure(s), outcome(s), and other relevant variables (e.g. means, SDs, proportions)</w:t>
            </w:r>
          </w:p>
        </w:tc>
        <w:tc>
          <w:tcPr>
            <w:tcW w:w="720" w:type="dxa"/>
            <w:shd w:val="clear" w:color="auto" w:fill="EEEEEE"/>
          </w:tcPr>
          <w:p w14:paraId="3A5E1266" w14:textId="106111D0"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45F4930B" w14:textId="5B469552" w:rsidR="00DB02F7" w:rsidRPr="006540D7" w:rsidRDefault="00E35D5F">
            <w:pPr>
              <w:spacing w:beforeLines="40" w:before="96" w:afterLines="40" w:after="96" w:line="24" w:lineRule="atLeast"/>
              <w:jc w:val="both"/>
              <w:rPr>
                <w:rFonts w:ascii="Times New Roman" w:eastAsiaTheme="minorEastAsia" w:hAnsi="Times New Roman" w:cs="Times New Roman"/>
                <w:sz w:val="16"/>
                <w:szCs w:val="16"/>
                <w:lang w:val="en-GB" w:eastAsia="zh-CN"/>
              </w:rPr>
            </w:pPr>
            <w:r w:rsidRPr="00E35D5F">
              <w:rPr>
                <w:rFonts w:ascii="Times New Roman" w:hAnsi="Times New Roman" w:cs="Times New Roman"/>
                <w:sz w:val="16"/>
                <w:szCs w:val="16"/>
                <w:lang w:val="en-US"/>
              </w:rPr>
              <w:t>Three data</w:t>
            </w:r>
            <w:r w:rsidRPr="00E35D5F">
              <w:rPr>
                <w:rFonts w:ascii="Times New Roman" w:hAnsi="Times New Roman" w:cs="Times New Roman" w:hint="eastAsia"/>
                <w:sz w:val="16"/>
                <w:szCs w:val="16"/>
                <w:lang w:val="en-US"/>
              </w:rPr>
              <w:t>sets</w:t>
            </w:r>
            <w:r w:rsidRPr="00E35D5F">
              <w:rPr>
                <w:rFonts w:ascii="Times New Roman" w:hAnsi="Times New Roman" w:cs="Times New Roman"/>
                <w:sz w:val="16"/>
                <w:szCs w:val="16"/>
                <w:lang w:val="en-US"/>
              </w:rPr>
              <w:t>, including IBD (ID: ebi-a-GCST004131</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=25,042,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=34,915</w:t>
            </w:r>
            <w:r w:rsidRPr="00E35D5F">
              <w:rPr>
                <w:rFonts w:ascii="Times New Roman" w:hAnsi="Times New Roman" w:cs="Times New Roman"/>
                <w:sz w:val="16"/>
                <w:szCs w:val="16"/>
                <w:lang w:val="en-US"/>
              </w:rPr>
              <w:t>), CD (ID: ebi-a-GCST004132</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=12,194,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=28,072</w:t>
            </w:r>
            <w:r w:rsidRPr="00E35D5F">
              <w:rPr>
                <w:rFonts w:ascii="Times New Roman" w:hAnsi="Times New Roman" w:cs="Times New Roman"/>
                <w:sz w:val="16"/>
                <w:szCs w:val="16"/>
                <w:lang w:val="en-US"/>
              </w:rPr>
              <w:t>), and UC (ID: ebi-a-GCST004133</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=12,366,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=33,609</w:t>
            </w:r>
            <w:r w:rsidRPr="00E35D5F">
              <w:rPr>
                <w:rFonts w:ascii="Times New Roman" w:hAnsi="Times New Roman" w:cs="Times New Roman"/>
                <w:sz w:val="16"/>
                <w:szCs w:val="16"/>
                <w:lang w:val="en-US"/>
              </w:rPr>
              <w:t>) from the IEU GWAS database (https://gwas.mrcieu.ac.uk/) were selected based on the sample size, number of SNPs, study ethnicity (Europe), and year of publication. Moreover, GWAS data for conjunctivitis</w:t>
            </w:r>
            <w:r w:rsidRPr="00E35D5F">
              <w:rPr>
                <w:rFonts w:ascii="Times New Roman" w:hAnsi="Times New Roman" w:cs="Times New Roman" w:hint="eastAsia"/>
                <w:sz w:val="16"/>
                <w:szCs w:val="16"/>
                <w:lang w:val="en-US"/>
              </w:rPr>
              <w:t xml:space="preserve">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case</w:t>
            </w:r>
            <w:proofErr w:type="spellEnd"/>
            <w:r w:rsidRPr="00E35D5F">
              <w:rPr>
                <w:rFonts w:ascii="Times New Roman" w:hAnsi="Times New Roman" w:cs="Times New Roman" w:hint="eastAsia"/>
                <w:sz w:val="16"/>
                <w:szCs w:val="16"/>
                <w:lang w:val="en-US"/>
              </w:rPr>
              <w:t xml:space="preserve">=32,417, </w:t>
            </w:r>
            <w:proofErr w:type="spellStart"/>
            <w:r w:rsidRPr="00E35D5F">
              <w:rPr>
                <w:rFonts w:ascii="Times New Roman" w:hAnsi="Times New Roman" w:cs="Times New Roman" w:hint="eastAsia"/>
                <w:i/>
                <w:iCs/>
                <w:sz w:val="16"/>
                <w:szCs w:val="16"/>
                <w:lang w:val="en-US"/>
              </w:rPr>
              <w:t>N</w:t>
            </w:r>
            <w:r w:rsidRPr="00E35D5F">
              <w:rPr>
                <w:rFonts w:ascii="Times New Roman" w:hAnsi="Times New Roman" w:cs="Times New Roman" w:hint="eastAsia"/>
                <w:sz w:val="16"/>
                <w:szCs w:val="16"/>
                <w:vertAlign w:val="subscript"/>
                <w:lang w:val="en-US"/>
              </w:rPr>
              <w:t>control</w:t>
            </w:r>
            <w:proofErr w:type="spellEnd"/>
            <w:r w:rsidRPr="00E35D5F">
              <w:rPr>
                <w:rFonts w:ascii="Times New Roman" w:hAnsi="Times New Roman" w:cs="Times New Roman" w:hint="eastAsia"/>
                <w:sz w:val="16"/>
                <w:szCs w:val="16"/>
                <w:lang w:val="en-US"/>
              </w:rPr>
              <w:t>=28,895)</w:t>
            </w:r>
            <w:r w:rsidRPr="00E35D5F">
              <w:rPr>
                <w:rFonts w:ascii="Times New Roman" w:hAnsi="Times New Roman" w:cs="Times New Roman"/>
                <w:sz w:val="16"/>
                <w:szCs w:val="16"/>
                <w:lang w:val="en-US"/>
              </w:rPr>
              <w:t xml:space="preserve"> were obtained from the </w:t>
            </w:r>
            <w:proofErr w:type="spellStart"/>
            <w:r w:rsidRPr="00E35D5F">
              <w:rPr>
                <w:rFonts w:ascii="Times New Roman" w:hAnsi="Times New Roman" w:cs="Times New Roman"/>
                <w:sz w:val="16"/>
                <w:szCs w:val="16"/>
                <w:lang w:val="en-US"/>
              </w:rPr>
              <w:t>FinnGen</w:t>
            </w:r>
            <w:proofErr w:type="spellEnd"/>
            <w:r w:rsidRPr="00E35D5F">
              <w:rPr>
                <w:rFonts w:ascii="Times New Roman" w:hAnsi="Times New Roman" w:cs="Times New Roman"/>
                <w:sz w:val="16"/>
                <w:szCs w:val="16"/>
                <w:lang w:val="en-US"/>
              </w:rPr>
              <w:t xml:space="preserve"> database (https://r10.finngen.fi/)</w:t>
            </w:r>
          </w:p>
        </w:tc>
      </w:tr>
      <w:tr w:rsidR="006540D7" w14:paraId="0FBCFCB9" w14:textId="77777777">
        <w:tc>
          <w:tcPr>
            <w:tcW w:w="587" w:type="dxa"/>
            <w:shd w:val="clear" w:color="auto" w:fill="auto"/>
          </w:tcPr>
          <w:p w14:paraId="418BA965"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25EE6E1F"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auto"/>
          </w:tcPr>
          <w:p w14:paraId="47035A5A"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66AE0649" w14:textId="76F50238"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3D340552" w14:textId="77777777" w:rsidR="00DB02F7" w:rsidRPr="00690775" w:rsidRDefault="00000000">
            <w:pPr>
              <w:spacing w:beforeLines="40" w:before="96" w:afterLines="40" w:after="96" w:line="24" w:lineRule="atLeast"/>
              <w:jc w:val="center"/>
              <w:rPr>
                <w:rFonts w:ascii="Times New Roman" w:eastAsia="Times New Roman" w:hAnsi="Times New Roman" w:cs="Times New Roman"/>
                <w:sz w:val="16"/>
                <w:szCs w:val="16"/>
                <w:lang w:val="en-GB" w:eastAsia="en-GB"/>
              </w:rPr>
            </w:pPr>
            <w:r w:rsidRPr="00690775">
              <w:rPr>
                <w:rFonts w:ascii="Times New Roman" w:eastAsia="Times New Roman" w:hAnsi="Times New Roman" w:cs="Times New Roman"/>
                <w:sz w:val="16"/>
                <w:szCs w:val="16"/>
                <w:lang w:val="en-GB" w:eastAsia="en-GB"/>
              </w:rPr>
              <w:t>Not involved</w:t>
            </w:r>
          </w:p>
        </w:tc>
      </w:tr>
      <w:tr w:rsidR="006540D7" w14:paraId="147267D9" w14:textId="77777777">
        <w:tc>
          <w:tcPr>
            <w:tcW w:w="587" w:type="dxa"/>
            <w:shd w:val="clear" w:color="auto" w:fill="EEEEEE"/>
          </w:tcPr>
          <w:p w14:paraId="60380831"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09F2879"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EEEEEE"/>
          </w:tcPr>
          <w:p w14:paraId="54E0A0A4"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For </w:t>
            </w:r>
            <w:r>
              <w:rPr>
                <w:rFonts w:eastAsia="Times New Roman"/>
                <w:iCs/>
                <w:sz w:val="18"/>
                <w:szCs w:val="18"/>
                <w:lang w:val="en-GB" w:eastAsia="en-GB"/>
              </w:rPr>
              <w:t>two-sample</w:t>
            </w:r>
            <w:r>
              <w:rPr>
                <w:rFonts w:eastAsia="Times New Roman"/>
                <w:sz w:val="18"/>
                <w:szCs w:val="18"/>
                <w:lang w:val="en-GB" w:eastAsia="en-GB"/>
              </w:rPr>
              <w:t xml:space="preserve"> MR:</w:t>
            </w:r>
          </w:p>
          <w:p w14:paraId="487FA8FE"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   </w:t>
            </w:r>
            <w:proofErr w:type="spellStart"/>
            <w:r>
              <w:rPr>
                <w:rFonts w:eastAsia="Times New Roman"/>
                <w:sz w:val="18"/>
                <w:szCs w:val="18"/>
                <w:lang w:val="en-GB" w:eastAsia="en-GB"/>
              </w:rPr>
              <w:t>i</w:t>
            </w:r>
            <w:proofErr w:type="spellEnd"/>
            <w:r>
              <w:rPr>
                <w:rFonts w:eastAsia="Times New Roman"/>
                <w:sz w:val="18"/>
                <w:szCs w:val="18"/>
                <w:lang w:val="en-GB" w:eastAsia="en-GB"/>
              </w:rPr>
              <w:t>.  Provide justification of the similarity of the genetic variant-exposure associations between the exposure and outcome samples</w:t>
            </w:r>
          </w:p>
          <w:p w14:paraId="6482E3F3"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0C6FCCA7" w14:textId="30631E3F" w:rsidR="00DB02F7" w:rsidRDefault="00DB02F7" w:rsidP="00337CAD">
            <w:pPr>
              <w:spacing w:beforeLines="40" w:before="96" w:afterLines="40" w:after="96" w:line="24" w:lineRule="atLeast"/>
              <w:rPr>
                <w:rFonts w:ascii="Times New Roman Bold" w:eastAsia="宋体" w:hAnsi="Times New Roman Bold" w:cs="Times New Roman Bold"/>
                <w:b/>
                <w:bCs/>
                <w:sz w:val="18"/>
                <w:szCs w:val="18"/>
                <w:lang w:val="en-US" w:eastAsia="zh-CN"/>
              </w:rPr>
            </w:pPr>
          </w:p>
        </w:tc>
        <w:tc>
          <w:tcPr>
            <w:tcW w:w="4320" w:type="dxa"/>
            <w:shd w:val="clear" w:color="auto" w:fill="EEEEEE"/>
          </w:tcPr>
          <w:p w14:paraId="380AE14F" w14:textId="478DAB75" w:rsidR="00DB02F7" w:rsidRPr="006540D7" w:rsidRDefault="006540D7" w:rsidP="006540D7">
            <w:pPr>
              <w:spacing w:beforeLines="40" w:before="96" w:afterLines="40" w:after="96" w:line="24" w:lineRule="atLeast"/>
              <w:jc w:val="center"/>
              <w:rPr>
                <w:rFonts w:ascii="Times New Roman" w:eastAsiaTheme="minorEastAsia" w:hAnsi="Times New Roman" w:cs="Times New Roman"/>
                <w:sz w:val="16"/>
                <w:szCs w:val="16"/>
                <w:lang w:val="en-GB" w:eastAsia="zh-CN"/>
              </w:rPr>
            </w:pPr>
            <w:r>
              <w:rPr>
                <w:rFonts w:ascii="Times New Roman" w:eastAsiaTheme="minorEastAsia" w:hAnsi="Times New Roman" w:cs="Times New Roman" w:hint="eastAsia"/>
                <w:sz w:val="16"/>
                <w:szCs w:val="16"/>
                <w:lang w:eastAsia="zh-CN"/>
              </w:rPr>
              <w:t>NA</w:t>
            </w:r>
          </w:p>
        </w:tc>
      </w:tr>
      <w:tr w:rsidR="006540D7" w14:paraId="7A88CEFB" w14:textId="77777777">
        <w:tc>
          <w:tcPr>
            <w:tcW w:w="587" w:type="dxa"/>
            <w:shd w:val="clear" w:color="auto" w:fill="auto"/>
          </w:tcPr>
          <w:p w14:paraId="0406A2A3"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11</w:t>
            </w:r>
          </w:p>
        </w:tc>
        <w:tc>
          <w:tcPr>
            <w:tcW w:w="1822" w:type="dxa"/>
            <w:shd w:val="clear" w:color="auto" w:fill="auto"/>
          </w:tcPr>
          <w:p w14:paraId="0D9A008A"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Main results</w:t>
            </w:r>
          </w:p>
        </w:tc>
        <w:tc>
          <w:tcPr>
            <w:tcW w:w="7041" w:type="dxa"/>
            <w:shd w:val="clear" w:color="auto" w:fill="auto"/>
          </w:tcPr>
          <w:p w14:paraId="68135FE2" w14:textId="77777777" w:rsidR="00DB02F7" w:rsidRDefault="00DB02F7">
            <w:pPr>
              <w:spacing w:beforeLines="40" w:before="96" w:afterLines="40" w:after="96" w:line="24" w:lineRule="atLeast"/>
              <w:rPr>
                <w:rFonts w:eastAsia="Cambria"/>
                <w:sz w:val="18"/>
                <w:szCs w:val="18"/>
                <w:lang w:val="en-GB" w:eastAsia="en-US"/>
              </w:rPr>
            </w:pPr>
          </w:p>
        </w:tc>
        <w:tc>
          <w:tcPr>
            <w:tcW w:w="720" w:type="dxa"/>
          </w:tcPr>
          <w:p w14:paraId="4A525251"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tcPr>
          <w:p w14:paraId="532CD8DF" w14:textId="77777777" w:rsidR="00DB02F7" w:rsidRPr="00690775" w:rsidRDefault="00DB02F7">
            <w:pPr>
              <w:spacing w:beforeLines="40" w:before="96" w:afterLines="40" w:after="96" w:line="24" w:lineRule="atLeast"/>
              <w:rPr>
                <w:rFonts w:ascii="Times New Roman" w:eastAsia="Cambria" w:hAnsi="Times New Roman" w:cs="Times New Roman"/>
                <w:sz w:val="16"/>
                <w:szCs w:val="16"/>
                <w:lang w:val="en-GB" w:eastAsia="en-US"/>
              </w:rPr>
            </w:pPr>
          </w:p>
        </w:tc>
      </w:tr>
      <w:tr w:rsidR="006540D7" w14:paraId="6BE1400C" w14:textId="77777777">
        <w:tc>
          <w:tcPr>
            <w:tcW w:w="587" w:type="dxa"/>
            <w:shd w:val="clear" w:color="auto" w:fill="EEEEEE"/>
          </w:tcPr>
          <w:p w14:paraId="6D796991"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D3DF94"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EEEEEE"/>
          </w:tcPr>
          <w:p w14:paraId="0C350D01"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6A40A9D7" w14:textId="658C331F"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6ECA8F1D" w14:textId="1F2C0088" w:rsidR="00DB02F7" w:rsidRPr="00690775" w:rsidRDefault="006540D7">
            <w:pPr>
              <w:spacing w:beforeLines="40" w:before="96" w:afterLines="40" w:after="96" w:line="24" w:lineRule="atLeast"/>
              <w:jc w:val="both"/>
              <w:rPr>
                <w:rFonts w:ascii="Times New Roman" w:hAnsi="Times New Roman" w:cs="Times New Roman"/>
                <w:sz w:val="16"/>
                <w:szCs w:val="16"/>
                <w:lang w:val="en-GB" w:eastAsia="en-GB"/>
              </w:rPr>
            </w:pPr>
            <w:r w:rsidRPr="006540D7">
              <w:rPr>
                <w:rFonts w:ascii="Times New Roman" w:hAnsi="Times New Roman" w:cs="Times New Roman"/>
                <w:sz w:val="16"/>
                <w:szCs w:val="16"/>
              </w:rPr>
              <w:t xml:space="preserve">Tables 1–2 demonstrate the </w:t>
            </w:r>
            <w:proofErr w:type="gramStart"/>
            <w:r w:rsidRPr="006540D7">
              <w:rPr>
                <w:rFonts w:ascii="Times New Roman" w:hAnsi="Times New Roman" w:cs="Times New Roman"/>
                <w:sz w:val="16"/>
                <w:szCs w:val="16"/>
              </w:rPr>
              <w:t>final results</w:t>
            </w:r>
            <w:proofErr w:type="gramEnd"/>
            <w:r w:rsidRPr="006540D7">
              <w:rPr>
                <w:rFonts w:ascii="Times New Roman" w:hAnsi="Times New Roman" w:cs="Times New Roman"/>
                <w:sz w:val="16"/>
                <w:szCs w:val="16"/>
              </w:rPr>
              <w:t xml:space="preserve"> of the correlation analysis between IBD (including CD and UC) and conjunctivitis using four methods. The forward MR analysis (IBD and subtypes as exposure and conjunctivitis as outcome) suggested a positive causality in all three cases (p &lt; 0.05, Figures 2A–C, Table 1). Conversely, the backward MR analysis did not demonstrate a causal effect of conjunctivitis on IBD or its subtypes (Table 2)</w:t>
            </w:r>
          </w:p>
        </w:tc>
      </w:tr>
      <w:tr w:rsidR="006540D7" w14:paraId="05EFFFE3" w14:textId="77777777">
        <w:tc>
          <w:tcPr>
            <w:tcW w:w="587" w:type="dxa"/>
            <w:shd w:val="clear" w:color="auto" w:fill="auto"/>
          </w:tcPr>
          <w:p w14:paraId="3B62F795"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EC0E645"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auto"/>
          </w:tcPr>
          <w:p w14:paraId="294EC86C"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Report MR estimates of the relationship between exposure and outcome, and the measures of uncertainty from the MR analysis, on an interpretable scale, such as odds ratio or relative risk per SD difference</w:t>
            </w:r>
          </w:p>
        </w:tc>
        <w:tc>
          <w:tcPr>
            <w:tcW w:w="720" w:type="dxa"/>
          </w:tcPr>
          <w:p w14:paraId="4E6BAB87" w14:textId="39220635"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tbl>
            <w:tblPr>
              <w:tblW w:w="4560" w:type="pct"/>
              <w:tblBorders>
                <w:top w:val="single" w:sz="8" w:space="0" w:color="000000"/>
                <w:bottom w:val="single" w:sz="8" w:space="0" w:color="000000"/>
              </w:tblBorders>
              <w:tblLook w:val="04A0" w:firstRow="1" w:lastRow="0" w:firstColumn="1" w:lastColumn="0" w:noHBand="0" w:noVBand="1"/>
            </w:tblPr>
            <w:tblGrid>
              <w:gridCol w:w="758"/>
              <w:gridCol w:w="953"/>
              <w:gridCol w:w="571"/>
              <w:gridCol w:w="621"/>
              <w:gridCol w:w="845"/>
              <w:gridCol w:w="567"/>
              <w:gridCol w:w="621"/>
              <w:gridCol w:w="574"/>
              <w:gridCol w:w="567"/>
              <w:gridCol w:w="758"/>
              <w:gridCol w:w="574"/>
            </w:tblGrid>
            <w:tr w:rsidR="006540D7" w:rsidRPr="000D77E3" w14:paraId="22E4A6E5" w14:textId="77777777" w:rsidTr="006540D7">
              <w:trPr>
                <w:trHeight w:val="400"/>
              </w:trPr>
              <w:tc>
                <w:tcPr>
                  <w:tcW w:w="511" w:type="pct"/>
                  <w:vMerge w:val="restart"/>
                  <w:tcBorders>
                    <w:tl2br w:val="nil"/>
                    <w:tr2bl w:val="nil"/>
                  </w:tcBorders>
                  <w:shd w:val="clear" w:color="auto" w:fill="auto"/>
                  <w:vAlign w:val="center"/>
                </w:tcPr>
                <w:p w14:paraId="7F277A58" w14:textId="77777777" w:rsidR="006540D7" w:rsidRPr="000D77E3" w:rsidRDefault="006540D7" w:rsidP="006540D7">
                  <w:pPr>
                    <w:jc w:val="center"/>
                    <w:textAlignment w:val="top"/>
                    <w:rPr>
                      <w:rFonts w:ascii="Times New Roman" w:eastAsia="等线" w:hAnsi="Times New Roman" w:cs="Times New Roman"/>
                      <w:color w:val="000000"/>
                      <w:sz w:val="13"/>
                      <w:szCs w:val="13"/>
                    </w:rPr>
                  </w:pPr>
                  <w:bookmarkStart w:id="0" w:name="_Hlk127479470"/>
                  <w:r w:rsidRPr="000D77E3">
                    <w:rPr>
                      <w:rFonts w:ascii="Times New Roman" w:eastAsia="等线" w:hAnsi="Times New Roman" w:cs="Times New Roman"/>
                      <w:color w:val="000000"/>
                      <w:sz w:val="13"/>
                      <w:szCs w:val="13"/>
                      <w:lang w:bidi="ar"/>
                    </w:rPr>
                    <w:t>Exposures</w:t>
                  </w:r>
                </w:p>
              </w:tc>
              <w:tc>
                <w:tcPr>
                  <w:tcW w:w="643" w:type="pct"/>
                  <w:vMerge w:val="restart"/>
                  <w:tcBorders>
                    <w:tl2br w:val="nil"/>
                    <w:tr2bl w:val="nil"/>
                  </w:tcBorders>
                  <w:shd w:val="clear" w:color="auto" w:fill="auto"/>
                  <w:vAlign w:val="center"/>
                </w:tcPr>
                <w:p w14:paraId="288D8AB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Outcomes</w:t>
                  </w:r>
                </w:p>
              </w:tc>
              <w:tc>
                <w:tcPr>
                  <w:tcW w:w="386" w:type="pct"/>
                  <w:vMerge w:val="restart"/>
                  <w:tcBorders>
                    <w:tl2br w:val="nil"/>
                    <w:tr2bl w:val="nil"/>
                  </w:tcBorders>
                  <w:shd w:val="clear" w:color="auto" w:fill="auto"/>
                  <w:vAlign w:val="center"/>
                </w:tcPr>
                <w:p w14:paraId="590F54FD" w14:textId="77777777" w:rsidR="006540D7" w:rsidRPr="000D77E3" w:rsidRDefault="006540D7" w:rsidP="006540D7">
                  <w:pPr>
                    <w:jc w:val="center"/>
                    <w:textAlignment w:val="top"/>
                    <w:rPr>
                      <w:rFonts w:ascii="Times New Roman" w:eastAsia="等线" w:hAnsi="Times New Roman" w:cs="Times New Roman"/>
                      <w:color w:val="000000"/>
                      <w:sz w:val="13"/>
                      <w:szCs w:val="13"/>
                    </w:rPr>
                  </w:pPr>
                  <w:proofErr w:type="spellStart"/>
                  <w:r w:rsidRPr="000D77E3">
                    <w:rPr>
                      <w:rFonts w:ascii="Times New Roman" w:eastAsia="等线" w:hAnsi="Times New Roman" w:cs="Times New Roman"/>
                      <w:color w:val="000000"/>
                      <w:sz w:val="13"/>
                      <w:szCs w:val="13"/>
                      <w:lang w:bidi="ar"/>
                    </w:rPr>
                    <w:t>nSNPs</w:t>
                  </w:r>
                  <w:proofErr w:type="spellEnd"/>
                </w:p>
              </w:tc>
              <w:tc>
                <w:tcPr>
                  <w:tcW w:w="419" w:type="pct"/>
                  <w:vMerge w:val="restart"/>
                  <w:tcBorders>
                    <w:tl2br w:val="nil"/>
                    <w:tr2bl w:val="nil"/>
                  </w:tcBorders>
                  <w:shd w:val="clear" w:color="auto" w:fill="auto"/>
                  <w:vAlign w:val="center"/>
                </w:tcPr>
                <w:p w14:paraId="3C3C44D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Method</w:t>
                  </w:r>
                </w:p>
              </w:tc>
              <w:tc>
                <w:tcPr>
                  <w:tcW w:w="571" w:type="pct"/>
                  <w:vMerge w:val="restart"/>
                  <w:tcBorders>
                    <w:tl2br w:val="nil"/>
                    <w:tr2bl w:val="nil"/>
                  </w:tcBorders>
                  <w:shd w:val="clear" w:color="auto" w:fill="auto"/>
                  <w:vAlign w:val="center"/>
                </w:tcPr>
                <w:p w14:paraId="6F294777" w14:textId="77777777" w:rsidR="006540D7" w:rsidRPr="000D77E3" w:rsidRDefault="006540D7" w:rsidP="006540D7">
                  <w:pPr>
                    <w:ind w:firstLineChars="100" w:firstLine="130"/>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OR</w:t>
                  </w:r>
                  <w:r w:rsidRPr="000D77E3">
                    <w:rPr>
                      <w:rFonts w:ascii="Times New Roman" w:eastAsia="等线" w:hAnsi="Times New Roman" w:cs="Times New Roman"/>
                      <w:color w:val="000000"/>
                      <w:sz w:val="13"/>
                      <w:szCs w:val="13"/>
                      <w:lang w:bidi="ar"/>
                    </w:rPr>
                    <w:t>（</w:t>
                  </w:r>
                  <w:r w:rsidRPr="000D77E3">
                    <w:rPr>
                      <w:rFonts w:ascii="Times New Roman" w:eastAsia="等线" w:hAnsi="Times New Roman" w:cs="Times New Roman"/>
                      <w:color w:val="000000"/>
                      <w:sz w:val="13"/>
                      <w:szCs w:val="13"/>
                      <w:lang w:bidi="ar"/>
                    </w:rPr>
                    <w:t>95%CI</w:t>
                  </w:r>
                  <w:r w:rsidRPr="000D77E3">
                    <w:rPr>
                      <w:rFonts w:ascii="Times New Roman" w:eastAsia="等线" w:hAnsi="Times New Roman" w:cs="Times New Roman"/>
                      <w:color w:val="000000"/>
                      <w:sz w:val="13"/>
                      <w:szCs w:val="13"/>
                      <w:lang w:bidi="ar"/>
                    </w:rPr>
                    <w:t>）</w:t>
                  </w:r>
                </w:p>
              </w:tc>
              <w:tc>
                <w:tcPr>
                  <w:tcW w:w="383" w:type="pct"/>
                  <w:vMerge w:val="restart"/>
                  <w:tcBorders>
                    <w:tl2br w:val="nil"/>
                    <w:tr2bl w:val="nil"/>
                  </w:tcBorders>
                  <w:shd w:val="clear" w:color="auto" w:fill="auto"/>
                  <w:vAlign w:val="center"/>
                </w:tcPr>
                <w:p w14:paraId="1DA780E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P</w:t>
                  </w:r>
                </w:p>
              </w:tc>
              <w:tc>
                <w:tcPr>
                  <w:tcW w:w="1190" w:type="pct"/>
                  <w:gridSpan w:val="3"/>
                  <w:tcBorders>
                    <w:bottom w:val="single" w:sz="8" w:space="0" w:color="000000"/>
                  </w:tcBorders>
                  <w:shd w:val="clear" w:color="auto" w:fill="auto"/>
                  <w:vAlign w:val="center"/>
                </w:tcPr>
                <w:p w14:paraId="3E086A9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Heterogeneity</w:t>
                  </w:r>
                  <w:r w:rsidRPr="000D77E3">
                    <w:rPr>
                      <w:rStyle w:val="font11"/>
                      <w:rFonts w:ascii="Times New Roman" w:hAnsi="Times New Roman" w:cs="Times New Roman" w:hint="default"/>
                      <w:sz w:val="13"/>
                      <w:szCs w:val="13"/>
                      <w:lang w:bidi="ar"/>
                    </w:rPr>
                    <w:t xml:space="preserve"> test</w:t>
                  </w:r>
                </w:p>
              </w:tc>
              <w:tc>
                <w:tcPr>
                  <w:tcW w:w="511" w:type="pct"/>
                  <w:tcBorders>
                    <w:bottom w:val="single" w:sz="8" w:space="0" w:color="000000"/>
                  </w:tcBorders>
                  <w:shd w:val="clear" w:color="auto" w:fill="auto"/>
                  <w:vAlign w:val="center"/>
                </w:tcPr>
                <w:p w14:paraId="63EE12CC" w14:textId="77777777" w:rsidR="006540D7" w:rsidRPr="000D77E3" w:rsidRDefault="006540D7" w:rsidP="006540D7">
                  <w:pPr>
                    <w:jc w:val="center"/>
                    <w:textAlignment w:val="top"/>
                    <w:rPr>
                      <w:rFonts w:ascii="Times New Roman" w:eastAsia="等线" w:hAnsi="Times New Roman" w:cs="Times New Roman"/>
                      <w:color w:val="000000"/>
                      <w:sz w:val="13"/>
                      <w:szCs w:val="13"/>
                      <w:lang w:bidi="ar"/>
                    </w:rPr>
                  </w:pPr>
                  <w:r w:rsidRPr="000D77E3">
                    <w:rPr>
                      <w:rFonts w:ascii="Times New Roman" w:eastAsia="等线" w:hAnsi="Times New Roman" w:cs="Times New Roman"/>
                      <w:color w:val="000000"/>
                      <w:sz w:val="13"/>
                      <w:szCs w:val="13"/>
                      <w:lang w:bidi="ar"/>
                    </w:rPr>
                    <w:t>Pleiotropy</w:t>
                  </w:r>
                </w:p>
                <w:p w14:paraId="3F54042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test</w:t>
                  </w:r>
                </w:p>
              </w:tc>
              <w:tc>
                <w:tcPr>
                  <w:tcW w:w="387" w:type="pct"/>
                  <w:vMerge w:val="restart"/>
                  <w:tcBorders>
                    <w:tl2br w:val="nil"/>
                    <w:tr2bl w:val="nil"/>
                  </w:tcBorders>
                  <w:shd w:val="clear" w:color="auto" w:fill="auto"/>
                  <w:vAlign w:val="center"/>
                </w:tcPr>
                <w:p w14:paraId="1531646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F</w:t>
                  </w:r>
                </w:p>
              </w:tc>
            </w:tr>
            <w:tr w:rsidR="006540D7" w:rsidRPr="000D77E3" w14:paraId="28236BDB" w14:textId="77777777" w:rsidTr="006540D7">
              <w:trPr>
                <w:trHeight w:val="181"/>
              </w:trPr>
              <w:tc>
                <w:tcPr>
                  <w:tcW w:w="511" w:type="pct"/>
                  <w:vMerge/>
                  <w:tcBorders>
                    <w:bottom w:val="single" w:sz="4" w:space="0" w:color="auto"/>
                    <w:tl2br w:val="nil"/>
                    <w:tr2bl w:val="nil"/>
                  </w:tcBorders>
                  <w:shd w:val="clear" w:color="auto" w:fill="auto"/>
                  <w:vAlign w:val="center"/>
                </w:tcPr>
                <w:p w14:paraId="38E367DF"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vMerge/>
                  <w:tcBorders>
                    <w:bottom w:val="single" w:sz="4" w:space="0" w:color="auto"/>
                    <w:tl2br w:val="nil"/>
                    <w:tr2bl w:val="nil"/>
                  </w:tcBorders>
                  <w:shd w:val="clear" w:color="auto" w:fill="auto"/>
                  <w:vAlign w:val="center"/>
                </w:tcPr>
                <w:p w14:paraId="0714B733"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vMerge/>
                  <w:tcBorders>
                    <w:bottom w:val="single" w:sz="4" w:space="0" w:color="auto"/>
                    <w:tl2br w:val="nil"/>
                    <w:tr2bl w:val="nil"/>
                  </w:tcBorders>
                  <w:shd w:val="clear" w:color="auto" w:fill="auto"/>
                  <w:vAlign w:val="center"/>
                </w:tcPr>
                <w:p w14:paraId="40C4C332"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vMerge/>
                  <w:tcBorders>
                    <w:bottom w:val="single" w:sz="4" w:space="0" w:color="auto"/>
                    <w:tl2br w:val="nil"/>
                    <w:tr2bl w:val="nil"/>
                  </w:tcBorders>
                  <w:shd w:val="clear" w:color="auto" w:fill="auto"/>
                  <w:vAlign w:val="center"/>
                </w:tcPr>
                <w:p w14:paraId="57811A52" w14:textId="77777777" w:rsidR="006540D7" w:rsidRPr="000D77E3" w:rsidRDefault="006540D7" w:rsidP="006540D7">
                  <w:pPr>
                    <w:jc w:val="center"/>
                    <w:rPr>
                      <w:rFonts w:ascii="Times New Roman" w:eastAsia="等线" w:hAnsi="Times New Roman" w:cs="Times New Roman"/>
                      <w:color w:val="000000"/>
                      <w:sz w:val="13"/>
                      <w:szCs w:val="13"/>
                    </w:rPr>
                  </w:pPr>
                </w:p>
              </w:tc>
              <w:tc>
                <w:tcPr>
                  <w:tcW w:w="571" w:type="pct"/>
                  <w:vMerge/>
                  <w:tcBorders>
                    <w:bottom w:val="single" w:sz="4" w:space="0" w:color="auto"/>
                    <w:tl2br w:val="nil"/>
                    <w:tr2bl w:val="nil"/>
                  </w:tcBorders>
                  <w:shd w:val="clear" w:color="auto" w:fill="auto"/>
                  <w:vAlign w:val="center"/>
                </w:tcPr>
                <w:p w14:paraId="0EDBAEBB" w14:textId="77777777" w:rsidR="006540D7" w:rsidRPr="000D77E3" w:rsidRDefault="006540D7" w:rsidP="006540D7">
                  <w:pPr>
                    <w:jc w:val="center"/>
                    <w:rPr>
                      <w:rFonts w:ascii="Times New Roman" w:eastAsia="等线" w:hAnsi="Times New Roman" w:cs="Times New Roman"/>
                      <w:color w:val="000000"/>
                      <w:sz w:val="13"/>
                      <w:szCs w:val="13"/>
                    </w:rPr>
                  </w:pPr>
                </w:p>
              </w:tc>
              <w:tc>
                <w:tcPr>
                  <w:tcW w:w="383" w:type="pct"/>
                  <w:vMerge/>
                  <w:tcBorders>
                    <w:bottom w:val="single" w:sz="4" w:space="0" w:color="auto"/>
                    <w:tl2br w:val="nil"/>
                    <w:tr2bl w:val="nil"/>
                  </w:tcBorders>
                  <w:shd w:val="clear" w:color="auto" w:fill="auto"/>
                  <w:vAlign w:val="center"/>
                </w:tcPr>
                <w:p w14:paraId="1CCB07D7"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op w:val="single" w:sz="8" w:space="0" w:color="000000"/>
                    <w:bottom w:val="single" w:sz="4" w:space="0" w:color="auto"/>
                    <w:tl2br w:val="nil"/>
                    <w:tr2bl w:val="nil"/>
                  </w:tcBorders>
                  <w:shd w:val="clear" w:color="auto" w:fill="auto"/>
                  <w:vAlign w:val="center"/>
                </w:tcPr>
                <w:p w14:paraId="33F876A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Method</w:t>
                  </w:r>
                </w:p>
              </w:tc>
              <w:tc>
                <w:tcPr>
                  <w:tcW w:w="387" w:type="pct"/>
                  <w:tcBorders>
                    <w:top w:val="single" w:sz="8" w:space="0" w:color="000000"/>
                    <w:bottom w:val="single" w:sz="4" w:space="0" w:color="auto"/>
                    <w:tl2br w:val="nil"/>
                    <w:tr2bl w:val="nil"/>
                  </w:tcBorders>
                  <w:shd w:val="clear" w:color="auto" w:fill="auto"/>
                  <w:vAlign w:val="center"/>
                </w:tcPr>
                <w:p w14:paraId="5DECE3AB"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Q</w:t>
                  </w:r>
                </w:p>
              </w:tc>
              <w:tc>
                <w:tcPr>
                  <w:tcW w:w="383" w:type="pct"/>
                  <w:tcBorders>
                    <w:top w:val="single" w:sz="8" w:space="0" w:color="000000"/>
                    <w:bottom w:val="single" w:sz="4" w:space="0" w:color="auto"/>
                    <w:tl2br w:val="nil"/>
                    <w:tr2bl w:val="nil"/>
                  </w:tcBorders>
                  <w:shd w:val="clear" w:color="auto" w:fill="auto"/>
                  <w:vAlign w:val="center"/>
                </w:tcPr>
                <w:p w14:paraId="63E712C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P</w:t>
                  </w:r>
                </w:p>
              </w:tc>
              <w:tc>
                <w:tcPr>
                  <w:tcW w:w="511" w:type="pct"/>
                  <w:tcBorders>
                    <w:top w:val="single" w:sz="8" w:space="0" w:color="000000"/>
                    <w:bottom w:val="single" w:sz="4" w:space="0" w:color="auto"/>
                    <w:tl2br w:val="nil"/>
                    <w:tr2bl w:val="nil"/>
                  </w:tcBorders>
                  <w:shd w:val="clear" w:color="auto" w:fill="auto"/>
                  <w:vAlign w:val="center"/>
                </w:tcPr>
                <w:p w14:paraId="32C744B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P</w:t>
                  </w:r>
                  <w:r w:rsidRPr="000D77E3">
                    <w:rPr>
                      <w:rStyle w:val="font11"/>
                      <w:rFonts w:ascii="Times New Roman" w:hAnsi="Times New Roman" w:cs="Times New Roman" w:hint="default"/>
                      <w:sz w:val="13"/>
                      <w:szCs w:val="13"/>
                      <w:lang w:bidi="ar"/>
                    </w:rPr>
                    <w:t xml:space="preserve"> intercept</w:t>
                  </w:r>
                </w:p>
              </w:tc>
              <w:tc>
                <w:tcPr>
                  <w:tcW w:w="387" w:type="pct"/>
                  <w:vMerge/>
                  <w:tcBorders>
                    <w:bottom w:val="single" w:sz="4" w:space="0" w:color="auto"/>
                    <w:tl2br w:val="nil"/>
                    <w:tr2bl w:val="nil"/>
                  </w:tcBorders>
                  <w:shd w:val="clear" w:color="auto" w:fill="auto"/>
                  <w:vAlign w:val="center"/>
                </w:tcPr>
                <w:p w14:paraId="21A3E8B7"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2D277D0A" w14:textId="77777777" w:rsidTr="006540D7">
              <w:trPr>
                <w:trHeight w:val="56"/>
              </w:trPr>
              <w:tc>
                <w:tcPr>
                  <w:tcW w:w="511" w:type="pct"/>
                  <w:tcBorders>
                    <w:top w:val="single" w:sz="4" w:space="0" w:color="auto"/>
                  </w:tcBorders>
                  <w:shd w:val="clear" w:color="auto" w:fill="auto"/>
                  <w:vAlign w:val="center"/>
                </w:tcPr>
                <w:p w14:paraId="71ED6CF3"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IBD</w:t>
                  </w:r>
                </w:p>
              </w:tc>
              <w:tc>
                <w:tcPr>
                  <w:tcW w:w="643" w:type="pct"/>
                  <w:tcBorders>
                    <w:top w:val="single" w:sz="4" w:space="0" w:color="auto"/>
                  </w:tcBorders>
                  <w:shd w:val="clear" w:color="auto" w:fill="auto"/>
                  <w:vAlign w:val="center"/>
                </w:tcPr>
                <w:p w14:paraId="3C798F8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Conjunctivitis</w:t>
                  </w:r>
                </w:p>
              </w:tc>
              <w:tc>
                <w:tcPr>
                  <w:tcW w:w="386" w:type="pct"/>
                  <w:tcBorders>
                    <w:top w:val="single" w:sz="4" w:space="0" w:color="auto"/>
                  </w:tcBorders>
                  <w:shd w:val="clear" w:color="auto" w:fill="auto"/>
                  <w:vAlign w:val="center"/>
                </w:tcPr>
                <w:p w14:paraId="1E84F60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90</w:t>
                  </w:r>
                </w:p>
              </w:tc>
              <w:tc>
                <w:tcPr>
                  <w:tcW w:w="419" w:type="pct"/>
                  <w:tcBorders>
                    <w:top w:val="single" w:sz="4" w:space="0" w:color="auto"/>
                  </w:tcBorders>
                  <w:shd w:val="clear" w:color="auto" w:fill="auto"/>
                  <w:vAlign w:val="center"/>
                </w:tcPr>
                <w:p w14:paraId="6DDE5FC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 (</w:t>
                  </w:r>
                  <w:proofErr w:type="spellStart"/>
                  <w:r w:rsidRPr="000D77E3">
                    <w:rPr>
                      <w:rFonts w:ascii="Times New Roman" w:eastAsia="等线" w:hAnsi="Times New Roman" w:cs="Times New Roman"/>
                      <w:color w:val="000000"/>
                      <w:sz w:val="13"/>
                      <w:szCs w:val="13"/>
                      <w:lang w:bidi="ar"/>
                    </w:rPr>
                    <w:t>mre</w:t>
                  </w:r>
                  <w:proofErr w:type="spellEnd"/>
                  <w:r w:rsidRPr="000D77E3">
                    <w:rPr>
                      <w:rFonts w:ascii="Times New Roman" w:eastAsia="等线" w:hAnsi="Times New Roman" w:cs="Times New Roman"/>
                      <w:color w:val="000000"/>
                      <w:sz w:val="13"/>
                      <w:szCs w:val="13"/>
                      <w:lang w:bidi="ar"/>
                    </w:rPr>
                    <w:t>)</w:t>
                  </w:r>
                </w:p>
              </w:tc>
              <w:tc>
                <w:tcPr>
                  <w:tcW w:w="571" w:type="pct"/>
                  <w:tcBorders>
                    <w:top w:val="single" w:sz="4" w:space="0" w:color="auto"/>
                  </w:tcBorders>
                  <w:shd w:val="clear" w:color="auto" w:fill="auto"/>
                  <w:vAlign w:val="center"/>
                </w:tcPr>
                <w:p w14:paraId="070D1FDA" w14:textId="77777777" w:rsidR="006540D7" w:rsidRPr="000D77E3" w:rsidRDefault="006540D7" w:rsidP="006540D7">
                  <w:pPr>
                    <w:jc w:val="center"/>
                    <w:textAlignment w:val="top"/>
                    <w:rPr>
                      <w:rFonts w:ascii="Times New Roman" w:eastAsia="等线" w:hAnsi="Times New Roman" w:cs="Times New Roman"/>
                      <w:color w:val="000000"/>
                      <w:sz w:val="13"/>
                      <w:szCs w:val="13"/>
                    </w:rPr>
                  </w:pPr>
                  <w:bookmarkStart w:id="1" w:name="_Hlk127479711"/>
                  <w:r w:rsidRPr="000D77E3">
                    <w:rPr>
                      <w:rFonts w:ascii="Times New Roman" w:eastAsia="等线" w:hAnsi="Times New Roman" w:cs="Times New Roman"/>
                      <w:color w:val="000000"/>
                      <w:sz w:val="13"/>
                      <w:szCs w:val="13"/>
                      <w:lang w:bidi="ar"/>
                    </w:rPr>
                    <w:t>1.05 (1.03-1.08)</w:t>
                  </w:r>
                  <w:bookmarkEnd w:id="1"/>
                </w:p>
              </w:tc>
              <w:tc>
                <w:tcPr>
                  <w:tcW w:w="383" w:type="pct"/>
                  <w:tcBorders>
                    <w:top w:val="single" w:sz="4" w:space="0" w:color="auto"/>
                  </w:tcBorders>
                  <w:shd w:val="clear" w:color="auto" w:fill="auto"/>
                  <w:vAlign w:val="center"/>
                </w:tcPr>
                <w:p w14:paraId="1D8B977C"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7.49E-06</w:t>
                  </w:r>
                </w:p>
              </w:tc>
              <w:tc>
                <w:tcPr>
                  <w:tcW w:w="419" w:type="pct"/>
                  <w:tcBorders>
                    <w:top w:val="single" w:sz="4" w:space="0" w:color="auto"/>
                  </w:tcBorders>
                  <w:shd w:val="clear" w:color="auto" w:fill="auto"/>
                  <w:vAlign w:val="center"/>
                </w:tcPr>
                <w:p w14:paraId="0F3F26B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387" w:type="pct"/>
                  <w:tcBorders>
                    <w:top w:val="single" w:sz="4" w:space="0" w:color="auto"/>
                  </w:tcBorders>
                  <w:shd w:val="clear" w:color="auto" w:fill="auto"/>
                  <w:vAlign w:val="center"/>
                </w:tcPr>
                <w:p w14:paraId="04BE37CB"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171.73</w:t>
                  </w:r>
                </w:p>
              </w:tc>
              <w:tc>
                <w:tcPr>
                  <w:tcW w:w="383" w:type="pct"/>
                  <w:tcBorders>
                    <w:top w:val="single" w:sz="4" w:space="0" w:color="auto"/>
                  </w:tcBorders>
                  <w:shd w:val="clear" w:color="auto" w:fill="auto"/>
                  <w:vAlign w:val="center"/>
                </w:tcPr>
                <w:p w14:paraId="106F2863"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2.73E-07</w:t>
                  </w:r>
                </w:p>
              </w:tc>
              <w:tc>
                <w:tcPr>
                  <w:tcW w:w="511" w:type="pct"/>
                  <w:tcBorders>
                    <w:top w:val="single" w:sz="4" w:space="0" w:color="auto"/>
                  </w:tcBorders>
                  <w:shd w:val="clear" w:color="auto" w:fill="auto"/>
                  <w:vAlign w:val="center"/>
                </w:tcPr>
                <w:p w14:paraId="136D15F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0.55</w:t>
                  </w:r>
                </w:p>
              </w:tc>
              <w:tc>
                <w:tcPr>
                  <w:tcW w:w="387" w:type="pct"/>
                  <w:tcBorders>
                    <w:top w:val="single" w:sz="4" w:space="0" w:color="auto"/>
                  </w:tcBorders>
                  <w:shd w:val="clear" w:color="auto" w:fill="auto"/>
                  <w:vAlign w:val="center"/>
                </w:tcPr>
                <w:p w14:paraId="5AEF65F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29.86-500.60</w:t>
                  </w:r>
                </w:p>
              </w:tc>
            </w:tr>
            <w:tr w:rsidR="006540D7" w:rsidRPr="000D77E3" w14:paraId="2EB0B353" w14:textId="77777777" w:rsidTr="006540D7">
              <w:trPr>
                <w:trHeight w:val="56"/>
              </w:trPr>
              <w:tc>
                <w:tcPr>
                  <w:tcW w:w="511" w:type="pct"/>
                  <w:tcBorders>
                    <w:tl2br w:val="nil"/>
                    <w:tr2bl w:val="nil"/>
                  </w:tcBorders>
                  <w:shd w:val="clear" w:color="auto" w:fill="auto"/>
                  <w:vAlign w:val="center"/>
                </w:tcPr>
                <w:p w14:paraId="5EF4A6F9"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6AB67D17"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75E9C500"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2437958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WM</w:t>
                  </w:r>
                </w:p>
              </w:tc>
              <w:tc>
                <w:tcPr>
                  <w:tcW w:w="571" w:type="pct"/>
                  <w:tcBorders>
                    <w:tl2br w:val="nil"/>
                    <w:tr2bl w:val="nil"/>
                  </w:tcBorders>
                  <w:shd w:val="clear" w:color="auto" w:fill="auto"/>
                  <w:vAlign w:val="center"/>
                </w:tcPr>
                <w:p w14:paraId="0371022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1.06(1.02-1.09)</w:t>
                  </w:r>
                </w:p>
              </w:tc>
              <w:tc>
                <w:tcPr>
                  <w:tcW w:w="383" w:type="pct"/>
                  <w:tcBorders>
                    <w:tl2br w:val="nil"/>
                    <w:tr2bl w:val="nil"/>
                  </w:tcBorders>
                  <w:shd w:val="clear" w:color="auto" w:fill="auto"/>
                  <w:vAlign w:val="center"/>
                </w:tcPr>
                <w:p w14:paraId="216BD03C"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3.68E-04</w:t>
                  </w:r>
                </w:p>
              </w:tc>
              <w:tc>
                <w:tcPr>
                  <w:tcW w:w="419" w:type="pct"/>
                  <w:tcBorders>
                    <w:tl2br w:val="nil"/>
                    <w:tr2bl w:val="nil"/>
                  </w:tcBorders>
                  <w:shd w:val="clear" w:color="auto" w:fill="auto"/>
                  <w:vAlign w:val="center"/>
                </w:tcPr>
                <w:p w14:paraId="4020474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w:t>
                  </w:r>
                </w:p>
              </w:tc>
              <w:tc>
                <w:tcPr>
                  <w:tcW w:w="387" w:type="pct"/>
                  <w:tcBorders>
                    <w:tl2br w:val="nil"/>
                    <w:tr2bl w:val="nil"/>
                  </w:tcBorders>
                  <w:shd w:val="clear" w:color="auto" w:fill="auto"/>
                  <w:vAlign w:val="center"/>
                </w:tcPr>
                <w:p w14:paraId="315AE1C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172.41</w:t>
                  </w:r>
                </w:p>
              </w:tc>
              <w:tc>
                <w:tcPr>
                  <w:tcW w:w="383" w:type="pct"/>
                  <w:tcBorders>
                    <w:tl2br w:val="nil"/>
                    <w:tr2bl w:val="nil"/>
                  </w:tcBorders>
                  <w:shd w:val="clear" w:color="auto" w:fill="auto"/>
                  <w:vAlign w:val="center"/>
                </w:tcPr>
                <w:p w14:paraId="0693921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2.82E-07</w:t>
                  </w:r>
                </w:p>
              </w:tc>
              <w:tc>
                <w:tcPr>
                  <w:tcW w:w="511" w:type="pct"/>
                  <w:tcBorders>
                    <w:tl2br w:val="nil"/>
                    <w:tr2bl w:val="nil"/>
                  </w:tcBorders>
                  <w:shd w:val="clear" w:color="auto" w:fill="auto"/>
                  <w:vAlign w:val="center"/>
                </w:tcPr>
                <w:p w14:paraId="66584230"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62F0105D"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46527606" w14:textId="77777777" w:rsidTr="006540D7">
              <w:trPr>
                <w:trHeight w:val="56"/>
              </w:trPr>
              <w:tc>
                <w:tcPr>
                  <w:tcW w:w="511" w:type="pct"/>
                  <w:tcBorders>
                    <w:tl2br w:val="nil"/>
                    <w:tr2bl w:val="nil"/>
                  </w:tcBorders>
                  <w:shd w:val="clear" w:color="auto" w:fill="auto"/>
                  <w:vAlign w:val="center"/>
                </w:tcPr>
                <w:p w14:paraId="4BDC5470"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5EA02BFF"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41C4B146"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31D1A9E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571" w:type="pct"/>
                  <w:tcBorders>
                    <w:tl2br w:val="nil"/>
                    <w:tr2bl w:val="nil"/>
                  </w:tcBorders>
                  <w:shd w:val="clear" w:color="auto" w:fill="auto"/>
                  <w:vAlign w:val="center"/>
                </w:tcPr>
                <w:p w14:paraId="536F530A"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1.04(0.97-1.10)</w:t>
                  </w:r>
                </w:p>
              </w:tc>
              <w:tc>
                <w:tcPr>
                  <w:tcW w:w="383" w:type="pct"/>
                  <w:tcBorders>
                    <w:tl2br w:val="nil"/>
                    <w:tr2bl w:val="nil"/>
                  </w:tcBorders>
                  <w:shd w:val="clear" w:color="auto" w:fill="auto"/>
                  <w:vAlign w:val="center"/>
                </w:tcPr>
                <w:p w14:paraId="70D17DD9" w14:textId="77777777" w:rsidR="006540D7" w:rsidRPr="000D77E3" w:rsidRDefault="006540D7" w:rsidP="006540D7">
                  <w:pPr>
                    <w:jc w:val="center"/>
                    <w:rPr>
                      <w:rFonts w:ascii="Times New Roman" w:eastAsia="宋体" w:hAnsi="Times New Roman" w:cs="Times New Roman"/>
                      <w:sz w:val="13"/>
                      <w:szCs w:val="13"/>
                    </w:rPr>
                  </w:pPr>
                  <w:r w:rsidRPr="000D77E3">
                    <w:rPr>
                      <w:rFonts w:ascii="Times New Roman" w:eastAsia="等线" w:hAnsi="Times New Roman" w:cs="Times New Roman"/>
                      <w:color w:val="000000"/>
                      <w:sz w:val="13"/>
                      <w:szCs w:val="13"/>
                      <w:lang w:bidi="ar"/>
                    </w:rPr>
                    <w:t>0.25</w:t>
                  </w:r>
                </w:p>
              </w:tc>
              <w:tc>
                <w:tcPr>
                  <w:tcW w:w="419" w:type="pct"/>
                  <w:tcBorders>
                    <w:tl2br w:val="nil"/>
                    <w:tr2bl w:val="nil"/>
                  </w:tcBorders>
                  <w:shd w:val="clear" w:color="auto" w:fill="auto"/>
                  <w:vAlign w:val="center"/>
                </w:tcPr>
                <w:p w14:paraId="2FD5D828"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39D246C8" w14:textId="77777777" w:rsidR="006540D7" w:rsidRPr="000D77E3" w:rsidRDefault="006540D7" w:rsidP="006540D7">
                  <w:pPr>
                    <w:jc w:val="center"/>
                    <w:rPr>
                      <w:rFonts w:ascii="Times New Roman" w:eastAsia="等线" w:hAnsi="Times New Roman" w:cs="Times New Roman"/>
                      <w:color w:val="000000"/>
                      <w:sz w:val="13"/>
                      <w:szCs w:val="13"/>
                    </w:rPr>
                  </w:pPr>
                </w:p>
              </w:tc>
              <w:tc>
                <w:tcPr>
                  <w:tcW w:w="383" w:type="pct"/>
                  <w:tcBorders>
                    <w:tl2br w:val="nil"/>
                    <w:tr2bl w:val="nil"/>
                  </w:tcBorders>
                  <w:shd w:val="clear" w:color="auto" w:fill="auto"/>
                  <w:vAlign w:val="center"/>
                </w:tcPr>
                <w:p w14:paraId="52F22EBD" w14:textId="77777777" w:rsidR="006540D7" w:rsidRPr="000D77E3" w:rsidRDefault="006540D7" w:rsidP="006540D7">
                  <w:pPr>
                    <w:jc w:val="center"/>
                    <w:rPr>
                      <w:rFonts w:ascii="Times New Roman" w:eastAsia="等线" w:hAnsi="Times New Roman" w:cs="Times New Roman"/>
                      <w:color w:val="000000"/>
                      <w:sz w:val="13"/>
                      <w:szCs w:val="13"/>
                    </w:rPr>
                  </w:pPr>
                </w:p>
              </w:tc>
              <w:tc>
                <w:tcPr>
                  <w:tcW w:w="511" w:type="pct"/>
                  <w:tcBorders>
                    <w:tl2br w:val="nil"/>
                    <w:tr2bl w:val="nil"/>
                  </w:tcBorders>
                  <w:shd w:val="clear" w:color="auto" w:fill="auto"/>
                  <w:vAlign w:val="center"/>
                </w:tcPr>
                <w:p w14:paraId="2FF7D876"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5237EB80"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7B21EB8F" w14:textId="77777777" w:rsidTr="006540D7">
              <w:trPr>
                <w:trHeight w:val="56"/>
              </w:trPr>
              <w:tc>
                <w:tcPr>
                  <w:tcW w:w="511" w:type="pct"/>
                  <w:tcBorders>
                    <w:tl2br w:val="nil"/>
                    <w:tr2bl w:val="nil"/>
                  </w:tcBorders>
                  <w:shd w:val="clear" w:color="auto" w:fill="auto"/>
                  <w:vAlign w:val="center"/>
                </w:tcPr>
                <w:p w14:paraId="6486ACED"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1DA4FDC1"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5DA7A00A"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02B3920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ML</w:t>
                  </w:r>
                </w:p>
              </w:tc>
              <w:tc>
                <w:tcPr>
                  <w:tcW w:w="571" w:type="pct"/>
                  <w:tcBorders>
                    <w:tl2br w:val="nil"/>
                    <w:tr2bl w:val="nil"/>
                  </w:tcBorders>
                  <w:shd w:val="clear" w:color="auto" w:fill="auto"/>
                  <w:vAlign w:val="center"/>
                </w:tcPr>
                <w:p w14:paraId="3DF6BE3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1.06(1.04-1.07)</w:t>
                  </w:r>
                </w:p>
              </w:tc>
              <w:tc>
                <w:tcPr>
                  <w:tcW w:w="383" w:type="pct"/>
                  <w:tcBorders>
                    <w:tl2br w:val="nil"/>
                    <w:tr2bl w:val="nil"/>
                  </w:tcBorders>
                  <w:shd w:val="clear" w:color="auto" w:fill="auto"/>
                  <w:vAlign w:val="center"/>
                </w:tcPr>
                <w:p w14:paraId="3DEBEE0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3.7E-02</w:t>
                  </w:r>
                </w:p>
              </w:tc>
              <w:tc>
                <w:tcPr>
                  <w:tcW w:w="419" w:type="pct"/>
                  <w:tcBorders>
                    <w:tl2br w:val="nil"/>
                    <w:tr2bl w:val="nil"/>
                  </w:tcBorders>
                  <w:shd w:val="clear" w:color="auto" w:fill="auto"/>
                  <w:vAlign w:val="center"/>
                </w:tcPr>
                <w:p w14:paraId="1F16FC7A"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4FE092CF" w14:textId="77777777" w:rsidR="006540D7" w:rsidRPr="000D77E3" w:rsidRDefault="006540D7" w:rsidP="006540D7">
                  <w:pPr>
                    <w:jc w:val="center"/>
                    <w:rPr>
                      <w:rFonts w:ascii="Times New Roman" w:eastAsia="等线" w:hAnsi="Times New Roman" w:cs="Times New Roman"/>
                      <w:color w:val="000000"/>
                      <w:sz w:val="13"/>
                      <w:szCs w:val="13"/>
                    </w:rPr>
                  </w:pPr>
                </w:p>
              </w:tc>
              <w:tc>
                <w:tcPr>
                  <w:tcW w:w="383" w:type="pct"/>
                  <w:tcBorders>
                    <w:tl2br w:val="nil"/>
                    <w:tr2bl w:val="nil"/>
                  </w:tcBorders>
                  <w:shd w:val="clear" w:color="auto" w:fill="auto"/>
                  <w:vAlign w:val="center"/>
                </w:tcPr>
                <w:p w14:paraId="756CFBC4" w14:textId="77777777" w:rsidR="006540D7" w:rsidRPr="000D77E3" w:rsidRDefault="006540D7" w:rsidP="006540D7">
                  <w:pPr>
                    <w:jc w:val="center"/>
                    <w:rPr>
                      <w:rFonts w:ascii="Times New Roman" w:eastAsia="等线" w:hAnsi="Times New Roman" w:cs="Times New Roman"/>
                      <w:color w:val="000000"/>
                      <w:sz w:val="13"/>
                      <w:szCs w:val="13"/>
                    </w:rPr>
                  </w:pPr>
                </w:p>
              </w:tc>
              <w:tc>
                <w:tcPr>
                  <w:tcW w:w="511" w:type="pct"/>
                  <w:tcBorders>
                    <w:tl2br w:val="nil"/>
                    <w:tr2bl w:val="nil"/>
                  </w:tcBorders>
                  <w:shd w:val="clear" w:color="auto" w:fill="auto"/>
                  <w:vAlign w:val="center"/>
                </w:tcPr>
                <w:p w14:paraId="710395F8"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319D5064"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3D4E7541" w14:textId="77777777" w:rsidTr="006540D7">
              <w:trPr>
                <w:trHeight w:val="56"/>
              </w:trPr>
              <w:tc>
                <w:tcPr>
                  <w:tcW w:w="511" w:type="pct"/>
                  <w:tcBorders>
                    <w:tl2br w:val="nil"/>
                    <w:tr2bl w:val="nil"/>
                  </w:tcBorders>
                  <w:shd w:val="clear" w:color="auto" w:fill="auto"/>
                  <w:vAlign w:val="center"/>
                </w:tcPr>
                <w:p w14:paraId="5F56C7FB"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CD</w:t>
                  </w:r>
                </w:p>
              </w:tc>
              <w:tc>
                <w:tcPr>
                  <w:tcW w:w="643" w:type="pct"/>
                  <w:tcBorders>
                    <w:tl2br w:val="nil"/>
                    <w:tr2bl w:val="nil"/>
                  </w:tcBorders>
                  <w:shd w:val="clear" w:color="auto" w:fill="auto"/>
                  <w:vAlign w:val="center"/>
                </w:tcPr>
                <w:p w14:paraId="1F42CBEA"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Conjunctivitis</w:t>
                  </w:r>
                </w:p>
              </w:tc>
              <w:tc>
                <w:tcPr>
                  <w:tcW w:w="386" w:type="pct"/>
                  <w:tcBorders>
                    <w:tl2br w:val="nil"/>
                    <w:tr2bl w:val="nil"/>
                  </w:tcBorders>
                  <w:shd w:val="clear" w:color="auto" w:fill="auto"/>
                  <w:vAlign w:val="center"/>
                </w:tcPr>
                <w:p w14:paraId="6095A0C7"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73</w:t>
                  </w:r>
                </w:p>
              </w:tc>
              <w:tc>
                <w:tcPr>
                  <w:tcW w:w="419" w:type="pct"/>
                  <w:tcBorders>
                    <w:tl2br w:val="nil"/>
                    <w:tr2bl w:val="nil"/>
                  </w:tcBorders>
                  <w:shd w:val="clear" w:color="auto" w:fill="auto"/>
                  <w:vAlign w:val="center"/>
                </w:tcPr>
                <w:p w14:paraId="6745EB2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 (</w:t>
                  </w:r>
                  <w:proofErr w:type="spellStart"/>
                  <w:r w:rsidRPr="000D77E3">
                    <w:rPr>
                      <w:rFonts w:ascii="Times New Roman" w:eastAsia="等线" w:hAnsi="Times New Roman" w:cs="Times New Roman"/>
                      <w:color w:val="000000"/>
                      <w:sz w:val="13"/>
                      <w:szCs w:val="13"/>
                      <w:lang w:bidi="ar"/>
                    </w:rPr>
                    <w:t>mre</w:t>
                  </w:r>
                  <w:proofErr w:type="spellEnd"/>
                  <w:r w:rsidRPr="000D77E3">
                    <w:rPr>
                      <w:rFonts w:ascii="Times New Roman" w:eastAsia="等线" w:hAnsi="Times New Roman" w:cs="Times New Roman"/>
                      <w:color w:val="000000"/>
                      <w:sz w:val="13"/>
                      <w:szCs w:val="13"/>
                      <w:lang w:bidi="ar"/>
                    </w:rPr>
                    <w:t>)</w:t>
                  </w:r>
                </w:p>
              </w:tc>
              <w:tc>
                <w:tcPr>
                  <w:tcW w:w="571" w:type="pct"/>
                  <w:tcBorders>
                    <w:tl2br w:val="nil"/>
                    <w:tr2bl w:val="nil"/>
                  </w:tcBorders>
                  <w:shd w:val="clear" w:color="auto" w:fill="auto"/>
                  <w:vAlign w:val="center"/>
                </w:tcPr>
                <w:p w14:paraId="005B107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1.04(1.02-1.06)</w:t>
                  </w:r>
                </w:p>
              </w:tc>
              <w:tc>
                <w:tcPr>
                  <w:tcW w:w="383" w:type="pct"/>
                  <w:tcBorders>
                    <w:tl2br w:val="nil"/>
                    <w:tr2bl w:val="nil"/>
                  </w:tcBorders>
                  <w:shd w:val="clear" w:color="auto" w:fill="auto"/>
                  <w:vAlign w:val="center"/>
                </w:tcPr>
                <w:p w14:paraId="40942C4E"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5.37E-04</w:t>
                  </w:r>
                </w:p>
              </w:tc>
              <w:tc>
                <w:tcPr>
                  <w:tcW w:w="419" w:type="pct"/>
                  <w:tcBorders>
                    <w:tl2br w:val="nil"/>
                    <w:tr2bl w:val="nil"/>
                  </w:tcBorders>
                  <w:shd w:val="clear" w:color="auto" w:fill="auto"/>
                  <w:vAlign w:val="center"/>
                </w:tcPr>
                <w:p w14:paraId="0F747C37"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387" w:type="pct"/>
                  <w:tcBorders>
                    <w:tl2br w:val="nil"/>
                    <w:tr2bl w:val="nil"/>
                  </w:tcBorders>
                  <w:shd w:val="clear" w:color="auto" w:fill="auto"/>
                  <w:vAlign w:val="center"/>
                </w:tcPr>
                <w:p w14:paraId="02CDFD9C"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161.90</w:t>
                  </w:r>
                </w:p>
              </w:tc>
              <w:tc>
                <w:tcPr>
                  <w:tcW w:w="383" w:type="pct"/>
                  <w:tcBorders>
                    <w:tl2br w:val="nil"/>
                    <w:tr2bl w:val="nil"/>
                  </w:tcBorders>
                  <w:shd w:val="clear" w:color="auto" w:fill="auto"/>
                  <w:vAlign w:val="center"/>
                </w:tcPr>
                <w:p w14:paraId="338702EB"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4.70E-09</w:t>
                  </w:r>
                </w:p>
              </w:tc>
              <w:tc>
                <w:tcPr>
                  <w:tcW w:w="511" w:type="pct"/>
                  <w:tcBorders>
                    <w:tl2br w:val="nil"/>
                    <w:tr2bl w:val="nil"/>
                  </w:tcBorders>
                  <w:shd w:val="clear" w:color="auto" w:fill="auto"/>
                  <w:vAlign w:val="center"/>
                </w:tcPr>
                <w:p w14:paraId="5D87C285"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0.80</w:t>
                  </w:r>
                </w:p>
              </w:tc>
              <w:tc>
                <w:tcPr>
                  <w:tcW w:w="387" w:type="pct"/>
                  <w:tcBorders>
                    <w:tl2br w:val="nil"/>
                    <w:tr2bl w:val="nil"/>
                  </w:tcBorders>
                  <w:shd w:val="clear" w:color="auto" w:fill="auto"/>
                  <w:vAlign w:val="center"/>
                </w:tcPr>
                <w:p w14:paraId="3C3E4E4B"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30.15-489.58</w:t>
                  </w:r>
                </w:p>
              </w:tc>
            </w:tr>
            <w:tr w:rsidR="006540D7" w:rsidRPr="000D77E3" w14:paraId="12FD383A" w14:textId="77777777" w:rsidTr="006540D7">
              <w:trPr>
                <w:trHeight w:val="56"/>
              </w:trPr>
              <w:tc>
                <w:tcPr>
                  <w:tcW w:w="511" w:type="pct"/>
                  <w:tcBorders>
                    <w:tl2br w:val="nil"/>
                    <w:tr2bl w:val="nil"/>
                  </w:tcBorders>
                  <w:shd w:val="clear" w:color="auto" w:fill="auto"/>
                  <w:vAlign w:val="center"/>
                </w:tcPr>
                <w:p w14:paraId="05F50892"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2456873B"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268EB322"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4B7AEAE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WM</w:t>
                  </w:r>
                </w:p>
              </w:tc>
              <w:tc>
                <w:tcPr>
                  <w:tcW w:w="571" w:type="pct"/>
                  <w:tcBorders>
                    <w:tl2br w:val="nil"/>
                    <w:tr2bl w:val="nil"/>
                  </w:tcBorders>
                  <w:shd w:val="clear" w:color="auto" w:fill="auto"/>
                  <w:vAlign w:val="center"/>
                </w:tcPr>
                <w:p w14:paraId="4591972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1.02(1.00-1.05)</w:t>
                  </w:r>
                </w:p>
              </w:tc>
              <w:tc>
                <w:tcPr>
                  <w:tcW w:w="383" w:type="pct"/>
                  <w:tcBorders>
                    <w:tl2br w:val="nil"/>
                    <w:tr2bl w:val="nil"/>
                  </w:tcBorders>
                  <w:shd w:val="clear" w:color="auto" w:fill="auto"/>
                  <w:vAlign w:val="center"/>
                </w:tcPr>
                <w:p w14:paraId="7D61603A"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0.06</w:t>
                  </w:r>
                </w:p>
              </w:tc>
              <w:tc>
                <w:tcPr>
                  <w:tcW w:w="419" w:type="pct"/>
                  <w:tcBorders>
                    <w:tl2br w:val="nil"/>
                    <w:tr2bl w:val="nil"/>
                  </w:tcBorders>
                  <w:shd w:val="clear" w:color="auto" w:fill="auto"/>
                  <w:vAlign w:val="center"/>
                </w:tcPr>
                <w:p w14:paraId="1BB58AD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w:t>
                  </w:r>
                </w:p>
              </w:tc>
              <w:tc>
                <w:tcPr>
                  <w:tcW w:w="387" w:type="pct"/>
                  <w:tcBorders>
                    <w:tl2br w:val="nil"/>
                    <w:tr2bl w:val="nil"/>
                  </w:tcBorders>
                  <w:shd w:val="clear" w:color="auto" w:fill="auto"/>
                  <w:vAlign w:val="center"/>
                </w:tcPr>
                <w:p w14:paraId="1E9BC74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162.04</w:t>
                  </w:r>
                </w:p>
              </w:tc>
              <w:tc>
                <w:tcPr>
                  <w:tcW w:w="383" w:type="pct"/>
                  <w:tcBorders>
                    <w:tl2br w:val="nil"/>
                    <w:tr2bl w:val="nil"/>
                  </w:tcBorders>
                  <w:shd w:val="clear" w:color="auto" w:fill="auto"/>
                  <w:vAlign w:val="center"/>
                </w:tcPr>
                <w:p w14:paraId="5939981B"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6.91E-09</w:t>
                  </w:r>
                </w:p>
              </w:tc>
              <w:tc>
                <w:tcPr>
                  <w:tcW w:w="511" w:type="pct"/>
                  <w:tcBorders>
                    <w:tl2br w:val="nil"/>
                    <w:tr2bl w:val="nil"/>
                  </w:tcBorders>
                  <w:shd w:val="clear" w:color="auto" w:fill="auto"/>
                  <w:vAlign w:val="center"/>
                </w:tcPr>
                <w:p w14:paraId="118D3A6C"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72070950"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r>
            <w:tr w:rsidR="006540D7" w:rsidRPr="000D77E3" w14:paraId="595E468E" w14:textId="77777777" w:rsidTr="006540D7">
              <w:trPr>
                <w:trHeight w:val="56"/>
              </w:trPr>
              <w:tc>
                <w:tcPr>
                  <w:tcW w:w="511" w:type="pct"/>
                  <w:tcBorders>
                    <w:tl2br w:val="nil"/>
                    <w:tr2bl w:val="nil"/>
                  </w:tcBorders>
                  <w:shd w:val="clear" w:color="auto" w:fill="auto"/>
                  <w:vAlign w:val="center"/>
                </w:tcPr>
                <w:p w14:paraId="1762CDC8"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447D3AC9"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134515A7"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5C5C58F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571" w:type="pct"/>
                  <w:tcBorders>
                    <w:tl2br w:val="nil"/>
                    <w:tr2bl w:val="nil"/>
                  </w:tcBorders>
                  <w:shd w:val="clear" w:color="auto" w:fill="auto"/>
                  <w:vAlign w:val="center"/>
                </w:tcPr>
                <w:p w14:paraId="5DCE0FD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1.03(0.97-1.09)</w:t>
                  </w:r>
                </w:p>
              </w:tc>
              <w:tc>
                <w:tcPr>
                  <w:tcW w:w="383" w:type="pct"/>
                  <w:tcBorders>
                    <w:tl2br w:val="nil"/>
                    <w:tr2bl w:val="nil"/>
                  </w:tcBorders>
                  <w:shd w:val="clear" w:color="auto" w:fill="auto"/>
                  <w:vAlign w:val="center"/>
                </w:tcPr>
                <w:p w14:paraId="45436F1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0.29</w:t>
                  </w:r>
                </w:p>
              </w:tc>
              <w:tc>
                <w:tcPr>
                  <w:tcW w:w="419" w:type="pct"/>
                  <w:tcBorders>
                    <w:tl2br w:val="nil"/>
                    <w:tr2bl w:val="nil"/>
                  </w:tcBorders>
                  <w:shd w:val="clear" w:color="auto" w:fill="auto"/>
                  <w:vAlign w:val="center"/>
                </w:tcPr>
                <w:p w14:paraId="4709D571"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5F4E3534"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3" w:type="pct"/>
                  <w:tcBorders>
                    <w:tl2br w:val="nil"/>
                    <w:tr2bl w:val="nil"/>
                  </w:tcBorders>
                  <w:shd w:val="clear" w:color="auto" w:fill="auto"/>
                  <w:vAlign w:val="center"/>
                </w:tcPr>
                <w:p w14:paraId="565BEDF9"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511" w:type="pct"/>
                  <w:tcBorders>
                    <w:tl2br w:val="nil"/>
                    <w:tr2bl w:val="nil"/>
                  </w:tcBorders>
                  <w:shd w:val="clear" w:color="auto" w:fill="auto"/>
                  <w:vAlign w:val="center"/>
                </w:tcPr>
                <w:p w14:paraId="1FC53A62"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6C5D7BAB"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0367406B" w14:textId="77777777" w:rsidTr="006540D7">
              <w:trPr>
                <w:trHeight w:val="56"/>
              </w:trPr>
              <w:tc>
                <w:tcPr>
                  <w:tcW w:w="511" w:type="pct"/>
                  <w:tcBorders>
                    <w:tl2br w:val="nil"/>
                    <w:tr2bl w:val="nil"/>
                  </w:tcBorders>
                  <w:shd w:val="clear" w:color="auto" w:fill="auto"/>
                  <w:vAlign w:val="center"/>
                </w:tcPr>
                <w:p w14:paraId="10C5A41C"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09357694"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6312CC47"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6333A8B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ML</w:t>
                  </w:r>
                </w:p>
              </w:tc>
              <w:tc>
                <w:tcPr>
                  <w:tcW w:w="571" w:type="pct"/>
                  <w:tcBorders>
                    <w:tl2br w:val="nil"/>
                    <w:tr2bl w:val="nil"/>
                  </w:tcBorders>
                  <w:shd w:val="clear" w:color="auto" w:fill="auto"/>
                  <w:vAlign w:val="center"/>
                </w:tcPr>
                <w:p w14:paraId="4FDB738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1.04(1.02-1.05)</w:t>
                  </w:r>
                </w:p>
              </w:tc>
              <w:tc>
                <w:tcPr>
                  <w:tcW w:w="383" w:type="pct"/>
                  <w:tcBorders>
                    <w:tl2br w:val="nil"/>
                    <w:tr2bl w:val="nil"/>
                  </w:tcBorders>
                  <w:shd w:val="clear" w:color="auto" w:fill="auto"/>
                  <w:vAlign w:val="center"/>
                </w:tcPr>
                <w:p w14:paraId="30EBEB1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2.23E-07</w:t>
                  </w:r>
                </w:p>
              </w:tc>
              <w:tc>
                <w:tcPr>
                  <w:tcW w:w="419" w:type="pct"/>
                  <w:tcBorders>
                    <w:tl2br w:val="nil"/>
                    <w:tr2bl w:val="nil"/>
                  </w:tcBorders>
                  <w:shd w:val="clear" w:color="auto" w:fill="auto"/>
                  <w:vAlign w:val="center"/>
                </w:tcPr>
                <w:p w14:paraId="65A6C485"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49CE0320" w14:textId="77777777" w:rsidR="006540D7" w:rsidRPr="000D77E3" w:rsidRDefault="006540D7" w:rsidP="006540D7">
                  <w:pPr>
                    <w:jc w:val="center"/>
                    <w:rPr>
                      <w:rFonts w:ascii="Times New Roman" w:eastAsia="等线" w:hAnsi="Times New Roman" w:cs="Times New Roman"/>
                      <w:color w:val="000000"/>
                      <w:sz w:val="13"/>
                      <w:szCs w:val="13"/>
                    </w:rPr>
                  </w:pPr>
                </w:p>
              </w:tc>
              <w:tc>
                <w:tcPr>
                  <w:tcW w:w="383" w:type="pct"/>
                  <w:tcBorders>
                    <w:tl2br w:val="nil"/>
                    <w:tr2bl w:val="nil"/>
                  </w:tcBorders>
                  <w:shd w:val="clear" w:color="auto" w:fill="auto"/>
                  <w:vAlign w:val="center"/>
                </w:tcPr>
                <w:p w14:paraId="7F5AB02C" w14:textId="77777777" w:rsidR="006540D7" w:rsidRPr="000D77E3" w:rsidRDefault="006540D7" w:rsidP="006540D7">
                  <w:pPr>
                    <w:jc w:val="center"/>
                    <w:rPr>
                      <w:rFonts w:ascii="Times New Roman" w:eastAsia="等线" w:hAnsi="Times New Roman" w:cs="Times New Roman"/>
                      <w:color w:val="000000"/>
                      <w:sz w:val="13"/>
                      <w:szCs w:val="13"/>
                    </w:rPr>
                  </w:pPr>
                </w:p>
              </w:tc>
              <w:tc>
                <w:tcPr>
                  <w:tcW w:w="511" w:type="pct"/>
                  <w:tcBorders>
                    <w:tl2br w:val="nil"/>
                    <w:tr2bl w:val="nil"/>
                  </w:tcBorders>
                  <w:shd w:val="clear" w:color="auto" w:fill="auto"/>
                  <w:vAlign w:val="center"/>
                </w:tcPr>
                <w:p w14:paraId="5525881C"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1BE38B64"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121D1F05" w14:textId="77777777" w:rsidTr="006540D7">
              <w:trPr>
                <w:trHeight w:val="56"/>
              </w:trPr>
              <w:tc>
                <w:tcPr>
                  <w:tcW w:w="511" w:type="pct"/>
                  <w:tcBorders>
                    <w:tl2br w:val="nil"/>
                    <w:tr2bl w:val="nil"/>
                  </w:tcBorders>
                  <w:shd w:val="clear" w:color="auto" w:fill="auto"/>
                  <w:vAlign w:val="center"/>
                </w:tcPr>
                <w:p w14:paraId="2B1EE81E"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UC</w:t>
                  </w:r>
                </w:p>
              </w:tc>
              <w:tc>
                <w:tcPr>
                  <w:tcW w:w="643" w:type="pct"/>
                  <w:tcBorders>
                    <w:tl2br w:val="nil"/>
                    <w:tr2bl w:val="nil"/>
                  </w:tcBorders>
                  <w:shd w:val="clear" w:color="auto" w:fill="auto"/>
                  <w:vAlign w:val="center"/>
                </w:tcPr>
                <w:p w14:paraId="5BBB96EC"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Conjunctivitis</w:t>
                  </w:r>
                </w:p>
              </w:tc>
              <w:tc>
                <w:tcPr>
                  <w:tcW w:w="386" w:type="pct"/>
                  <w:tcBorders>
                    <w:tl2br w:val="nil"/>
                    <w:tr2bl w:val="nil"/>
                  </w:tcBorders>
                  <w:shd w:val="clear" w:color="auto" w:fill="auto"/>
                  <w:vAlign w:val="center"/>
                </w:tcPr>
                <w:p w14:paraId="4699B546"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47</w:t>
                  </w:r>
                </w:p>
              </w:tc>
              <w:tc>
                <w:tcPr>
                  <w:tcW w:w="419" w:type="pct"/>
                  <w:tcBorders>
                    <w:tl2br w:val="nil"/>
                    <w:tr2bl w:val="nil"/>
                  </w:tcBorders>
                  <w:shd w:val="clear" w:color="auto" w:fill="auto"/>
                  <w:vAlign w:val="center"/>
                </w:tcPr>
                <w:p w14:paraId="11CC1A9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 (</w:t>
                  </w:r>
                  <w:proofErr w:type="spellStart"/>
                  <w:r w:rsidRPr="000D77E3">
                    <w:rPr>
                      <w:rFonts w:ascii="Times New Roman" w:eastAsia="等线" w:hAnsi="Times New Roman" w:cs="Times New Roman"/>
                      <w:color w:val="000000"/>
                      <w:sz w:val="13"/>
                      <w:szCs w:val="13"/>
                      <w:lang w:bidi="ar"/>
                    </w:rPr>
                    <w:t>mre</w:t>
                  </w:r>
                  <w:proofErr w:type="spellEnd"/>
                  <w:r w:rsidRPr="000D77E3">
                    <w:rPr>
                      <w:rFonts w:ascii="Times New Roman" w:eastAsia="等线" w:hAnsi="Times New Roman" w:cs="Times New Roman"/>
                      <w:color w:val="000000"/>
                      <w:sz w:val="13"/>
                      <w:szCs w:val="13"/>
                      <w:lang w:bidi="ar"/>
                    </w:rPr>
                    <w:t>)</w:t>
                  </w:r>
                </w:p>
              </w:tc>
              <w:tc>
                <w:tcPr>
                  <w:tcW w:w="571" w:type="pct"/>
                  <w:tcBorders>
                    <w:tl2br w:val="nil"/>
                    <w:tr2bl w:val="nil"/>
                  </w:tcBorders>
                  <w:shd w:val="clear" w:color="auto" w:fill="auto"/>
                  <w:vAlign w:val="center"/>
                </w:tcPr>
                <w:p w14:paraId="5E24FCBA"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1.03(1.00-1.06)</w:t>
                  </w:r>
                </w:p>
              </w:tc>
              <w:tc>
                <w:tcPr>
                  <w:tcW w:w="383" w:type="pct"/>
                  <w:tcBorders>
                    <w:tl2br w:val="nil"/>
                    <w:tr2bl w:val="nil"/>
                  </w:tcBorders>
                  <w:shd w:val="clear" w:color="auto" w:fill="auto"/>
                  <w:vAlign w:val="center"/>
                </w:tcPr>
                <w:p w14:paraId="4C005EA9"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0.03</w:t>
                  </w:r>
                </w:p>
              </w:tc>
              <w:tc>
                <w:tcPr>
                  <w:tcW w:w="419" w:type="pct"/>
                  <w:tcBorders>
                    <w:tl2br w:val="nil"/>
                    <w:tr2bl w:val="nil"/>
                  </w:tcBorders>
                  <w:shd w:val="clear" w:color="auto" w:fill="auto"/>
                  <w:vAlign w:val="center"/>
                </w:tcPr>
                <w:p w14:paraId="453C533C"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387" w:type="pct"/>
                  <w:tcBorders>
                    <w:tl2br w:val="nil"/>
                    <w:tr2bl w:val="nil"/>
                  </w:tcBorders>
                  <w:shd w:val="clear" w:color="auto" w:fill="auto"/>
                  <w:vAlign w:val="center"/>
                </w:tcPr>
                <w:p w14:paraId="3651F678"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97.43</w:t>
                  </w:r>
                </w:p>
              </w:tc>
              <w:tc>
                <w:tcPr>
                  <w:tcW w:w="383" w:type="pct"/>
                  <w:tcBorders>
                    <w:tl2br w:val="nil"/>
                    <w:tr2bl w:val="nil"/>
                  </w:tcBorders>
                  <w:shd w:val="clear" w:color="auto" w:fill="auto"/>
                  <w:vAlign w:val="center"/>
                </w:tcPr>
                <w:p w14:paraId="016932FD"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9.83E-06</w:t>
                  </w:r>
                </w:p>
              </w:tc>
              <w:tc>
                <w:tcPr>
                  <w:tcW w:w="511" w:type="pct"/>
                  <w:tcBorders>
                    <w:tl2br w:val="nil"/>
                    <w:tr2bl w:val="nil"/>
                  </w:tcBorders>
                  <w:shd w:val="clear" w:color="auto" w:fill="auto"/>
                  <w:vAlign w:val="center"/>
                </w:tcPr>
                <w:p w14:paraId="3BD5BBC6"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0.74</w:t>
                  </w:r>
                </w:p>
              </w:tc>
              <w:tc>
                <w:tcPr>
                  <w:tcW w:w="387" w:type="pct"/>
                  <w:tcBorders>
                    <w:tl2br w:val="nil"/>
                    <w:tr2bl w:val="nil"/>
                  </w:tcBorders>
                  <w:shd w:val="clear" w:color="auto" w:fill="auto"/>
                  <w:vAlign w:val="center"/>
                </w:tcPr>
                <w:p w14:paraId="119166B0"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30.47-186.78</w:t>
                  </w:r>
                </w:p>
              </w:tc>
            </w:tr>
            <w:tr w:rsidR="006540D7" w:rsidRPr="000D77E3" w14:paraId="278C4000" w14:textId="77777777" w:rsidTr="006540D7">
              <w:trPr>
                <w:trHeight w:val="56"/>
              </w:trPr>
              <w:tc>
                <w:tcPr>
                  <w:tcW w:w="511" w:type="pct"/>
                  <w:tcBorders>
                    <w:tl2br w:val="nil"/>
                    <w:tr2bl w:val="nil"/>
                  </w:tcBorders>
                  <w:shd w:val="clear" w:color="auto" w:fill="auto"/>
                  <w:vAlign w:val="center"/>
                </w:tcPr>
                <w:p w14:paraId="023BB552"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47A7CE99"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0BADAC30"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20B3676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WM</w:t>
                  </w:r>
                </w:p>
              </w:tc>
              <w:tc>
                <w:tcPr>
                  <w:tcW w:w="571" w:type="pct"/>
                  <w:tcBorders>
                    <w:tl2br w:val="nil"/>
                    <w:tr2bl w:val="nil"/>
                  </w:tcBorders>
                  <w:shd w:val="clear" w:color="auto" w:fill="auto"/>
                  <w:vAlign w:val="center"/>
                </w:tcPr>
                <w:p w14:paraId="1D93D76E"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1.04(1.00-1.07)</w:t>
                  </w:r>
                </w:p>
              </w:tc>
              <w:tc>
                <w:tcPr>
                  <w:tcW w:w="383" w:type="pct"/>
                  <w:tcBorders>
                    <w:tl2br w:val="nil"/>
                    <w:tr2bl w:val="nil"/>
                  </w:tcBorders>
                  <w:shd w:val="clear" w:color="auto" w:fill="auto"/>
                </w:tcPr>
                <w:p w14:paraId="4BBC631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0.02</w:t>
                  </w:r>
                </w:p>
              </w:tc>
              <w:tc>
                <w:tcPr>
                  <w:tcW w:w="419" w:type="pct"/>
                  <w:tcBorders>
                    <w:tl2br w:val="nil"/>
                    <w:tr2bl w:val="nil"/>
                  </w:tcBorders>
                  <w:shd w:val="clear" w:color="auto" w:fill="auto"/>
                  <w:vAlign w:val="center"/>
                </w:tcPr>
                <w:p w14:paraId="153231D0"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w:t>
                  </w:r>
                </w:p>
              </w:tc>
              <w:tc>
                <w:tcPr>
                  <w:tcW w:w="387" w:type="pct"/>
                  <w:tcBorders>
                    <w:tl2br w:val="nil"/>
                    <w:tr2bl w:val="nil"/>
                  </w:tcBorders>
                  <w:shd w:val="clear" w:color="auto" w:fill="auto"/>
                  <w:vAlign w:val="center"/>
                </w:tcPr>
                <w:p w14:paraId="41ADC4D7"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97.67</w:t>
                  </w:r>
                </w:p>
              </w:tc>
              <w:tc>
                <w:tcPr>
                  <w:tcW w:w="383" w:type="pct"/>
                  <w:tcBorders>
                    <w:tl2br w:val="nil"/>
                    <w:tr2bl w:val="nil"/>
                  </w:tcBorders>
                  <w:shd w:val="clear" w:color="auto" w:fill="auto"/>
                  <w:vAlign w:val="center"/>
                </w:tcPr>
                <w:p w14:paraId="4265427F" w14:textId="77777777" w:rsidR="006540D7" w:rsidRPr="000D77E3" w:rsidRDefault="006540D7" w:rsidP="006540D7">
                  <w:pPr>
                    <w:jc w:val="center"/>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1.38E-05</w:t>
                  </w:r>
                </w:p>
              </w:tc>
              <w:tc>
                <w:tcPr>
                  <w:tcW w:w="511" w:type="pct"/>
                  <w:tcBorders>
                    <w:tl2br w:val="nil"/>
                    <w:tr2bl w:val="nil"/>
                  </w:tcBorders>
                  <w:shd w:val="clear" w:color="auto" w:fill="auto"/>
                  <w:vAlign w:val="center"/>
                </w:tcPr>
                <w:p w14:paraId="41B4EC89"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54E31AE9"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1D24EA95" w14:textId="77777777" w:rsidTr="006540D7">
              <w:trPr>
                <w:trHeight w:val="56"/>
              </w:trPr>
              <w:tc>
                <w:tcPr>
                  <w:tcW w:w="511" w:type="pct"/>
                  <w:tcBorders>
                    <w:tl2br w:val="nil"/>
                    <w:tr2bl w:val="nil"/>
                  </w:tcBorders>
                  <w:shd w:val="clear" w:color="auto" w:fill="auto"/>
                  <w:vAlign w:val="center"/>
                </w:tcPr>
                <w:p w14:paraId="4A80144B"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2E976859"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018AF5C7"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4B0385CB"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571" w:type="pct"/>
                  <w:tcBorders>
                    <w:tl2br w:val="nil"/>
                    <w:tr2bl w:val="nil"/>
                  </w:tcBorders>
                  <w:shd w:val="clear" w:color="auto" w:fill="auto"/>
                  <w:vAlign w:val="center"/>
                </w:tcPr>
                <w:p w14:paraId="6130A6EB" w14:textId="77777777" w:rsidR="006540D7" w:rsidRPr="000D77E3" w:rsidRDefault="006540D7" w:rsidP="006540D7">
                  <w:pPr>
                    <w:jc w:val="center"/>
                    <w:textAlignment w:val="top"/>
                    <w:rPr>
                      <w:rFonts w:ascii="Times New Roman" w:eastAsia="等线" w:hAnsi="Times New Roman" w:cs="Times New Roman"/>
                      <w:color w:val="000000"/>
                      <w:sz w:val="13"/>
                      <w:szCs w:val="13"/>
                    </w:rPr>
                  </w:pPr>
                  <w:bookmarkStart w:id="2" w:name="_Hlk127479950"/>
                  <w:r w:rsidRPr="000D77E3">
                    <w:rPr>
                      <w:rFonts w:ascii="Times New Roman" w:eastAsia="等线" w:hAnsi="Times New Roman" w:cs="Times New Roman"/>
                      <w:color w:val="000000"/>
                      <w:sz w:val="13"/>
                      <w:szCs w:val="13"/>
                      <w:lang w:bidi="ar"/>
                    </w:rPr>
                    <w:t>1.02(0.92-1.11)</w:t>
                  </w:r>
                  <w:bookmarkEnd w:id="2"/>
                </w:p>
              </w:tc>
              <w:tc>
                <w:tcPr>
                  <w:tcW w:w="383" w:type="pct"/>
                  <w:tcBorders>
                    <w:tl2br w:val="nil"/>
                    <w:tr2bl w:val="nil"/>
                  </w:tcBorders>
                  <w:shd w:val="clear" w:color="auto" w:fill="auto"/>
                </w:tcPr>
                <w:p w14:paraId="2280797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0.04</w:t>
                  </w:r>
                </w:p>
              </w:tc>
              <w:tc>
                <w:tcPr>
                  <w:tcW w:w="419" w:type="pct"/>
                  <w:tcBorders>
                    <w:tl2br w:val="nil"/>
                    <w:tr2bl w:val="nil"/>
                  </w:tcBorders>
                  <w:shd w:val="clear" w:color="auto" w:fill="auto"/>
                  <w:vAlign w:val="center"/>
                </w:tcPr>
                <w:p w14:paraId="35BF7F07"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0E78F202"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3" w:type="pct"/>
                  <w:tcBorders>
                    <w:tl2br w:val="nil"/>
                    <w:tr2bl w:val="nil"/>
                  </w:tcBorders>
                  <w:shd w:val="clear" w:color="auto" w:fill="auto"/>
                  <w:vAlign w:val="center"/>
                </w:tcPr>
                <w:p w14:paraId="50E8EE9F"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511" w:type="pct"/>
                  <w:tcBorders>
                    <w:tl2br w:val="nil"/>
                    <w:tr2bl w:val="nil"/>
                  </w:tcBorders>
                  <w:shd w:val="clear" w:color="auto" w:fill="auto"/>
                  <w:vAlign w:val="center"/>
                </w:tcPr>
                <w:p w14:paraId="131736EF"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7CA33B3F"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r>
            <w:tr w:rsidR="006540D7" w:rsidRPr="000D77E3" w14:paraId="4EB69B49" w14:textId="77777777" w:rsidTr="006540D7">
              <w:trPr>
                <w:trHeight w:val="56"/>
              </w:trPr>
              <w:tc>
                <w:tcPr>
                  <w:tcW w:w="511" w:type="pct"/>
                  <w:tcBorders>
                    <w:tl2br w:val="nil"/>
                    <w:tr2bl w:val="nil"/>
                  </w:tcBorders>
                  <w:shd w:val="clear" w:color="auto" w:fill="auto"/>
                  <w:vAlign w:val="center"/>
                </w:tcPr>
                <w:p w14:paraId="2C481200" w14:textId="77777777" w:rsidR="006540D7" w:rsidRPr="000D77E3" w:rsidRDefault="006540D7" w:rsidP="006540D7">
                  <w:pPr>
                    <w:jc w:val="center"/>
                    <w:rPr>
                      <w:rFonts w:ascii="Times New Roman" w:eastAsia="等线" w:hAnsi="Times New Roman" w:cs="Times New Roman"/>
                      <w:color w:val="000000"/>
                      <w:sz w:val="13"/>
                      <w:szCs w:val="13"/>
                    </w:rPr>
                  </w:pPr>
                </w:p>
              </w:tc>
              <w:tc>
                <w:tcPr>
                  <w:tcW w:w="643" w:type="pct"/>
                  <w:tcBorders>
                    <w:tl2br w:val="nil"/>
                    <w:tr2bl w:val="nil"/>
                  </w:tcBorders>
                  <w:shd w:val="clear" w:color="auto" w:fill="auto"/>
                  <w:vAlign w:val="center"/>
                </w:tcPr>
                <w:p w14:paraId="63E7427E" w14:textId="77777777" w:rsidR="006540D7" w:rsidRPr="000D77E3" w:rsidRDefault="006540D7" w:rsidP="006540D7">
                  <w:pPr>
                    <w:jc w:val="center"/>
                    <w:rPr>
                      <w:rFonts w:ascii="Times New Roman" w:eastAsia="等线" w:hAnsi="Times New Roman" w:cs="Times New Roman"/>
                      <w:color w:val="000000"/>
                      <w:sz w:val="13"/>
                      <w:szCs w:val="13"/>
                    </w:rPr>
                  </w:pPr>
                </w:p>
              </w:tc>
              <w:tc>
                <w:tcPr>
                  <w:tcW w:w="386" w:type="pct"/>
                  <w:tcBorders>
                    <w:tl2br w:val="nil"/>
                    <w:tr2bl w:val="nil"/>
                  </w:tcBorders>
                  <w:shd w:val="clear" w:color="auto" w:fill="auto"/>
                  <w:vAlign w:val="center"/>
                </w:tcPr>
                <w:p w14:paraId="39EEDA54" w14:textId="77777777" w:rsidR="006540D7" w:rsidRPr="000D77E3" w:rsidRDefault="006540D7" w:rsidP="006540D7">
                  <w:pPr>
                    <w:jc w:val="center"/>
                    <w:rPr>
                      <w:rFonts w:ascii="Times New Roman" w:eastAsia="等线" w:hAnsi="Times New Roman" w:cs="Times New Roman"/>
                      <w:color w:val="000000"/>
                      <w:sz w:val="13"/>
                      <w:szCs w:val="13"/>
                    </w:rPr>
                  </w:pPr>
                </w:p>
              </w:tc>
              <w:tc>
                <w:tcPr>
                  <w:tcW w:w="419" w:type="pct"/>
                  <w:tcBorders>
                    <w:tl2br w:val="nil"/>
                    <w:tr2bl w:val="nil"/>
                  </w:tcBorders>
                  <w:shd w:val="clear" w:color="auto" w:fill="auto"/>
                  <w:vAlign w:val="center"/>
                </w:tcPr>
                <w:p w14:paraId="1B3A9A5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ML</w:t>
                  </w:r>
                </w:p>
              </w:tc>
              <w:tc>
                <w:tcPr>
                  <w:tcW w:w="571" w:type="pct"/>
                  <w:tcBorders>
                    <w:tl2br w:val="nil"/>
                    <w:tr2bl w:val="nil"/>
                  </w:tcBorders>
                  <w:shd w:val="clear" w:color="auto" w:fill="auto"/>
                  <w:vAlign w:val="center"/>
                </w:tcPr>
                <w:p w14:paraId="323FBC9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1.03(1.01-1.05)</w:t>
                  </w:r>
                </w:p>
              </w:tc>
              <w:tc>
                <w:tcPr>
                  <w:tcW w:w="383" w:type="pct"/>
                  <w:tcBorders>
                    <w:tl2br w:val="nil"/>
                    <w:tr2bl w:val="nil"/>
                  </w:tcBorders>
                  <w:shd w:val="clear" w:color="auto" w:fill="auto"/>
                </w:tcPr>
                <w:p w14:paraId="5231F30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9.49E-03</w:t>
                  </w:r>
                </w:p>
              </w:tc>
              <w:tc>
                <w:tcPr>
                  <w:tcW w:w="419" w:type="pct"/>
                  <w:tcBorders>
                    <w:tl2br w:val="nil"/>
                    <w:tr2bl w:val="nil"/>
                  </w:tcBorders>
                  <w:shd w:val="clear" w:color="auto" w:fill="auto"/>
                  <w:vAlign w:val="center"/>
                </w:tcPr>
                <w:p w14:paraId="6144F9AE"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2E2B7382"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383" w:type="pct"/>
                  <w:tcBorders>
                    <w:tl2br w:val="nil"/>
                    <w:tr2bl w:val="nil"/>
                  </w:tcBorders>
                  <w:shd w:val="clear" w:color="auto" w:fill="auto"/>
                  <w:vAlign w:val="center"/>
                </w:tcPr>
                <w:p w14:paraId="53FB2043" w14:textId="77777777" w:rsidR="006540D7" w:rsidRPr="000D77E3" w:rsidRDefault="006540D7" w:rsidP="006540D7">
                  <w:pPr>
                    <w:jc w:val="center"/>
                    <w:textAlignment w:val="top"/>
                    <w:rPr>
                      <w:rFonts w:ascii="Times New Roman" w:eastAsia="等线" w:hAnsi="Times New Roman" w:cs="Times New Roman"/>
                      <w:color w:val="000000"/>
                      <w:sz w:val="13"/>
                      <w:szCs w:val="13"/>
                    </w:rPr>
                  </w:pPr>
                </w:p>
              </w:tc>
              <w:tc>
                <w:tcPr>
                  <w:tcW w:w="511" w:type="pct"/>
                  <w:tcBorders>
                    <w:tl2br w:val="nil"/>
                    <w:tr2bl w:val="nil"/>
                  </w:tcBorders>
                  <w:shd w:val="clear" w:color="auto" w:fill="auto"/>
                  <w:vAlign w:val="center"/>
                </w:tcPr>
                <w:p w14:paraId="6411829A" w14:textId="77777777" w:rsidR="006540D7" w:rsidRPr="000D77E3" w:rsidRDefault="006540D7" w:rsidP="006540D7">
                  <w:pPr>
                    <w:jc w:val="center"/>
                    <w:rPr>
                      <w:rFonts w:ascii="Times New Roman" w:eastAsia="等线" w:hAnsi="Times New Roman" w:cs="Times New Roman"/>
                      <w:color w:val="000000"/>
                      <w:sz w:val="13"/>
                      <w:szCs w:val="13"/>
                    </w:rPr>
                  </w:pPr>
                </w:p>
              </w:tc>
              <w:tc>
                <w:tcPr>
                  <w:tcW w:w="387" w:type="pct"/>
                  <w:tcBorders>
                    <w:tl2br w:val="nil"/>
                    <w:tr2bl w:val="nil"/>
                  </w:tcBorders>
                  <w:shd w:val="clear" w:color="auto" w:fill="auto"/>
                  <w:vAlign w:val="center"/>
                </w:tcPr>
                <w:p w14:paraId="0ECC4D1A" w14:textId="77777777" w:rsidR="006540D7" w:rsidRPr="000D77E3" w:rsidRDefault="006540D7" w:rsidP="006540D7">
                  <w:pPr>
                    <w:jc w:val="center"/>
                    <w:rPr>
                      <w:rFonts w:ascii="Times New Roman" w:eastAsia="等线" w:hAnsi="Times New Roman" w:cs="Times New Roman"/>
                      <w:color w:val="000000"/>
                      <w:sz w:val="13"/>
                      <w:szCs w:val="13"/>
                    </w:rPr>
                  </w:pPr>
                </w:p>
              </w:tc>
            </w:tr>
            <w:bookmarkEnd w:id="0"/>
          </w:tbl>
          <w:p w14:paraId="30D4EEDA" w14:textId="77777777" w:rsidR="006540D7" w:rsidRDefault="006540D7" w:rsidP="006540D7">
            <w:pPr>
              <w:spacing w:beforeLines="40" w:before="96" w:afterLines="40" w:after="96" w:line="24" w:lineRule="atLeast"/>
              <w:rPr>
                <w:rFonts w:eastAsia="宋体"/>
                <w:sz w:val="18"/>
                <w:szCs w:val="18"/>
                <w:lang w:val="en-US" w:eastAsia="zh-CN"/>
              </w:rPr>
            </w:pPr>
          </w:p>
          <w:tbl>
            <w:tblPr>
              <w:tblW w:w="7579" w:type="dxa"/>
              <w:tblBorders>
                <w:top w:val="single" w:sz="8" w:space="0" w:color="000000"/>
                <w:bottom w:val="single" w:sz="8" w:space="0" w:color="000000"/>
              </w:tblBorders>
              <w:tblLook w:val="04A0" w:firstRow="1" w:lastRow="0" w:firstColumn="1" w:lastColumn="0" w:noHBand="0" w:noVBand="1"/>
            </w:tblPr>
            <w:tblGrid>
              <w:gridCol w:w="1031"/>
              <w:gridCol w:w="806"/>
              <w:gridCol w:w="618"/>
              <w:gridCol w:w="673"/>
              <w:gridCol w:w="916"/>
              <w:gridCol w:w="481"/>
              <w:gridCol w:w="673"/>
              <w:gridCol w:w="481"/>
              <w:gridCol w:w="482"/>
              <w:gridCol w:w="822"/>
              <w:gridCol w:w="596"/>
            </w:tblGrid>
            <w:tr w:rsidR="006540D7" w:rsidRPr="000D77E3" w14:paraId="2E039407" w14:textId="77777777" w:rsidTr="006540D7">
              <w:trPr>
                <w:trHeight w:val="503"/>
              </w:trPr>
              <w:tc>
                <w:tcPr>
                  <w:tcW w:w="681" w:type="pct"/>
                  <w:vMerge w:val="restart"/>
                  <w:tcBorders>
                    <w:tl2br w:val="nil"/>
                    <w:tr2bl w:val="nil"/>
                  </w:tcBorders>
                  <w:shd w:val="clear" w:color="auto" w:fill="auto"/>
                  <w:vAlign w:val="center"/>
                </w:tcPr>
                <w:p w14:paraId="08C84565" w14:textId="77777777" w:rsidR="006540D7" w:rsidRPr="000D77E3" w:rsidRDefault="006540D7" w:rsidP="006540D7">
                  <w:pPr>
                    <w:jc w:val="center"/>
                    <w:textAlignment w:val="top"/>
                    <w:rPr>
                      <w:rFonts w:ascii="Times New Roman" w:eastAsia="等线" w:hAnsi="Times New Roman" w:cs="Times New Roman"/>
                      <w:color w:val="000000"/>
                      <w:sz w:val="13"/>
                      <w:szCs w:val="13"/>
                      <w:lang w:bidi="ar"/>
                    </w:rPr>
                  </w:pPr>
                  <w:bookmarkStart w:id="3" w:name="_Hlk127479545"/>
                  <w:r w:rsidRPr="000D77E3">
                    <w:rPr>
                      <w:rFonts w:ascii="Times New Roman" w:eastAsia="等线" w:hAnsi="Times New Roman" w:cs="Times New Roman"/>
                      <w:color w:val="000000"/>
                      <w:sz w:val="13"/>
                      <w:szCs w:val="13"/>
                      <w:lang w:bidi="ar"/>
                    </w:rPr>
                    <w:t>Exposures</w:t>
                  </w:r>
                </w:p>
              </w:tc>
              <w:tc>
                <w:tcPr>
                  <w:tcW w:w="532" w:type="pct"/>
                  <w:vMerge w:val="restart"/>
                  <w:tcBorders>
                    <w:tl2br w:val="nil"/>
                    <w:tr2bl w:val="nil"/>
                  </w:tcBorders>
                  <w:shd w:val="clear" w:color="auto" w:fill="auto"/>
                  <w:vAlign w:val="center"/>
                </w:tcPr>
                <w:p w14:paraId="061AF7CE"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Outcomes</w:t>
                  </w:r>
                </w:p>
              </w:tc>
              <w:tc>
                <w:tcPr>
                  <w:tcW w:w="408" w:type="pct"/>
                  <w:vMerge w:val="restart"/>
                  <w:tcBorders>
                    <w:tl2br w:val="nil"/>
                    <w:tr2bl w:val="nil"/>
                  </w:tcBorders>
                  <w:shd w:val="clear" w:color="auto" w:fill="auto"/>
                  <w:vAlign w:val="center"/>
                </w:tcPr>
                <w:p w14:paraId="53A15195" w14:textId="77777777" w:rsidR="006540D7" w:rsidRPr="000D77E3" w:rsidRDefault="006540D7" w:rsidP="006540D7">
                  <w:pPr>
                    <w:jc w:val="center"/>
                    <w:textAlignment w:val="top"/>
                    <w:rPr>
                      <w:rFonts w:ascii="Times New Roman" w:eastAsia="等线" w:hAnsi="Times New Roman" w:cs="Times New Roman"/>
                      <w:color w:val="000000"/>
                      <w:sz w:val="13"/>
                      <w:szCs w:val="13"/>
                    </w:rPr>
                  </w:pPr>
                  <w:proofErr w:type="spellStart"/>
                  <w:r w:rsidRPr="000D77E3">
                    <w:rPr>
                      <w:rFonts w:ascii="Times New Roman" w:eastAsia="等线" w:hAnsi="Times New Roman" w:cs="Times New Roman"/>
                      <w:color w:val="000000"/>
                      <w:sz w:val="13"/>
                      <w:szCs w:val="13"/>
                      <w:lang w:bidi="ar"/>
                    </w:rPr>
                    <w:t>nSNPs</w:t>
                  </w:r>
                  <w:proofErr w:type="spellEnd"/>
                </w:p>
              </w:tc>
              <w:tc>
                <w:tcPr>
                  <w:tcW w:w="444" w:type="pct"/>
                  <w:vMerge w:val="restart"/>
                  <w:tcBorders>
                    <w:tl2br w:val="nil"/>
                    <w:tr2bl w:val="nil"/>
                  </w:tcBorders>
                  <w:shd w:val="clear" w:color="auto" w:fill="auto"/>
                  <w:vAlign w:val="center"/>
                </w:tcPr>
                <w:p w14:paraId="6EC3A05C"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Method</w:t>
                  </w:r>
                </w:p>
              </w:tc>
              <w:tc>
                <w:tcPr>
                  <w:tcW w:w="604" w:type="pct"/>
                  <w:vMerge w:val="restart"/>
                  <w:tcBorders>
                    <w:tl2br w:val="nil"/>
                    <w:tr2bl w:val="nil"/>
                  </w:tcBorders>
                  <w:shd w:val="clear" w:color="auto" w:fill="auto"/>
                  <w:vAlign w:val="center"/>
                </w:tcPr>
                <w:p w14:paraId="61EBE474" w14:textId="77777777" w:rsidR="006540D7" w:rsidRPr="000D77E3" w:rsidRDefault="006540D7" w:rsidP="006540D7">
                  <w:pPr>
                    <w:ind w:firstLineChars="100" w:firstLine="130"/>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OR</w:t>
                  </w:r>
                  <w:r w:rsidRPr="000D77E3">
                    <w:rPr>
                      <w:rFonts w:ascii="Times New Roman" w:eastAsia="等线" w:hAnsi="Times New Roman" w:cs="Times New Roman"/>
                      <w:color w:val="000000"/>
                      <w:sz w:val="13"/>
                      <w:szCs w:val="13"/>
                      <w:lang w:bidi="ar"/>
                    </w:rPr>
                    <w:t>（</w:t>
                  </w:r>
                  <w:r w:rsidRPr="000D77E3">
                    <w:rPr>
                      <w:rFonts w:ascii="Times New Roman" w:eastAsia="等线" w:hAnsi="Times New Roman" w:cs="Times New Roman"/>
                      <w:color w:val="000000"/>
                      <w:sz w:val="13"/>
                      <w:szCs w:val="13"/>
                      <w:lang w:bidi="ar"/>
                    </w:rPr>
                    <w:t>95%CI</w:t>
                  </w:r>
                  <w:r w:rsidRPr="000D77E3">
                    <w:rPr>
                      <w:rFonts w:ascii="Times New Roman" w:eastAsia="等线" w:hAnsi="Times New Roman" w:cs="Times New Roman"/>
                      <w:color w:val="000000"/>
                      <w:sz w:val="13"/>
                      <w:szCs w:val="13"/>
                      <w:lang w:bidi="ar"/>
                    </w:rPr>
                    <w:t>）</w:t>
                  </w:r>
                </w:p>
              </w:tc>
              <w:tc>
                <w:tcPr>
                  <w:tcW w:w="317" w:type="pct"/>
                  <w:vMerge w:val="restart"/>
                  <w:tcBorders>
                    <w:tl2br w:val="nil"/>
                    <w:tr2bl w:val="nil"/>
                  </w:tcBorders>
                  <w:shd w:val="clear" w:color="auto" w:fill="auto"/>
                  <w:vAlign w:val="center"/>
                </w:tcPr>
                <w:p w14:paraId="31A819D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P</w:t>
                  </w:r>
                </w:p>
              </w:tc>
              <w:tc>
                <w:tcPr>
                  <w:tcW w:w="1079" w:type="pct"/>
                  <w:gridSpan w:val="3"/>
                  <w:tcBorders>
                    <w:bottom w:val="single" w:sz="8" w:space="0" w:color="000000"/>
                  </w:tcBorders>
                  <w:shd w:val="clear" w:color="auto" w:fill="auto"/>
                  <w:vAlign w:val="center"/>
                </w:tcPr>
                <w:p w14:paraId="18F550CA"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Heterogeneity</w:t>
                  </w:r>
                  <w:r w:rsidRPr="000D77E3">
                    <w:rPr>
                      <w:rStyle w:val="font11"/>
                      <w:rFonts w:ascii="Times New Roman" w:hAnsi="Times New Roman" w:cs="Times New Roman" w:hint="default"/>
                      <w:sz w:val="13"/>
                      <w:szCs w:val="13"/>
                      <w:lang w:bidi="ar"/>
                    </w:rPr>
                    <w:t xml:space="preserve"> test</w:t>
                  </w:r>
                </w:p>
              </w:tc>
              <w:tc>
                <w:tcPr>
                  <w:tcW w:w="542" w:type="pct"/>
                  <w:tcBorders>
                    <w:bottom w:val="single" w:sz="8" w:space="0" w:color="000000"/>
                  </w:tcBorders>
                  <w:shd w:val="clear" w:color="auto" w:fill="auto"/>
                  <w:vAlign w:val="center"/>
                </w:tcPr>
                <w:p w14:paraId="16290185" w14:textId="77777777" w:rsidR="006540D7" w:rsidRPr="000D77E3" w:rsidRDefault="006540D7" w:rsidP="006540D7">
                  <w:pPr>
                    <w:jc w:val="center"/>
                    <w:textAlignment w:val="top"/>
                    <w:rPr>
                      <w:rFonts w:ascii="Times New Roman" w:eastAsia="等线" w:hAnsi="Times New Roman" w:cs="Times New Roman"/>
                      <w:color w:val="000000"/>
                      <w:sz w:val="13"/>
                      <w:szCs w:val="13"/>
                      <w:lang w:bidi="ar"/>
                    </w:rPr>
                  </w:pPr>
                  <w:r w:rsidRPr="000D77E3">
                    <w:rPr>
                      <w:rFonts w:ascii="Times New Roman" w:eastAsia="等线" w:hAnsi="Times New Roman" w:cs="Times New Roman"/>
                      <w:color w:val="000000"/>
                      <w:sz w:val="13"/>
                      <w:szCs w:val="13"/>
                      <w:lang w:bidi="ar"/>
                    </w:rPr>
                    <w:t>Pleiotropy</w:t>
                  </w:r>
                </w:p>
                <w:p w14:paraId="3E2BFE4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test</w:t>
                  </w:r>
                </w:p>
              </w:tc>
              <w:tc>
                <w:tcPr>
                  <w:tcW w:w="395" w:type="pct"/>
                  <w:vMerge w:val="restart"/>
                  <w:tcBorders>
                    <w:tl2br w:val="nil"/>
                    <w:tr2bl w:val="nil"/>
                  </w:tcBorders>
                  <w:shd w:val="clear" w:color="auto" w:fill="auto"/>
                  <w:vAlign w:val="center"/>
                </w:tcPr>
                <w:p w14:paraId="38C66453"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F</w:t>
                  </w:r>
                </w:p>
              </w:tc>
            </w:tr>
            <w:tr w:rsidR="006540D7" w:rsidRPr="000D77E3" w14:paraId="218482F9" w14:textId="77777777" w:rsidTr="006540D7">
              <w:trPr>
                <w:trHeight w:val="71"/>
              </w:trPr>
              <w:tc>
                <w:tcPr>
                  <w:tcW w:w="681" w:type="pct"/>
                  <w:vMerge/>
                  <w:tcBorders>
                    <w:bottom w:val="single" w:sz="4" w:space="0" w:color="auto"/>
                    <w:tl2br w:val="nil"/>
                    <w:tr2bl w:val="nil"/>
                  </w:tcBorders>
                  <w:shd w:val="clear" w:color="auto" w:fill="auto"/>
                  <w:vAlign w:val="center"/>
                </w:tcPr>
                <w:p w14:paraId="5A529C25"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vMerge/>
                  <w:tcBorders>
                    <w:bottom w:val="single" w:sz="4" w:space="0" w:color="auto"/>
                    <w:tl2br w:val="nil"/>
                    <w:tr2bl w:val="nil"/>
                  </w:tcBorders>
                  <w:shd w:val="clear" w:color="auto" w:fill="auto"/>
                  <w:vAlign w:val="center"/>
                </w:tcPr>
                <w:p w14:paraId="2E3D1BD9"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vMerge/>
                  <w:tcBorders>
                    <w:bottom w:val="single" w:sz="4" w:space="0" w:color="auto"/>
                    <w:tl2br w:val="nil"/>
                    <w:tr2bl w:val="nil"/>
                  </w:tcBorders>
                  <w:shd w:val="clear" w:color="auto" w:fill="auto"/>
                  <w:vAlign w:val="center"/>
                </w:tcPr>
                <w:p w14:paraId="79621697"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vMerge/>
                  <w:tcBorders>
                    <w:bottom w:val="single" w:sz="4" w:space="0" w:color="auto"/>
                    <w:tl2br w:val="nil"/>
                    <w:tr2bl w:val="nil"/>
                  </w:tcBorders>
                  <w:shd w:val="clear" w:color="auto" w:fill="auto"/>
                  <w:vAlign w:val="center"/>
                </w:tcPr>
                <w:p w14:paraId="430998FD" w14:textId="77777777" w:rsidR="006540D7" w:rsidRPr="000D77E3" w:rsidRDefault="006540D7" w:rsidP="006540D7">
                  <w:pPr>
                    <w:jc w:val="center"/>
                    <w:rPr>
                      <w:rFonts w:ascii="Times New Roman" w:eastAsia="等线" w:hAnsi="Times New Roman" w:cs="Times New Roman"/>
                      <w:color w:val="000000"/>
                      <w:sz w:val="13"/>
                      <w:szCs w:val="13"/>
                    </w:rPr>
                  </w:pPr>
                </w:p>
              </w:tc>
              <w:tc>
                <w:tcPr>
                  <w:tcW w:w="604" w:type="pct"/>
                  <w:vMerge/>
                  <w:tcBorders>
                    <w:bottom w:val="single" w:sz="4" w:space="0" w:color="auto"/>
                    <w:tl2br w:val="nil"/>
                    <w:tr2bl w:val="nil"/>
                  </w:tcBorders>
                  <w:shd w:val="clear" w:color="auto" w:fill="auto"/>
                  <w:vAlign w:val="center"/>
                </w:tcPr>
                <w:p w14:paraId="623EFEBF"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vMerge/>
                  <w:tcBorders>
                    <w:bottom w:val="single" w:sz="4" w:space="0" w:color="auto"/>
                    <w:tl2br w:val="nil"/>
                    <w:tr2bl w:val="nil"/>
                  </w:tcBorders>
                  <w:shd w:val="clear" w:color="auto" w:fill="auto"/>
                  <w:vAlign w:val="center"/>
                </w:tcPr>
                <w:p w14:paraId="25BFC140"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op w:val="single" w:sz="8" w:space="0" w:color="000000"/>
                    <w:bottom w:val="single" w:sz="4" w:space="0" w:color="auto"/>
                    <w:tl2br w:val="nil"/>
                    <w:tr2bl w:val="nil"/>
                  </w:tcBorders>
                  <w:shd w:val="clear" w:color="auto" w:fill="auto"/>
                  <w:vAlign w:val="center"/>
                </w:tcPr>
                <w:p w14:paraId="4865824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Method</w:t>
                  </w:r>
                </w:p>
              </w:tc>
              <w:tc>
                <w:tcPr>
                  <w:tcW w:w="317" w:type="pct"/>
                  <w:tcBorders>
                    <w:top w:val="single" w:sz="8" w:space="0" w:color="000000"/>
                    <w:bottom w:val="single" w:sz="4" w:space="0" w:color="auto"/>
                    <w:tl2br w:val="nil"/>
                    <w:tr2bl w:val="nil"/>
                  </w:tcBorders>
                  <w:shd w:val="clear" w:color="auto" w:fill="auto"/>
                  <w:vAlign w:val="center"/>
                </w:tcPr>
                <w:p w14:paraId="7942AE7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Q</w:t>
                  </w:r>
                </w:p>
              </w:tc>
              <w:tc>
                <w:tcPr>
                  <w:tcW w:w="317" w:type="pct"/>
                  <w:tcBorders>
                    <w:top w:val="single" w:sz="8" w:space="0" w:color="000000"/>
                    <w:bottom w:val="single" w:sz="4" w:space="0" w:color="auto"/>
                    <w:tl2br w:val="nil"/>
                    <w:tr2bl w:val="nil"/>
                  </w:tcBorders>
                  <w:shd w:val="clear" w:color="auto" w:fill="auto"/>
                  <w:vAlign w:val="center"/>
                </w:tcPr>
                <w:p w14:paraId="0E2BBD3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P</w:t>
                  </w:r>
                </w:p>
              </w:tc>
              <w:tc>
                <w:tcPr>
                  <w:tcW w:w="542" w:type="pct"/>
                  <w:tcBorders>
                    <w:top w:val="single" w:sz="8" w:space="0" w:color="000000"/>
                    <w:bottom w:val="single" w:sz="4" w:space="0" w:color="auto"/>
                    <w:tl2br w:val="nil"/>
                    <w:tr2bl w:val="nil"/>
                  </w:tcBorders>
                  <w:shd w:val="clear" w:color="auto" w:fill="auto"/>
                  <w:vAlign w:val="center"/>
                </w:tcPr>
                <w:p w14:paraId="3F067A1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P</w:t>
                  </w:r>
                  <w:r w:rsidRPr="000D77E3">
                    <w:rPr>
                      <w:rStyle w:val="font11"/>
                      <w:rFonts w:ascii="Times New Roman" w:hAnsi="Times New Roman" w:cs="Times New Roman" w:hint="default"/>
                      <w:sz w:val="13"/>
                      <w:szCs w:val="13"/>
                      <w:lang w:bidi="ar"/>
                    </w:rPr>
                    <w:t xml:space="preserve"> intercept</w:t>
                  </w:r>
                </w:p>
              </w:tc>
              <w:tc>
                <w:tcPr>
                  <w:tcW w:w="395" w:type="pct"/>
                  <w:vMerge/>
                  <w:tcBorders>
                    <w:bottom w:val="single" w:sz="4" w:space="0" w:color="auto"/>
                    <w:tl2br w:val="nil"/>
                    <w:tr2bl w:val="nil"/>
                  </w:tcBorders>
                  <w:shd w:val="clear" w:color="auto" w:fill="auto"/>
                  <w:vAlign w:val="center"/>
                </w:tcPr>
                <w:p w14:paraId="7686840B"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3A7CA75C" w14:textId="77777777" w:rsidTr="006540D7">
              <w:trPr>
                <w:trHeight w:val="71"/>
              </w:trPr>
              <w:tc>
                <w:tcPr>
                  <w:tcW w:w="681" w:type="pct"/>
                  <w:tcBorders>
                    <w:top w:val="single" w:sz="4" w:space="0" w:color="auto"/>
                  </w:tcBorders>
                  <w:shd w:val="clear" w:color="auto" w:fill="auto"/>
                  <w:vAlign w:val="center"/>
                </w:tcPr>
                <w:p w14:paraId="73A1505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Conjunctivitis</w:t>
                  </w:r>
                </w:p>
              </w:tc>
              <w:tc>
                <w:tcPr>
                  <w:tcW w:w="532" w:type="pct"/>
                  <w:tcBorders>
                    <w:top w:val="single" w:sz="4" w:space="0" w:color="auto"/>
                  </w:tcBorders>
                  <w:shd w:val="clear" w:color="auto" w:fill="auto"/>
                  <w:vAlign w:val="center"/>
                </w:tcPr>
                <w:p w14:paraId="0E94EBA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IBD</w:t>
                  </w:r>
                </w:p>
              </w:tc>
              <w:tc>
                <w:tcPr>
                  <w:tcW w:w="408" w:type="pct"/>
                  <w:tcBorders>
                    <w:top w:val="single" w:sz="4" w:space="0" w:color="auto"/>
                  </w:tcBorders>
                  <w:shd w:val="clear" w:color="auto" w:fill="auto"/>
                  <w:vAlign w:val="center"/>
                </w:tcPr>
                <w:p w14:paraId="022261A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6</w:t>
                  </w:r>
                </w:p>
              </w:tc>
              <w:tc>
                <w:tcPr>
                  <w:tcW w:w="444" w:type="pct"/>
                  <w:tcBorders>
                    <w:top w:val="single" w:sz="4" w:space="0" w:color="auto"/>
                  </w:tcBorders>
                  <w:shd w:val="clear" w:color="auto" w:fill="auto"/>
                  <w:vAlign w:val="center"/>
                </w:tcPr>
                <w:p w14:paraId="7C083B2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 (</w:t>
                  </w:r>
                  <w:proofErr w:type="spellStart"/>
                  <w:r w:rsidRPr="000D77E3">
                    <w:rPr>
                      <w:rFonts w:ascii="Times New Roman" w:eastAsia="等线" w:hAnsi="Times New Roman" w:cs="Times New Roman"/>
                      <w:color w:val="000000"/>
                      <w:sz w:val="13"/>
                      <w:szCs w:val="13"/>
                      <w:lang w:bidi="ar"/>
                    </w:rPr>
                    <w:t>fe</w:t>
                  </w:r>
                  <w:proofErr w:type="spellEnd"/>
                  <w:r w:rsidRPr="000D77E3">
                    <w:rPr>
                      <w:rFonts w:ascii="Times New Roman" w:eastAsia="等线" w:hAnsi="Times New Roman" w:cs="Times New Roman"/>
                      <w:color w:val="000000"/>
                      <w:sz w:val="13"/>
                      <w:szCs w:val="13"/>
                      <w:lang w:bidi="ar"/>
                    </w:rPr>
                    <w:t>)</w:t>
                  </w:r>
                </w:p>
              </w:tc>
              <w:tc>
                <w:tcPr>
                  <w:tcW w:w="604" w:type="pct"/>
                  <w:tcBorders>
                    <w:top w:val="single" w:sz="4" w:space="0" w:color="auto"/>
                  </w:tcBorders>
                  <w:shd w:val="clear" w:color="auto" w:fill="auto"/>
                  <w:vAlign w:val="center"/>
                </w:tcPr>
                <w:p w14:paraId="62D1FC9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1.07(0.87-1.31)</w:t>
                  </w:r>
                </w:p>
              </w:tc>
              <w:tc>
                <w:tcPr>
                  <w:tcW w:w="317" w:type="pct"/>
                  <w:tcBorders>
                    <w:top w:val="single" w:sz="4" w:space="0" w:color="auto"/>
                  </w:tcBorders>
                  <w:shd w:val="clear" w:color="auto" w:fill="auto"/>
                  <w:vAlign w:val="center"/>
                </w:tcPr>
                <w:p w14:paraId="2CD4314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0.51</w:t>
                  </w:r>
                </w:p>
              </w:tc>
              <w:tc>
                <w:tcPr>
                  <w:tcW w:w="444" w:type="pct"/>
                  <w:tcBorders>
                    <w:top w:val="single" w:sz="4" w:space="0" w:color="auto"/>
                  </w:tcBorders>
                  <w:shd w:val="clear" w:color="auto" w:fill="auto"/>
                  <w:vAlign w:val="center"/>
                </w:tcPr>
                <w:p w14:paraId="637262E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317" w:type="pct"/>
                  <w:tcBorders>
                    <w:top w:val="single" w:sz="4" w:space="0" w:color="auto"/>
                  </w:tcBorders>
                  <w:shd w:val="clear" w:color="auto" w:fill="auto"/>
                  <w:vAlign w:val="center"/>
                </w:tcPr>
                <w:p w14:paraId="36482A8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4.00</w:t>
                  </w:r>
                </w:p>
              </w:tc>
              <w:tc>
                <w:tcPr>
                  <w:tcW w:w="317" w:type="pct"/>
                  <w:tcBorders>
                    <w:top w:val="single" w:sz="4" w:space="0" w:color="auto"/>
                  </w:tcBorders>
                  <w:shd w:val="clear" w:color="auto" w:fill="auto"/>
                  <w:vAlign w:val="center"/>
                </w:tcPr>
                <w:p w14:paraId="0994604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0.41</w:t>
                  </w:r>
                </w:p>
              </w:tc>
              <w:tc>
                <w:tcPr>
                  <w:tcW w:w="542" w:type="pct"/>
                  <w:tcBorders>
                    <w:top w:val="single" w:sz="4" w:space="0" w:color="auto"/>
                  </w:tcBorders>
                  <w:shd w:val="clear" w:color="auto" w:fill="auto"/>
                  <w:vAlign w:val="center"/>
                </w:tcPr>
                <w:p w14:paraId="1C3D3D9C"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0.75</w:t>
                  </w:r>
                </w:p>
              </w:tc>
              <w:tc>
                <w:tcPr>
                  <w:tcW w:w="395" w:type="pct"/>
                  <w:tcBorders>
                    <w:top w:val="single" w:sz="4" w:space="0" w:color="auto"/>
                  </w:tcBorders>
                  <w:shd w:val="clear" w:color="auto" w:fill="auto"/>
                  <w:vAlign w:val="center"/>
                </w:tcPr>
                <w:p w14:paraId="747152A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31.23-50.61</w:t>
                  </w:r>
                </w:p>
              </w:tc>
            </w:tr>
            <w:tr w:rsidR="006540D7" w:rsidRPr="000D77E3" w14:paraId="28DD5DDA" w14:textId="77777777" w:rsidTr="006540D7">
              <w:trPr>
                <w:trHeight w:val="71"/>
              </w:trPr>
              <w:tc>
                <w:tcPr>
                  <w:tcW w:w="681" w:type="pct"/>
                  <w:tcBorders>
                    <w:tl2br w:val="nil"/>
                    <w:tr2bl w:val="nil"/>
                  </w:tcBorders>
                  <w:shd w:val="clear" w:color="auto" w:fill="auto"/>
                  <w:vAlign w:val="center"/>
                </w:tcPr>
                <w:p w14:paraId="5B2D5467"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750BE767"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64B96183"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36DECB9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WM</w:t>
                  </w:r>
                </w:p>
              </w:tc>
              <w:tc>
                <w:tcPr>
                  <w:tcW w:w="604" w:type="pct"/>
                  <w:tcBorders>
                    <w:tl2br w:val="nil"/>
                    <w:tr2bl w:val="nil"/>
                  </w:tcBorders>
                  <w:shd w:val="clear" w:color="auto" w:fill="auto"/>
                  <w:vAlign w:val="center"/>
                </w:tcPr>
                <w:p w14:paraId="1C36048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1.17(0.92-1.49)</w:t>
                  </w:r>
                </w:p>
              </w:tc>
              <w:tc>
                <w:tcPr>
                  <w:tcW w:w="317" w:type="pct"/>
                  <w:tcBorders>
                    <w:tl2br w:val="nil"/>
                    <w:tr2bl w:val="nil"/>
                  </w:tcBorders>
                  <w:shd w:val="clear" w:color="auto" w:fill="auto"/>
                  <w:vAlign w:val="center"/>
                </w:tcPr>
                <w:p w14:paraId="5F58754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0.19</w:t>
                  </w:r>
                </w:p>
              </w:tc>
              <w:tc>
                <w:tcPr>
                  <w:tcW w:w="444" w:type="pct"/>
                  <w:tcBorders>
                    <w:tl2br w:val="nil"/>
                    <w:tr2bl w:val="nil"/>
                  </w:tcBorders>
                  <w:shd w:val="clear" w:color="auto" w:fill="auto"/>
                  <w:vAlign w:val="center"/>
                </w:tcPr>
                <w:p w14:paraId="5F96F9A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w:t>
                  </w:r>
                </w:p>
              </w:tc>
              <w:tc>
                <w:tcPr>
                  <w:tcW w:w="317" w:type="pct"/>
                  <w:tcBorders>
                    <w:tl2br w:val="nil"/>
                    <w:tr2bl w:val="nil"/>
                  </w:tcBorders>
                  <w:shd w:val="clear" w:color="auto" w:fill="auto"/>
                  <w:vAlign w:val="center"/>
                </w:tcPr>
                <w:p w14:paraId="3DF480F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4.12</w:t>
                  </w:r>
                </w:p>
              </w:tc>
              <w:tc>
                <w:tcPr>
                  <w:tcW w:w="317" w:type="pct"/>
                  <w:tcBorders>
                    <w:tl2br w:val="nil"/>
                    <w:tr2bl w:val="nil"/>
                  </w:tcBorders>
                  <w:shd w:val="clear" w:color="auto" w:fill="auto"/>
                  <w:vAlign w:val="center"/>
                </w:tcPr>
                <w:p w14:paraId="680462E3"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0.53</w:t>
                  </w:r>
                </w:p>
              </w:tc>
              <w:tc>
                <w:tcPr>
                  <w:tcW w:w="542" w:type="pct"/>
                  <w:tcBorders>
                    <w:tl2br w:val="nil"/>
                    <w:tr2bl w:val="nil"/>
                  </w:tcBorders>
                  <w:shd w:val="clear" w:color="auto" w:fill="auto"/>
                  <w:vAlign w:val="center"/>
                </w:tcPr>
                <w:p w14:paraId="0B529288"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79CC2CBE"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1728C9D2" w14:textId="77777777" w:rsidTr="006540D7">
              <w:trPr>
                <w:trHeight w:val="71"/>
              </w:trPr>
              <w:tc>
                <w:tcPr>
                  <w:tcW w:w="681" w:type="pct"/>
                  <w:tcBorders>
                    <w:tl2br w:val="nil"/>
                    <w:tr2bl w:val="nil"/>
                  </w:tcBorders>
                  <w:shd w:val="clear" w:color="auto" w:fill="auto"/>
                  <w:vAlign w:val="center"/>
                </w:tcPr>
                <w:p w14:paraId="4F662C2B"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1DB93B66"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6628805C"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3AD12E2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604" w:type="pct"/>
                  <w:tcBorders>
                    <w:tl2br w:val="nil"/>
                    <w:tr2bl w:val="nil"/>
                  </w:tcBorders>
                  <w:shd w:val="clear" w:color="auto" w:fill="auto"/>
                  <w:vAlign w:val="center"/>
                </w:tcPr>
                <w:p w14:paraId="05E36043"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0.89(0.29-2.67)</w:t>
                  </w:r>
                </w:p>
              </w:tc>
              <w:tc>
                <w:tcPr>
                  <w:tcW w:w="317" w:type="pct"/>
                  <w:tcBorders>
                    <w:tl2br w:val="nil"/>
                    <w:tr2bl w:val="nil"/>
                  </w:tcBorders>
                  <w:shd w:val="clear" w:color="auto" w:fill="auto"/>
                  <w:vAlign w:val="center"/>
                </w:tcPr>
                <w:p w14:paraId="7EF0AD9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0.84</w:t>
                  </w:r>
                </w:p>
              </w:tc>
              <w:tc>
                <w:tcPr>
                  <w:tcW w:w="444" w:type="pct"/>
                  <w:tcBorders>
                    <w:tl2br w:val="nil"/>
                    <w:tr2bl w:val="nil"/>
                  </w:tcBorders>
                  <w:shd w:val="clear" w:color="auto" w:fill="auto"/>
                  <w:vAlign w:val="center"/>
                </w:tcPr>
                <w:p w14:paraId="7241B14F"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5D3C09FA"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63579369" w14:textId="77777777" w:rsidR="006540D7" w:rsidRPr="000D77E3" w:rsidRDefault="006540D7" w:rsidP="006540D7">
                  <w:pPr>
                    <w:jc w:val="center"/>
                    <w:rPr>
                      <w:rFonts w:ascii="Times New Roman" w:eastAsia="等线" w:hAnsi="Times New Roman" w:cs="Times New Roman"/>
                      <w:color w:val="000000"/>
                      <w:sz w:val="13"/>
                      <w:szCs w:val="13"/>
                    </w:rPr>
                  </w:pPr>
                </w:p>
              </w:tc>
              <w:tc>
                <w:tcPr>
                  <w:tcW w:w="542" w:type="pct"/>
                  <w:tcBorders>
                    <w:tl2br w:val="nil"/>
                    <w:tr2bl w:val="nil"/>
                  </w:tcBorders>
                  <w:shd w:val="clear" w:color="auto" w:fill="auto"/>
                  <w:vAlign w:val="center"/>
                </w:tcPr>
                <w:p w14:paraId="31BF09F3"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08ED6AD9"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05399080" w14:textId="77777777" w:rsidTr="006540D7">
              <w:trPr>
                <w:trHeight w:val="71"/>
              </w:trPr>
              <w:tc>
                <w:tcPr>
                  <w:tcW w:w="681" w:type="pct"/>
                  <w:tcBorders>
                    <w:tl2br w:val="nil"/>
                    <w:tr2bl w:val="nil"/>
                  </w:tcBorders>
                  <w:shd w:val="clear" w:color="auto" w:fill="auto"/>
                  <w:vAlign w:val="center"/>
                </w:tcPr>
                <w:p w14:paraId="12D33F9B"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4D3BC745"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0958711F"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20F8579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ML</w:t>
                  </w:r>
                </w:p>
              </w:tc>
              <w:tc>
                <w:tcPr>
                  <w:tcW w:w="604" w:type="pct"/>
                  <w:tcBorders>
                    <w:tl2br w:val="nil"/>
                    <w:tr2bl w:val="nil"/>
                  </w:tcBorders>
                  <w:shd w:val="clear" w:color="auto" w:fill="auto"/>
                  <w:vAlign w:val="center"/>
                </w:tcPr>
                <w:p w14:paraId="72448DC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1.07(0.88-1.31)</w:t>
                  </w:r>
                </w:p>
              </w:tc>
              <w:tc>
                <w:tcPr>
                  <w:tcW w:w="317" w:type="pct"/>
                  <w:tcBorders>
                    <w:tl2br w:val="nil"/>
                    <w:tr2bl w:val="nil"/>
                  </w:tcBorders>
                  <w:shd w:val="clear" w:color="auto" w:fill="auto"/>
                  <w:vAlign w:val="center"/>
                </w:tcPr>
                <w:p w14:paraId="4AFFC9E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0.51</w:t>
                  </w:r>
                </w:p>
              </w:tc>
              <w:tc>
                <w:tcPr>
                  <w:tcW w:w="444" w:type="pct"/>
                  <w:tcBorders>
                    <w:tl2br w:val="nil"/>
                    <w:tr2bl w:val="nil"/>
                  </w:tcBorders>
                  <w:shd w:val="clear" w:color="auto" w:fill="auto"/>
                  <w:vAlign w:val="center"/>
                </w:tcPr>
                <w:p w14:paraId="51F2A9F8"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656F6842"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7DFF8BA8" w14:textId="77777777" w:rsidR="006540D7" w:rsidRPr="000D77E3" w:rsidRDefault="006540D7" w:rsidP="006540D7">
                  <w:pPr>
                    <w:jc w:val="center"/>
                    <w:rPr>
                      <w:rFonts w:ascii="Times New Roman" w:eastAsia="等线" w:hAnsi="Times New Roman" w:cs="Times New Roman"/>
                      <w:color w:val="000000"/>
                      <w:sz w:val="13"/>
                      <w:szCs w:val="13"/>
                    </w:rPr>
                  </w:pPr>
                </w:p>
              </w:tc>
              <w:tc>
                <w:tcPr>
                  <w:tcW w:w="542" w:type="pct"/>
                  <w:tcBorders>
                    <w:tl2br w:val="nil"/>
                    <w:tr2bl w:val="nil"/>
                  </w:tcBorders>
                  <w:shd w:val="clear" w:color="auto" w:fill="auto"/>
                  <w:vAlign w:val="center"/>
                </w:tcPr>
                <w:p w14:paraId="4F9DAA82"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6EA32E71"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65477BE5" w14:textId="77777777" w:rsidTr="006540D7">
              <w:trPr>
                <w:trHeight w:val="71"/>
              </w:trPr>
              <w:tc>
                <w:tcPr>
                  <w:tcW w:w="681" w:type="pct"/>
                  <w:tcBorders>
                    <w:tl2br w:val="nil"/>
                    <w:tr2bl w:val="nil"/>
                  </w:tcBorders>
                  <w:shd w:val="clear" w:color="auto" w:fill="auto"/>
                  <w:vAlign w:val="center"/>
                </w:tcPr>
                <w:p w14:paraId="0C694443"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Conjunctivitis</w:t>
                  </w:r>
                </w:p>
              </w:tc>
              <w:tc>
                <w:tcPr>
                  <w:tcW w:w="532" w:type="pct"/>
                  <w:tcBorders>
                    <w:tl2br w:val="nil"/>
                    <w:tr2bl w:val="nil"/>
                  </w:tcBorders>
                  <w:shd w:val="clear" w:color="auto" w:fill="auto"/>
                  <w:vAlign w:val="center"/>
                </w:tcPr>
                <w:p w14:paraId="3D6C75F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CD</w:t>
                  </w:r>
                </w:p>
              </w:tc>
              <w:tc>
                <w:tcPr>
                  <w:tcW w:w="408" w:type="pct"/>
                  <w:tcBorders>
                    <w:tl2br w:val="nil"/>
                    <w:tr2bl w:val="nil"/>
                  </w:tcBorders>
                  <w:shd w:val="clear" w:color="auto" w:fill="auto"/>
                  <w:vAlign w:val="center"/>
                </w:tcPr>
                <w:p w14:paraId="04F5497D"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5</w:t>
                  </w:r>
                </w:p>
              </w:tc>
              <w:tc>
                <w:tcPr>
                  <w:tcW w:w="444" w:type="pct"/>
                  <w:tcBorders>
                    <w:tl2br w:val="nil"/>
                    <w:tr2bl w:val="nil"/>
                  </w:tcBorders>
                  <w:shd w:val="clear" w:color="auto" w:fill="auto"/>
                  <w:vAlign w:val="center"/>
                </w:tcPr>
                <w:p w14:paraId="5110F6F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 (</w:t>
                  </w:r>
                  <w:proofErr w:type="spellStart"/>
                  <w:r w:rsidRPr="000D77E3">
                    <w:rPr>
                      <w:rFonts w:ascii="Times New Roman" w:eastAsia="等线" w:hAnsi="Times New Roman" w:cs="Times New Roman"/>
                      <w:color w:val="000000"/>
                      <w:sz w:val="13"/>
                      <w:szCs w:val="13"/>
                      <w:lang w:bidi="ar"/>
                    </w:rPr>
                    <w:t>fe</w:t>
                  </w:r>
                  <w:proofErr w:type="spellEnd"/>
                  <w:r w:rsidRPr="000D77E3">
                    <w:rPr>
                      <w:rFonts w:ascii="Times New Roman" w:eastAsia="等线" w:hAnsi="Times New Roman" w:cs="Times New Roman"/>
                      <w:color w:val="000000"/>
                      <w:sz w:val="13"/>
                      <w:szCs w:val="13"/>
                      <w:lang w:bidi="ar"/>
                    </w:rPr>
                    <w:t>)</w:t>
                  </w:r>
                </w:p>
              </w:tc>
              <w:tc>
                <w:tcPr>
                  <w:tcW w:w="604" w:type="pct"/>
                  <w:tcBorders>
                    <w:tl2br w:val="nil"/>
                    <w:tr2bl w:val="nil"/>
                  </w:tcBorders>
                  <w:shd w:val="clear" w:color="auto" w:fill="auto"/>
                  <w:vAlign w:val="center"/>
                </w:tcPr>
                <w:p w14:paraId="12DEF7D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1.31(1.00-1.72)</w:t>
                  </w:r>
                </w:p>
              </w:tc>
              <w:tc>
                <w:tcPr>
                  <w:tcW w:w="317" w:type="pct"/>
                  <w:tcBorders>
                    <w:tl2br w:val="nil"/>
                    <w:tr2bl w:val="nil"/>
                  </w:tcBorders>
                  <w:shd w:val="clear" w:color="auto" w:fill="auto"/>
                  <w:vAlign w:val="center"/>
                </w:tcPr>
                <w:p w14:paraId="0ED696A0"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0.70</w:t>
                  </w:r>
                </w:p>
              </w:tc>
              <w:tc>
                <w:tcPr>
                  <w:tcW w:w="444" w:type="pct"/>
                  <w:tcBorders>
                    <w:tl2br w:val="nil"/>
                    <w:tr2bl w:val="nil"/>
                  </w:tcBorders>
                  <w:shd w:val="clear" w:color="auto" w:fill="auto"/>
                  <w:vAlign w:val="center"/>
                </w:tcPr>
                <w:p w14:paraId="595D2F59"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317" w:type="pct"/>
                  <w:tcBorders>
                    <w:tl2br w:val="nil"/>
                    <w:tr2bl w:val="nil"/>
                  </w:tcBorders>
                  <w:shd w:val="clear" w:color="auto" w:fill="auto"/>
                  <w:vAlign w:val="center"/>
                </w:tcPr>
                <w:p w14:paraId="66EE3E2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3.42</w:t>
                  </w:r>
                </w:p>
              </w:tc>
              <w:tc>
                <w:tcPr>
                  <w:tcW w:w="317" w:type="pct"/>
                  <w:tcBorders>
                    <w:tl2br w:val="nil"/>
                    <w:tr2bl w:val="nil"/>
                  </w:tcBorders>
                  <w:shd w:val="clear" w:color="auto" w:fill="auto"/>
                  <w:vAlign w:val="center"/>
                </w:tcPr>
                <w:p w14:paraId="5CD3295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0.33</w:t>
                  </w:r>
                </w:p>
              </w:tc>
              <w:tc>
                <w:tcPr>
                  <w:tcW w:w="542" w:type="pct"/>
                  <w:tcBorders>
                    <w:tl2br w:val="nil"/>
                    <w:tr2bl w:val="nil"/>
                  </w:tcBorders>
                  <w:shd w:val="clear" w:color="auto" w:fill="auto"/>
                  <w:vAlign w:val="center"/>
                </w:tcPr>
                <w:p w14:paraId="2BE50FB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0.38</w:t>
                  </w:r>
                </w:p>
              </w:tc>
              <w:tc>
                <w:tcPr>
                  <w:tcW w:w="395" w:type="pct"/>
                  <w:tcBorders>
                    <w:tl2br w:val="nil"/>
                    <w:tr2bl w:val="nil"/>
                  </w:tcBorders>
                  <w:shd w:val="clear" w:color="auto" w:fill="auto"/>
                  <w:vAlign w:val="center"/>
                </w:tcPr>
                <w:p w14:paraId="0D99EDE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32.25-50.61</w:t>
                  </w:r>
                </w:p>
              </w:tc>
            </w:tr>
            <w:tr w:rsidR="006540D7" w:rsidRPr="000D77E3" w14:paraId="4991FB0D" w14:textId="77777777" w:rsidTr="006540D7">
              <w:trPr>
                <w:trHeight w:val="71"/>
              </w:trPr>
              <w:tc>
                <w:tcPr>
                  <w:tcW w:w="681" w:type="pct"/>
                  <w:tcBorders>
                    <w:tl2br w:val="nil"/>
                    <w:tr2bl w:val="nil"/>
                  </w:tcBorders>
                  <w:shd w:val="clear" w:color="auto" w:fill="auto"/>
                  <w:vAlign w:val="center"/>
                </w:tcPr>
                <w:p w14:paraId="0268F203"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0F190D32"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4F1C022B"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008C15A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WM</w:t>
                  </w:r>
                </w:p>
              </w:tc>
              <w:tc>
                <w:tcPr>
                  <w:tcW w:w="604" w:type="pct"/>
                  <w:tcBorders>
                    <w:tl2br w:val="nil"/>
                    <w:tr2bl w:val="nil"/>
                  </w:tcBorders>
                  <w:shd w:val="clear" w:color="auto" w:fill="auto"/>
                  <w:vAlign w:val="center"/>
                </w:tcPr>
                <w:p w14:paraId="1927359B"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1.37(0.97-1.92)</w:t>
                  </w:r>
                </w:p>
              </w:tc>
              <w:tc>
                <w:tcPr>
                  <w:tcW w:w="317" w:type="pct"/>
                  <w:tcBorders>
                    <w:tl2br w:val="nil"/>
                    <w:tr2bl w:val="nil"/>
                  </w:tcBorders>
                  <w:shd w:val="clear" w:color="auto" w:fill="auto"/>
                  <w:vAlign w:val="center"/>
                </w:tcPr>
                <w:p w14:paraId="10404CE9"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0.34</w:t>
                  </w:r>
                </w:p>
              </w:tc>
              <w:tc>
                <w:tcPr>
                  <w:tcW w:w="444" w:type="pct"/>
                  <w:tcBorders>
                    <w:tl2br w:val="nil"/>
                    <w:tr2bl w:val="nil"/>
                  </w:tcBorders>
                  <w:shd w:val="clear" w:color="auto" w:fill="auto"/>
                  <w:vAlign w:val="center"/>
                </w:tcPr>
                <w:p w14:paraId="0DD33E35"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w:t>
                  </w:r>
                </w:p>
              </w:tc>
              <w:tc>
                <w:tcPr>
                  <w:tcW w:w="317" w:type="pct"/>
                  <w:tcBorders>
                    <w:tl2br w:val="nil"/>
                    <w:tr2bl w:val="nil"/>
                  </w:tcBorders>
                  <w:shd w:val="clear" w:color="auto" w:fill="auto"/>
                  <w:vAlign w:val="center"/>
                </w:tcPr>
                <w:p w14:paraId="7C0631E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4.63</w:t>
                  </w:r>
                </w:p>
              </w:tc>
              <w:tc>
                <w:tcPr>
                  <w:tcW w:w="317" w:type="pct"/>
                  <w:tcBorders>
                    <w:tl2br w:val="nil"/>
                    <w:tr2bl w:val="nil"/>
                  </w:tcBorders>
                  <w:shd w:val="clear" w:color="auto" w:fill="auto"/>
                  <w:vAlign w:val="center"/>
                </w:tcPr>
                <w:p w14:paraId="14B49D4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0.33</w:t>
                  </w:r>
                </w:p>
              </w:tc>
              <w:tc>
                <w:tcPr>
                  <w:tcW w:w="542" w:type="pct"/>
                  <w:tcBorders>
                    <w:tl2br w:val="nil"/>
                    <w:tr2bl w:val="nil"/>
                  </w:tcBorders>
                  <w:shd w:val="clear" w:color="auto" w:fill="auto"/>
                  <w:vAlign w:val="center"/>
                </w:tcPr>
                <w:p w14:paraId="7001A94B"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0AC8848E"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6B857461" w14:textId="77777777" w:rsidTr="006540D7">
              <w:trPr>
                <w:trHeight w:val="71"/>
              </w:trPr>
              <w:tc>
                <w:tcPr>
                  <w:tcW w:w="681" w:type="pct"/>
                  <w:tcBorders>
                    <w:tl2br w:val="nil"/>
                    <w:tr2bl w:val="nil"/>
                  </w:tcBorders>
                  <w:shd w:val="clear" w:color="auto" w:fill="auto"/>
                  <w:vAlign w:val="center"/>
                </w:tcPr>
                <w:p w14:paraId="0058F5CC"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6FDA3EF1"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22AD875C"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762E942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604" w:type="pct"/>
                  <w:tcBorders>
                    <w:tl2br w:val="nil"/>
                    <w:tr2bl w:val="nil"/>
                  </w:tcBorders>
                  <w:shd w:val="clear" w:color="auto" w:fill="auto"/>
                  <w:vAlign w:val="center"/>
                </w:tcPr>
                <w:p w14:paraId="73F7BF04" w14:textId="77777777" w:rsidR="006540D7" w:rsidRPr="000D77E3" w:rsidRDefault="006540D7" w:rsidP="006540D7">
                  <w:pPr>
                    <w:ind w:firstLineChars="50" w:firstLine="65"/>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3.16(0.58-17.27)</w:t>
                  </w:r>
                </w:p>
              </w:tc>
              <w:tc>
                <w:tcPr>
                  <w:tcW w:w="317" w:type="pct"/>
                  <w:tcBorders>
                    <w:tl2br w:val="nil"/>
                    <w:tr2bl w:val="nil"/>
                  </w:tcBorders>
                  <w:shd w:val="clear" w:color="auto" w:fill="auto"/>
                  <w:vAlign w:val="center"/>
                </w:tcPr>
                <w:p w14:paraId="0267E4A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0.35</w:t>
                  </w:r>
                </w:p>
              </w:tc>
              <w:tc>
                <w:tcPr>
                  <w:tcW w:w="444" w:type="pct"/>
                  <w:tcBorders>
                    <w:tl2br w:val="nil"/>
                    <w:tr2bl w:val="nil"/>
                  </w:tcBorders>
                  <w:shd w:val="clear" w:color="auto" w:fill="auto"/>
                  <w:vAlign w:val="center"/>
                </w:tcPr>
                <w:p w14:paraId="66BCB429"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705877A3"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0CF2AAE5" w14:textId="77777777" w:rsidR="006540D7" w:rsidRPr="000D77E3" w:rsidRDefault="006540D7" w:rsidP="006540D7">
                  <w:pPr>
                    <w:jc w:val="center"/>
                    <w:rPr>
                      <w:rFonts w:ascii="Times New Roman" w:eastAsia="等线" w:hAnsi="Times New Roman" w:cs="Times New Roman"/>
                      <w:color w:val="000000"/>
                      <w:sz w:val="13"/>
                      <w:szCs w:val="13"/>
                    </w:rPr>
                  </w:pPr>
                </w:p>
              </w:tc>
              <w:tc>
                <w:tcPr>
                  <w:tcW w:w="542" w:type="pct"/>
                  <w:tcBorders>
                    <w:tl2br w:val="nil"/>
                    <w:tr2bl w:val="nil"/>
                  </w:tcBorders>
                  <w:shd w:val="clear" w:color="auto" w:fill="auto"/>
                  <w:vAlign w:val="center"/>
                </w:tcPr>
                <w:p w14:paraId="5492BE46"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1C9A6E48"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251DC8D4" w14:textId="77777777" w:rsidTr="006540D7">
              <w:trPr>
                <w:trHeight w:val="71"/>
              </w:trPr>
              <w:tc>
                <w:tcPr>
                  <w:tcW w:w="681" w:type="pct"/>
                  <w:tcBorders>
                    <w:tl2br w:val="nil"/>
                    <w:tr2bl w:val="nil"/>
                  </w:tcBorders>
                  <w:shd w:val="clear" w:color="auto" w:fill="auto"/>
                  <w:vAlign w:val="center"/>
                </w:tcPr>
                <w:p w14:paraId="79CE9E3A"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069913FB"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39A02FDE"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51592D8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ML</w:t>
                  </w:r>
                </w:p>
              </w:tc>
              <w:tc>
                <w:tcPr>
                  <w:tcW w:w="604" w:type="pct"/>
                  <w:tcBorders>
                    <w:tl2br w:val="nil"/>
                    <w:tr2bl w:val="nil"/>
                  </w:tcBorders>
                  <w:shd w:val="clear" w:color="auto" w:fill="auto"/>
                  <w:vAlign w:val="center"/>
                </w:tcPr>
                <w:p w14:paraId="653400E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1.32(1.00-1.73)</w:t>
                  </w:r>
                </w:p>
              </w:tc>
              <w:tc>
                <w:tcPr>
                  <w:tcW w:w="317" w:type="pct"/>
                  <w:tcBorders>
                    <w:tl2br w:val="nil"/>
                    <w:tr2bl w:val="nil"/>
                  </w:tcBorders>
                  <w:shd w:val="clear" w:color="auto" w:fill="auto"/>
                  <w:vAlign w:val="center"/>
                </w:tcPr>
                <w:p w14:paraId="1714C4D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0.70</w:t>
                  </w:r>
                </w:p>
              </w:tc>
              <w:tc>
                <w:tcPr>
                  <w:tcW w:w="444" w:type="pct"/>
                  <w:tcBorders>
                    <w:tl2br w:val="nil"/>
                    <w:tr2bl w:val="nil"/>
                  </w:tcBorders>
                  <w:shd w:val="clear" w:color="auto" w:fill="auto"/>
                  <w:vAlign w:val="center"/>
                </w:tcPr>
                <w:p w14:paraId="12CF404C"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33E26A31"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1010B7B0" w14:textId="77777777" w:rsidR="006540D7" w:rsidRPr="000D77E3" w:rsidRDefault="006540D7" w:rsidP="006540D7">
                  <w:pPr>
                    <w:jc w:val="center"/>
                    <w:rPr>
                      <w:rFonts w:ascii="Times New Roman" w:eastAsia="等线" w:hAnsi="Times New Roman" w:cs="Times New Roman"/>
                      <w:color w:val="000000"/>
                      <w:sz w:val="13"/>
                      <w:szCs w:val="13"/>
                    </w:rPr>
                  </w:pPr>
                </w:p>
              </w:tc>
              <w:tc>
                <w:tcPr>
                  <w:tcW w:w="542" w:type="pct"/>
                  <w:tcBorders>
                    <w:tl2br w:val="nil"/>
                    <w:tr2bl w:val="nil"/>
                  </w:tcBorders>
                  <w:shd w:val="clear" w:color="auto" w:fill="auto"/>
                  <w:vAlign w:val="center"/>
                </w:tcPr>
                <w:p w14:paraId="6C63A544"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45C802BC"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24EB5F3A" w14:textId="77777777" w:rsidTr="006540D7">
              <w:trPr>
                <w:trHeight w:val="71"/>
              </w:trPr>
              <w:tc>
                <w:tcPr>
                  <w:tcW w:w="681" w:type="pct"/>
                  <w:tcBorders>
                    <w:tl2br w:val="nil"/>
                    <w:tr2bl w:val="nil"/>
                  </w:tcBorders>
                  <w:shd w:val="clear" w:color="auto" w:fill="auto"/>
                  <w:vAlign w:val="center"/>
                </w:tcPr>
                <w:p w14:paraId="02AE416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lastRenderedPageBreak/>
                    <w:t>Conjunctivitis</w:t>
                  </w:r>
                </w:p>
              </w:tc>
              <w:tc>
                <w:tcPr>
                  <w:tcW w:w="532" w:type="pct"/>
                  <w:tcBorders>
                    <w:tl2br w:val="nil"/>
                    <w:tr2bl w:val="nil"/>
                  </w:tcBorders>
                  <w:shd w:val="clear" w:color="auto" w:fill="auto"/>
                  <w:vAlign w:val="center"/>
                </w:tcPr>
                <w:p w14:paraId="720F3AAB"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UC</w:t>
                  </w:r>
                </w:p>
              </w:tc>
              <w:tc>
                <w:tcPr>
                  <w:tcW w:w="408" w:type="pct"/>
                  <w:tcBorders>
                    <w:tl2br w:val="nil"/>
                    <w:tr2bl w:val="nil"/>
                  </w:tcBorders>
                  <w:shd w:val="clear" w:color="auto" w:fill="auto"/>
                  <w:vAlign w:val="center"/>
                </w:tcPr>
                <w:p w14:paraId="4D4AABCE"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6</w:t>
                  </w:r>
                </w:p>
              </w:tc>
              <w:tc>
                <w:tcPr>
                  <w:tcW w:w="444" w:type="pct"/>
                  <w:tcBorders>
                    <w:tl2br w:val="nil"/>
                    <w:tr2bl w:val="nil"/>
                  </w:tcBorders>
                  <w:shd w:val="clear" w:color="auto" w:fill="auto"/>
                  <w:vAlign w:val="center"/>
                </w:tcPr>
                <w:p w14:paraId="44ADEE2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 (</w:t>
                  </w:r>
                  <w:proofErr w:type="spellStart"/>
                  <w:r w:rsidRPr="000D77E3">
                    <w:rPr>
                      <w:rFonts w:ascii="Times New Roman" w:eastAsia="等线" w:hAnsi="Times New Roman" w:cs="Times New Roman"/>
                      <w:color w:val="000000"/>
                      <w:sz w:val="13"/>
                      <w:szCs w:val="13"/>
                      <w:lang w:bidi="ar"/>
                    </w:rPr>
                    <w:t>fe</w:t>
                  </w:r>
                  <w:proofErr w:type="spellEnd"/>
                  <w:r w:rsidRPr="000D77E3">
                    <w:rPr>
                      <w:rFonts w:ascii="Times New Roman" w:eastAsia="等线" w:hAnsi="Times New Roman" w:cs="Times New Roman"/>
                      <w:color w:val="000000"/>
                      <w:sz w:val="13"/>
                      <w:szCs w:val="13"/>
                      <w:lang w:bidi="ar"/>
                    </w:rPr>
                    <w:t>)</w:t>
                  </w:r>
                </w:p>
              </w:tc>
              <w:tc>
                <w:tcPr>
                  <w:tcW w:w="604" w:type="pct"/>
                  <w:tcBorders>
                    <w:tl2br w:val="nil"/>
                    <w:tr2bl w:val="nil"/>
                  </w:tcBorders>
                  <w:shd w:val="clear" w:color="auto" w:fill="auto"/>
                  <w:vAlign w:val="center"/>
                </w:tcPr>
                <w:p w14:paraId="5F9632B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1.01(0.78-1.31)</w:t>
                  </w:r>
                </w:p>
              </w:tc>
              <w:tc>
                <w:tcPr>
                  <w:tcW w:w="317" w:type="pct"/>
                  <w:tcBorders>
                    <w:tl2br w:val="nil"/>
                    <w:tr2bl w:val="nil"/>
                  </w:tcBorders>
                  <w:shd w:val="clear" w:color="auto" w:fill="auto"/>
                  <w:vAlign w:val="center"/>
                </w:tcPr>
                <w:p w14:paraId="2024B3E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0.81</w:t>
                  </w:r>
                </w:p>
              </w:tc>
              <w:tc>
                <w:tcPr>
                  <w:tcW w:w="444" w:type="pct"/>
                  <w:tcBorders>
                    <w:tl2br w:val="nil"/>
                    <w:tr2bl w:val="nil"/>
                  </w:tcBorders>
                  <w:shd w:val="clear" w:color="auto" w:fill="auto"/>
                  <w:vAlign w:val="center"/>
                </w:tcPr>
                <w:p w14:paraId="3B1696CF"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317" w:type="pct"/>
                  <w:tcBorders>
                    <w:tl2br w:val="nil"/>
                    <w:tr2bl w:val="nil"/>
                  </w:tcBorders>
                  <w:shd w:val="clear" w:color="auto" w:fill="auto"/>
                  <w:vAlign w:val="center"/>
                </w:tcPr>
                <w:p w14:paraId="6CA460A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2.53</w:t>
                  </w:r>
                </w:p>
              </w:tc>
              <w:tc>
                <w:tcPr>
                  <w:tcW w:w="317" w:type="pct"/>
                  <w:tcBorders>
                    <w:tl2br w:val="nil"/>
                    <w:tr2bl w:val="nil"/>
                  </w:tcBorders>
                  <w:shd w:val="clear" w:color="auto" w:fill="auto"/>
                  <w:vAlign w:val="center"/>
                </w:tcPr>
                <w:p w14:paraId="791C141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0.64</w:t>
                  </w:r>
                </w:p>
              </w:tc>
              <w:tc>
                <w:tcPr>
                  <w:tcW w:w="542" w:type="pct"/>
                  <w:tcBorders>
                    <w:tl2br w:val="nil"/>
                    <w:tr2bl w:val="nil"/>
                  </w:tcBorders>
                  <w:shd w:val="clear" w:color="auto" w:fill="auto"/>
                  <w:vAlign w:val="center"/>
                </w:tcPr>
                <w:p w14:paraId="453BD6A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0.74</w:t>
                  </w:r>
                </w:p>
              </w:tc>
              <w:tc>
                <w:tcPr>
                  <w:tcW w:w="395" w:type="pct"/>
                  <w:tcBorders>
                    <w:tl2br w:val="nil"/>
                    <w:tr2bl w:val="nil"/>
                  </w:tcBorders>
                  <w:shd w:val="clear" w:color="auto" w:fill="auto"/>
                  <w:vAlign w:val="center"/>
                </w:tcPr>
                <w:p w14:paraId="23A5A659"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31.23-50.61</w:t>
                  </w:r>
                </w:p>
              </w:tc>
            </w:tr>
            <w:tr w:rsidR="006540D7" w:rsidRPr="000D77E3" w14:paraId="241C9597" w14:textId="77777777" w:rsidTr="006540D7">
              <w:trPr>
                <w:trHeight w:val="71"/>
              </w:trPr>
              <w:tc>
                <w:tcPr>
                  <w:tcW w:w="681" w:type="pct"/>
                  <w:tcBorders>
                    <w:tl2br w:val="nil"/>
                    <w:tr2bl w:val="nil"/>
                  </w:tcBorders>
                  <w:shd w:val="clear" w:color="auto" w:fill="auto"/>
                  <w:vAlign w:val="center"/>
                </w:tcPr>
                <w:p w14:paraId="74B10511"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461C4494"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457FAEB8"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4E5E9139"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WM</w:t>
                  </w:r>
                </w:p>
              </w:tc>
              <w:tc>
                <w:tcPr>
                  <w:tcW w:w="604" w:type="pct"/>
                  <w:tcBorders>
                    <w:tl2br w:val="nil"/>
                    <w:tr2bl w:val="nil"/>
                  </w:tcBorders>
                  <w:shd w:val="clear" w:color="auto" w:fill="auto"/>
                  <w:vAlign w:val="center"/>
                </w:tcPr>
                <w:p w14:paraId="1CF6236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1.06(0.78-1.44)</w:t>
                  </w:r>
                </w:p>
              </w:tc>
              <w:tc>
                <w:tcPr>
                  <w:tcW w:w="317" w:type="pct"/>
                  <w:tcBorders>
                    <w:tl2br w:val="nil"/>
                    <w:tr2bl w:val="nil"/>
                  </w:tcBorders>
                  <w:shd w:val="clear" w:color="auto" w:fill="auto"/>
                  <w:vAlign w:val="center"/>
                </w:tcPr>
                <w:p w14:paraId="29B81AC1"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0.83</w:t>
                  </w:r>
                </w:p>
              </w:tc>
              <w:tc>
                <w:tcPr>
                  <w:tcW w:w="444" w:type="pct"/>
                  <w:tcBorders>
                    <w:tl2br w:val="nil"/>
                    <w:tr2bl w:val="nil"/>
                  </w:tcBorders>
                  <w:shd w:val="clear" w:color="auto" w:fill="auto"/>
                  <w:vAlign w:val="center"/>
                </w:tcPr>
                <w:p w14:paraId="16E721C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IVW</w:t>
                  </w:r>
                </w:p>
              </w:tc>
              <w:tc>
                <w:tcPr>
                  <w:tcW w:w="317" w:type="pct"/>
                  <w:tcBorders>
                    <w:tl2br w:val="nil"/>
                    <w:tr2bl w:val="nil"/>
                  </w:tcBorders>
                  <w:shd w:val="clear" w:color="auto" w:fill="auto"/>
                  <w:vAlign w:val="center"/>
                </w:tcPr>
                <w:p w14:paraId="3C07839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rPr>
                    <w:t>2.66</w:t>
                  </w:r>
                </w:p>
              </w:tc>
              <w:tc>
                <w:tcPr>
                  <w:tcW w:w="317" w:type="pct"/>
                  <w:tcBorders>
                    <w:tl2br w:val="nil"/>
                    <w:tr2bl w:val="nil"/>
                  </w:tcBorders>
                  <w:shd w:val="clear" w:color="auto" w:fill="auto"/>
                  <w:vAlign w:val="center"/>
                </w:tcPr>
                <w:p w14:paraId="07502FD2"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0.75</w:t>
                  </w:r>
                </w:p>
              </w:tc>
              <w:tc>
                <w:tcPr>
                  <w:tcW w:w="542" w:type="pct"/>
                  <w:tcBorders>
                    <w:tl2br w:val="nil"/>
                    <w:tr2bl w:val="nil"/>
                  </w:tcBorders>
                  <w:shd w:val="clear" w:color="auto" w:fill="auto"/>
                  <w:vAlign w:val="center"/>
                </w:tcPr>
                <w:p w14:paraId="2A473759"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092323AF"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5347144B" w14:textId="77777777" w:rsidTr="006540D7">
              <w:trPr>
                <w:trHeight w:val="71"/>
              </w:trPr>
              <w:tc>
                <w:tcPr>
                  <w:tcW w:w="681" w:type="pct"/>
                  <w:tcBorders>
                    <w:tl2br w:val="nil"/>
                    <w:tr2bl w:val="nil"/>
                  </w:tcBorders>
                  <w:shd w:val="clear" w:color="auto" w:fill="auto"/>
                  <w:vAlign w:val="center"/>
                </w:tcPr>
                <w:p w14:paraId="77A3915A"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590C1F2F"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411520B8"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62951A18"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MR Egger</w:t>
                  </w:r>
                </w:p>
              </w:tc>
              <w:tc>
                <w:tcPr>
                  <w:tcW w:w="604" w:type="pct"/>
                  <w:tcBorders>
                    <w:tl2br w:val="nil"/>
                    <w:tr2bl w:val="nil"/>
                  </w:tcBorders>
                  <w:shd w:val="clear" w:color="auto" w:fill="auto"/>
                  <w:vAlign w:val="center"/>
                </w:tcPr>
                <w:p w14:paraId="0D16F01A"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1.30(0.32-5.30)</w:t>
                  </w:r>
                </w:p>
              </w:tc>
              <w:tc>
                <w:tcPr>
                  <w:tcW w:w="317" w:type="pct"/>
                  <w:tcBorders>
                    <w:tl2br w:val="nil"/>
                    <w:tr2bl w:val="nil"/>
                  </w:tcBorders>
                  <w:shd w:val="clear" w:color="auto" w:fill="auto"/>
                  <w:vAlign w:val="center"/>
                </w:tcPr>
                <w:p w14:paraId="4405BFB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0.78</w:t>
                  </w:r>
                </w:p>
              </w:tc>
              <w:tc>
                <w:tcPr>
                  <w:tcW w:w="444" w:type="pct"/>
                  <w:tcBorders>
                    <w:tl2br w:val="nil"/>
                    <w:tr2bl w:val="nil"/>
                  </w:tcBorders>
                  <w:shd w:val="clear" w:color="auto" w:fill="auto"/>
                  <w:vAlign w:val="center"/>
                </w:tcPr>
                <w:p w14:paraId="2B984751"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0BF4A99F"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441BFF45" w14:textId="77777777" w:rsidR="006540D7" w:rsidRPr="000D77E3" w:rsidRDefault="006540D7" w:rsidP="006540D7">
                  <w:pPr>
                    <w:jc w:val="center"/>
                    <w:rPr>
                      <w:rFonts w:ascii="Times New Roman" w:eastAsia="等线" w:hAnsi="Times New Roman" w:cs="Times New Roman"/>
                      <w:color w:val="000000"/>
                      <w:sz w:val="13"/>
                      <w:szCs w:val="13"/>
                    </w:rPr>
                  </w:pPr>
                </w:p>
              </w:tc>
              <w:tc>
                <w:tcPr>
                  <w:tcW w:w="542" w:type="pct"/>
                  <w:tcBorders>
                    <w:tl2br w:val="nil"/>
                    <w:tr2bl w:val="nil"/>
                  </w:tcBorders>
                  <w:shd w:val="clear" w:color="auto" w:fill="auto"/>
                  <w:vAlign w:val="center"/>
                </w:tcPr>
                <w:p w14:paraId="011CD0FD"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498A21FF" w14:textId="77777777" w:rsidR="006540D7" w:rsidRPr="000D77E3" w:rsidRDefault="006540D7" w:rsidP="006540D7">
                  <w:pPr>
                    <w:jc w:val="center"/>
                    <w:rPr>
                      <w:rFonts w:ascii="Times New Roman" w:eastAsia="等线" w:hAnsi="Times New Roman" w:cs="Times New Roman"/>
                      <w:color w:val="000000"/>
                      <w:sz w:val="13"/>
                      <w:szCs w:val="13"/>
                    </w:rPr>
                  </w:pPr>
                </w:p>
              </w:tc>
            </w:tr>
            <w:tr w:rsidR="006540D7" w:rsidRPr="000D77E3" w14:paraId="75975160" w14:textId="77777777" w:rsidTr="006540D7">
              <w:trPr>
                <w:trHeight w:val="71"/>
              </w:trPr>
              <w:tc>
                <w:tcPr>
                  <w:tcW w:w="681" w:type="pct"/>
                  <w:tcBorders>
                    <w:tl2br w:val="nil"/>
                    <w:tr2bl w:val="nil"/>
                  </w:tcBorders>
                  <w:shd w:val="clear" w:color="auto" w:fill="auto"/>
                  <w:vAlign w:val="center"/>
                </w:tcPr>
                <w:p w14:paraId="68E272AF" w14:textId="77777777" w:rsidR="006540D7" w:rsidRPr="000D77E3" w:rsidRDefault="006540D7" w:rsidP="006540D7">
                  <w:pPr>
                    <w:jc w:val="center"/>
                    <w:rPr>
                      <w:rFonts w:ascii="Times New Roman" w:eastAsia="等线" w:hAnsi="Times New Roman" w:cs="Times New Roman"/>
                      <w:color w:val="000000"/>
                      <w:sz w:val="13"/>
                      <w:szCs w:val="13"/>
                    </w:rPr>
                  </w:pPr>
                </w:p>
              </w:tc>
              <w:tc>
                <w:tcPr>
                  <w:tcW w:w="532" w:type="pct"/>
                  <w:tcBorders>
                    <w:tl2br w:val="nil"/>
                    <w:tr2bl w:val="nil"/>
                  </w:tcBorders>
                  <w:shd w:val="clear" w:color="auto" w:fill="auto"/>
                  <w:vAlign w:val="center"/>
                </w:tcPr>
                <w:p w14:paraId="5256A3ED" w14:textId="77777777" w:rsidR="006540D7" w:rsidRPr="000D77E3" w:rsidRDefault="006540D7" w:rsidP="006540D7">
                  <w:pPr>
                    <w:jc w:val="center"/>
                    <w:rPr>
                      <w:rFonts w:ascii="Times New Roman" w:eastAsia="等线" w:hAnsi="Times New Roman" w:cs="Times New Roman"/>
                      <w:color w:val="000000"/>
                      <w:sz w:val="13"/>
                      <w:szCs w:val="13"/>
                    </w:rPr>
                  </w:pPr>
                </w:p>
              </w:tc>
              <w:tc>
                <w:tcPr>
                  <w:tcW w:w="408" w:type="pct"/>
                  <w:tcBorders>
                    <w:tl2br w:val="nil"/>
                    <w:tr2bl w:val="nil"/>
                  </w:tcBorders>
                  <w:shd w:val="clear" w:color="auto" w:fill="auto"/>
                  <w:vAlign w:val="center"/>
                </w:tcPr>
                <w:p w14:paraId="60DB9AB4" w14:textId="77777777" w:rsidR="006540D7" w:rsidRPr="000D77E3" w:rsidRDefault="006540D7" w:rsidP="006540D7">
                  <w:pPr>
                    <w:jc w:val="center"/>
                    <w:rPr>
                      <w:rFonts w:ascii="Times New Roman" w:eastAsia="等线" w:hAnsi="Times New Roman" w:cs="Times New Roman"/>
                      <w:color w:val="000000"/>
                      <w:sz w:val="13"/>
                      <w:szCs w:val="13"/>
                    </w:rPr>
                  </w:pPr>
                </w:p>
              </w:tc>
              <w:tc>
                <w:tcPr>
                  <w:tcW w:w="444" w:type="pct"/>
                  <w:tcBorders>
                    <w:tl2br w:val="nil"/>
                    <w:tr2bl w:val="nil"/>
                  </w:tcBorders>
                  <w:shd w:val="clear" w:color="auto" w:fill="auto"/>
                  <w:vAlign w:val="center"/>
                </w:tcPr>
                <w:p w14:paraId="63CAE2E6"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ML</w:t>
                  </w:r>
                </w:p>
              </w:tc>
              <w:tc>
                <w:tcPr>
                  <w:tcW w:w="604" w:type="pct"/>
                  <w:tcBorders>
                    <w:tl2br w:val="nil"/>
                    <w:tr2bl w:val="nil"/>
                  </w:tcBorders>
                  <w:shd w:val="clear" w:color="auto" w:fill="auto"/>
                  <w:vAlign w:val="center"/>
                </w:tcPr>
                <w:p w14:paraId="796F86E4"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1.01(0.78-1.31)</w:t>
                  </w:r>
                </w:p>
              </w:tc>
              <w:tc>
                <w:tcPr>
                  <w:tcW w:w="317" w:type="pct"/>
                  <w:tcBorders>
                    <w:tl2br w:val="nil"/>
                    <w:tr2bl w:val="nil"/>
                  </w:tcBorders>
                  <w:shd w:val="clear" w:color="auto" w:fill="auto"/>
                  <w:vAlign w:val="center"/>
                </w:tcPr>
                <w:p w14:paraId="4696C3E7" w14:textId="77777777" w:rsidR="006540D7" w:rsidRPr="000D77E3" w:rsidRDefault="006540D7" w:rsidP="006540D7">
                  <w:pPr>
                    <w:jc w:val="center"/>
                    <w:textAlignment w:val="top"/>
                    <w:rPr>
                      <w:rFonts w:ascii="Times New Roman" w:eastAsia="等线" w:hAnsi="Times New Roman" w:cs="Times New Roman"/>
                      <w:color w:val="000000"/>
                      <w:sz w:val="13"/>
                      <w:szCs w:val="13"/>
                    </w:rPr>
                  </w:pPr>
                  <w:r w:rsidRPr="000D77E3">
                    <w:rPr>
                      <w:rFonts w:ascii="Times New Roman" w:eastAsia="等线" w:hAnsi="Times New Roman" w:cs="Times New Roman"/>
                      <w:color w:val="000000"/>
                      <w:sz w:val="13"/>
                      <w:szCs w:val="13"/>
                      <w:lang w:bidi="ar"/>
                    </w:rPr>
                    <w:t>0.69</w:t>
                  </w:r>
                </w:p>
              </w:tc>
              <w:tc>
                <w:tcPr>
                  <w:tcW w:w="444" w:type="pct"/>
                  <w:tcBorders>
                    <w:tl2br w:val="nil"/>
                    <w:tr2bl w:val="nil"/>
                  </w:tcBorders>
                  <w:shd w:val="clear" w:color="auto" w:fill="auto"/>
                  <w:vAlign w:val="center"/>
                </w:tcPr>
                <w:p w14:paraId="20E63E20"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3BEA16DC" w14:textId="77777777" w:rsidR="006540D7" w:rsidRPr="000D77E3" w:rsidRDefault="006540D7" w:rsidP="006540D7">
                  <w:pPr>
                    <w:jc w:val="center"/>
                    <w:rPr>
                      <w:rFonts w:ascii="Times New Roman" w:eastAsia="等线" w:hAnsi="Times New Roman" w:cs="Times New Roman"/>
                      <w:color w:val="000000"/>
                      <w:sz w:val="13"/>
                      <w:szCs w:val="13"/>
                    </w:rPr>
                  </w:pPr>
                </w:p>
              </w:tc>
              <w:tc>
                <w:tcPr>
                  <w:tcW w:w="317" w:type="pct"/>
                  <w:tcBorders>
                    <w:tl2br w:val="nil"/>
                    <w:tr2bl w:val="nil"/>
                  </w:tcBorders>
                  <w:shd w:val="clear" w:color="auto" w:fill="auto"/>
                  <w:vAlign w:val="center"/>
                </w:tcPr>
                <w:p w14:paraId="1E7BC978" w14:textId="77777777" w:rsidR="006540D7" w:rsidRPr="000D77E3" w:rsidRDefault="006540D7" w:rsidP="006540D7">
                  <w:pPr>
                    <w:jc w:val="center"/>
                    <w:rPr>
                      <w:rFonts w:ascii="Times New Roman" w:eastAsia="等线" w:hAnsi="Times New Roman" w:cs="Times New Roman"/>
                      <w:color w:val="000000"/>
                      <w:sz w:val="13"/>
                      <w:szCs w:val="13"/>
                    </w:rPr>
                  </w:pPr>
                </w:p>
              </w:tc>
              <w:tc>
                <w:tcPr>
                  <w:tcW w:w="542" w:type="pct"/>
                  <w:tcBorders>
                    <w:tl2br w:val="nil"/>
                    <w:tr2bl w:val="nil"/>
                  </w:tcBorders>
                  <w:shd w:val="clear" w:color="auto" w:fill="auto"/>
                  <w:vAlign w:val="center"/>
                </w:tcPr>
                <w:p w14:paraId="0DECC861" w14:textId="77777777" w:rsidR="006540D7" w:rsidRPr="000D77E3" w:rsidRDefault="006540D7" w:rsidP="006540D7">
                  <w:pPr>
                    <w:jc w:val="center"/>
                    <w:rPr>
                      <w:rFonts w:ascii="Times New Roman" w:eastAsia="等线" w:hAnsi="Times New Roman" w:cs="Times New Roman"/>
                      <w:color w:val="000000"/>
                      <w:sz w:val="13"/>
                      <w:szCs w:val="13"/>
                    </w:rPr>
                  </w:pPr>
                </w:p>
              </w:tc>
              <w:tc>
                <w:tcPr>
                  <w:tcW w:w="395" w:type="pct"/>
                  <w:tcBorders>
                    <w:tl2br w:val="nil"/>
                    <w:tr2bl w:val="nil"/>
                  </w:tcBorders>
                  <w:shd w:val="clear" w:color="auto" w:fill="auto"/>
                  <w:vAlign w:val="center"/>
                </w:tcPr>
                <w:p w14:paraId="4FCFE52A" w14:textId="77777777" w:rsidR="006540D7" w:rsidRPr="000D77E3" w:rsidRDefault="006540D7" w:rsidP="006540D7">
                  <w:pPr>
                    <w:jc w:val="center"/>
                    <w:rPr>
                      <w:rFonts w:ascii="Times New Roman" w:eastAsia="等线" w:hAnsi="Times New Roman" w:cs="Times New Roman"/>
                      <w:color w:val="000000"/>
                      <w:sz w:val="13"/>
                      <w:szCs w:val="13"/>
                    </w:rPr>
                  </w:pPr>
                </w:p>
              </w:tc>
            </w:tr>
            <w:bookmarkEnd w:id="3"/>
          </w:tbl>
          <w:p w14:paraId="13A04126" w14:textId="59764CB4" w:rsidR="006540D7" w:rsidRDefault="006540D7" w:rsidP="006540D7">
            <w:pPr>
              <w:spacing w:beforeLines="40" w:before="96" w:afterLines="40" w:after="96" w:line="24" w:lineRule="atLeast"/>
              <w:rPr>
                <w:rFonts w:eastAsia="宋体"/>
                <w:sz w:val="18"/>
                <w:szCs w:val="18"/>
                <w:lang w:val="en-US" w:eastAsia="zh-CN"/>
              </w:rPr>
            </w:pPr>
          </w:p>
        </w:tc>
      </w:tr>
      <w:tr w:rsidR="006540D7" w14:paraId="6EEDBC55" w14:textId="77777777">
        <w:tc>
          <w:tcPr>
            <w:tcW w:w="587" w:type="dxa"/>
            <w:shd w:val="clear" w:color="auto" w:fill="EEEEEE"/>
          </w:tcPr>
          <w:p w14:paraId="633859F7"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3E042E8"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EEEEEE"/>
          </w:tcPr>
          <w:p w14:paraId="4D738084"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 xml:space="preserve">If relevant, consider translating estimates of relative risk into absolute risk for a meaningful </w:t>
            </w:r>
            <w:proofErr w:type="gramStart"/>
            <w:r>
              <w:rPr>
                <w:rFonts w:eastAsia="Times New Roman"/>
                <w:sz w:val="18"/>
                <w:szCs w:val="18"/>
                <w:lang w:val="en-GB" w:eastAsia="en-GB"/>
              </w:rPr>
              <w:t>time period</w:t>
            </w:r>
            <w:proofErr w:type="gramEnd"/>
          </w:p>
        </w:tc>
        <w:tc>
          <w:tcPr>
            <w:tcW w:w="720" w:type="dxa"/>
            <w:shd w:val="clear" w:color="auto" w:fill="EEEEEE"/>
          </w:tcPr>
          <w:p w14:paraId="631637AB" w14:textId="6954EF5A"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666294A7" w14:textId="68061371" w:rsidR="00DB02F7" w:rsidRDefault="00D20BD7">
            <w:pPr>
              <w:spacing w:beforeLines="40" w:before="96" w:afterLines="40" w:after="96" w:line="24" w:lineRule="atLeast"/>
              <w:jc w:val="both"/>
              <w:rPr>
                <w:rFonts w:eastAsia="宋体"/>
                <w:sz w:val="18"/>
                <w:szCs w:val="18"/>
                <w:lang w:val="en-US" w:eastAsia="zh-CN"/>
              </w:rPr>
            </w:pPr>
            <w:r w:rsidRPr="00D20BD7">
              <w:rPr>
                <w:rFonts w:ascii="Times New Roman" w:hAnsi="Times New Roman" w:cs="Times New Roman"/>
                <w:sz w:val="16"/>
                <w:szCs w:val="16"/>
              </w:rPr>
              <w:t>The forward MR analysis (IBD and subtypes as exposure and conjunctivitis as outcome) suggested a positive causality in all three cases (p &lt; 0.05, Figures 2A–C, Table 1).</w:t>
            </w:r>
          </w:p>
        </w:tc>
      </w:tr>
      <w:tr w:rsidR="006540D7" w14:paraId="0A0549EF" w14:textId="77777777">
        <w:tc>
          <w:tcPr>
            <w:tcW w:w="587" w:type="dxa"/>
            <w:shd w:val="clear" w:color="auto" w:fill="auto"/>
          </w:tcPr>
          <w:p w14:paraId="315EF7C6"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23543A2D"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auto"/>
          </w:tcPr>
          <w:p w14:paraId="7148A29E"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0A93722D" w14:textId="7A6F3033"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558FD5AE" w14:textId="721E3435" w:rsidR="00DB02F7" w:rsidRDefault="00D20BD7">
            <w:pPr>
              <w:spacing w:beforeLines="40" w:before="96" w:afterLines="40" w:after="96" w:line="24" w:lineRule="atLeast"/>
              <w:jc w:val="both"/>
              <w:rPr>
                <w:rFonts w:eastAsia="Times New Roman"/>
                <w:sz w:val="18"/>
                <w:szCs w:val="18"/>
                <w:lang w:val="en-GB" w:eastAsia="en-GB"/>
              </w:rPr>
            </w:pPr>
            <w:r w:rsidRPr="00D20BD7">
              <w:rPr>
                <w:rFonts w:ascii="Times New Roman" w:hAnsi="Times New Roman" w:cs="Times New Roman"/>
                <w:sz w:val="16"/>
                <w:szCs w:val="16"/>
              </w:rPr>
              <w:t>Further, in the leave-one-out analysis (Figures 3A–F), SNPs showed a concentrated distribution without evidence of any abnormal SNPs</w:t>
            </w:r>
          </w:p>
        </w:tc>
      </w:tr>
      <w:tr w:rsidR="006540D7" w14:paraId="6D0DEF04" w14:textId="77777777">
        <w:tc>
          <w:tcPr>
            <w:tcW w:w="587" w:type="dxa"/>
            <w:shd w:val="clear" w:color="auto" w:fill="EEEEEE"/>
          </w:tcPr>
          <w:p w14:paraId="07F20183"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12</w:t>
            </w:r>
          </w:p>
        </w:tc>
        <w:tc>
          <w:tcPr>
            <w:tcW w:w="1822" w:type="dxa"/>
            <w:shd w:val="clear" w:color="auto" w:fill="EEEEEE"/>
          </w:tcPr>
          <w:p w14:paraId="6A30AE18"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Assessment of assumptions</w:t>
            </w:r>
          </w:p>
        </w:tc>
        <w:tc>
          <w:tcPr>
            <w:tcW w:w="7041" w:type="dxa"/>
            <w:shd w:val="clear" w:color="auto" w:fill="EEEEEE"/>
          </w:tcPr>
          <w:p w14:paraId="6893AEB3" w14:textId="77777777" w:rsidR="00DB02F7" w:rsidRDefault="00DB02F7">
            <w:pPr>
              <w:spacing w:beforeLines="40" w:before="96" w:afterLines="40" w:after="96" w:line="24" w:lineRule="atLeast"/>
              <w:rPr>
                <w:rFonts w:eastAsia="Cambria"/>
                <w:sz w:val="18"/>
                <w:szCs w:val="18"/>
                <w:lang w:val="en-GB" w:eastAsia="en-US"/>
              </w:rPr>
            </w:pPr>
          </w:p>
        </w:tc>
        <w:tc>
          <w:tcPr>
            <w:tcW w:w="720" w:type="dxa"/>
            <w:shd w:val="clear" w:color="auto" w:fill="EEEEEE"/>
          </w:tcPr>
          <w:p w14:paraId="04A1FD05"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shd w:val="clear" w:color="auto" w:fill="EEEEEE"/>
          </w:tcPr>
          <w:p w14:paraId="5574632F" w14:textId="77777777" w:rsidR="00DB02F7" w:rsidRDefault="00DB02F7">
            <w:pPr>
              <w:spacing w:beforeLines="40" w:before="96" w:afterLines="40" w:after="96" w:line="24" w:lineRule="atLeast"/>
              <w:rPr>
                <w:rFonts w:eastAsia="Cambria"/>
                <w:sz w:val="18"/>
                <w:szCs w:val="18"/>
                <w:lang w:val="en-GB" w:eastAsia="en-US"/>
              </w:rPr>
            </w:pPr>
          </w:p>
        </w:tc>
      </w:tr>
      <w:tr w:rsidR="006540D7" w14:paraId="0EF3EFE7" w14:textId="77777777">
        <w:tc>
          <w:tcPr>
            <w:tcW w:w="587" w:type="dxa"/>
            <w:shd w:val="clear" w:color="auto" w:fill="auto"/>
          </w:tcPr>
          <w:p w14:paraId="4A9770B4"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2ECB73CC"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4E261ABF"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Report the assessment of the validity of the assumptions</w:t>
            </w:r>
          </w:p>
        </w:tc>
        <w:tc>
          <w:tcPr>
            <w:tcW w:w="720" w:type="dxa"/>
          </w:tcPr>
          <w:p w14:paraId="26DCEFB9" w14:textId="169912EF"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5A4F60DB" w14:textId="6B53460A" w:rsidR="00D20BD7" w:rsidRDefault="00D20BD7" w:rsidP="00D20BD7">
            <w:pPr>
              <w:tabs>
                <w:tab w:val="left" w:pos="312"/>
              </w:tabs>
              <w:spacing w:beforeLines="40" w:before="96" w:afterLines="40" w:after="96" w:line="24" w:lineRule="atLeast"/>
              <w:jc w:val="both"/>
              <w:rPr>
                <w:rFonts w:ascii="Times New Roman" w:eastAsiaTheme="minorEastAsia" w:hAnsi="Times New Roman" w:cs="Times New Roman"/>
                <w:sz w:val="16"/>
                <w:szCs w:val="16"/>
                <w:lang w:eastAsia="zh-CN"/>
              </w:rPr>
            </w:pPr>
            <w:r>
              <w:rPr>
                <w:rFonts w:ascii="Times New Roman" w:eastAsiaTheme="minorEastAsia" w:hAnsi="Times New Roman" w:cs="Times New Roman" w:hint="eastAsia"/>
                <w:sz w:val="16"/>
                <w:szCs w:val="16"/>
                <w:lang w:eastAsia="zh-CN"/>
              </w:rPr>
              <w:t>1.</w:t>
            </w:r>
            <w:r w:rsidRPr="00D20BD7">
              <w:rPr>
                <w:rFonts w:ascii="Times New Roman" w:eastAsiaTheme="minorEastAsia" w:hAnsi="Times New Roman" w:cs="Times New Roman"/>
                <w:sz w:val="16"/>
                <w:szCs w:val="16"/>
                <w:lang w:eastAsia="zh-CN"/>
              </w:rPr>
              <w:t>Further, in the leave-one-out analysis (Figures 3A–F), SNPs showed a concentrated distribution without evidence of any abnormal SNPs</w:t>
            </w:r>
            <w:r>
              <w:rPr>
                <w:rFonts w:ascii="Times New Roman" w:eastAsiaTheme="minorEastAsia" w:hAnsi="Times New Roman" w:cs="Times New Roman" w:hint="eastAsia"/>
                <w:sz w:val="16"/>
                <w:szCs w:val="16"/>
                <w:lang w:eastAsia="zh-CN"/>
              </w:rPr>
              <w:t>.</w:t>
            </w:r>
          </w:p>
          <w:p w14:paraId="6DB9E0DA" w14:textId="6821A3A3" w:rsidR="00DB02F7" w:rsidRPr="00D20BD7" w:rsidRDefault="00D20BD7" w:rsidP="00D20BD7">
            <w:pPr>
              <w:tabs>
                <w:tab w:val="left" w:pos="312"/>
              </w:tabs>
              <w:spacing w:beforeLines="40" w:before="96" w:afterLines="40" w:after="96" w:line="24" w:lineRule="atLeast"/>
              <w:jc w:val="both"/>
              <w:rPr>
                <w:rFonts w:ascii="Times New Roman" w:eastAsiaTheme="minorEastAsia" w:hAnsi="Times New Roman" w:cs="Times New Roman"/>
                <w:sz w:val="16"/>
                <w:szCs w:val="16"/>
                <w:lang w:eastAsia="zh-CN"/>
              </w:rPr>
            </w:pPr>
            <w:r>
              <w:rPr>
                <w:rFonts w:ascii="Times New Roman" w:eastAsiaTheme="minorEastAsia" w:hAnsi="Times New Roman" w:cs="Times New Roman" w:hint="eastAsia"/>
                <w:sz w:val="16"/>
                <w:szCs w:val="16"/>
                <w:lang w:eastAsia="zh-CN"/>
              </w:rPr>
              <w:t>2.</w:t>
            </w:r>
            <w:r w:rsidRPr="00D20BD7">
              <w:rPr>
                <w:rFonts w:ascii="Times New Roman" w:eastAsiaTheme="minorEastAsia" w:hAnsi="Times New Roman" w:cs="Times New Roman"/>
                <w:sz w:val="16"/>
                <w:szCs w:val="16"/>
                <w:lang w:eastAsia="zh-CN"/>
              </w:rPr>
              <w:t xml:space="preserve"> In addition, no bias in the weak instrumental variables was observed (F &gt; 10). Collectively, these findings validated the reliability of the results. The F-statistics corresponding to all the instrumental variables were &gt; 10, indicating no bias in the weak instrumental variables.</w:t>
            </w:r>
          </w:p>
        </w:tc>
      </w:tr>
      <w:tr w:rsidR="006540D7" w14:paraId="5100AFFE" w14:textId="77777777">
        <w:tc>
          <w:tcPr>
            <w:tcW w:w="587" w:type="dxa"/>
            <w:shd w:val="clear" w:color="auto" w:fill="EEEEEE"/>
          </w:tcPr>
          <w:p w14:paraId="3F472931"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8040017"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3C842A2D"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 xml:space="preserve">Report any additional statistics (e.g., assessments of heterogeneity </w:t>
            </w:r>
            <w:r>
              <w:rPr>
                <w:rFonts w:eastAsia="Times New Roman"/>
                <w:sz w:val="18"/>
                <w:szCs w:val="18"/>
                <w:lang w:eastAsia="en-GB"/>
              </w:rPr>
              <w:t>across genetic variants</w:t>
            </w:r>
            <w:r>
              <w:rPr>
                <w:rFonts w:eastAsia="Times New Roman"/>
                <w:sz w:val="18"/>
                <w:szCs w:val="18"/>
                <w:lang w:val="en-GB" w:eastAsia="en-GB"/>
              </w:rPr>
              <w:t xml:space="preserve">, such as </w:t>
            </w:r>
            <w:r>
              <w:rPr>
                <w:rFonts w:eastAsia="Times New Roman"/>
                <w:i/>
                <w:sz w:val="18"/>
                <w:szCs w:val="18"/>
                <w:lang w:val="en-GB" w:eastAsia="en-GB"/>
              </w:rPr>
              <w:t>I</w:t>
            </w:r>
            <w:r>
              <w:rPr>
                <w:rFonts w:eastAsia="Times New Roman"/>
                <w:i/>
                <w:sz w:val="18"/>
                <w:szCs w:val="18"/>
                <w:vertAlign w:val="superscript"/>
                <w:lang w:val="en-GB" w:eastAsia="en-GB"/>
              </w:rPr>
              <w:t>2</w:t>
            </w:r>
            <w:r>
              <w:rPr>
                <w:rFonts w:eastAsia="Times New Roman"/>
                <w:sz w:val="18"/>
                <w:szCs w:val="18"/>
                <w:lang w:val="en-GB" w:eastAsia="en-GB"/>
              </w:rPr>
              <w:t>, Q statistic or E-value)</w:t>
            </w:r>
          </w:p>
        </w:tc>
        <w:tc>
          <w:tcPr>
            <w:tcW w:w="720" w:type="dxa"/>
            <w:shd w:val="clear" w:color="auto" w:fill="EEEEEE"/>
          </w:tcPr>
          <w:p w14:paraId="3552E68D" w14:textId="09781ECA"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2C298C86" w14:textId="389071E9" w:rsidR="00DB02F7" w:rsidRDefault="00D20BD7">
            <w:pPr>
              <w:spacing w:beforeLines="40" w:before="96" w:afterLines="40" w:after="96" w:line="24" w:lineRule="atLeast"/>
              <w:jc w:val="both"/>
              <w:rPr>
                <w:rFonts w:ascii="Times New Roman" w:hAnsi="Times New Roman" w:cs="Times New Roman"/>
                <w:sz w:val="16"/>
                <w:szCs w:val="16"/>
                <w:lang w:val="en-GB" w:eastAsia="en-GB"/>
              </w:rPr>
            </w:pPr>
            <w:r w:rsidRPr="00D20BD7">
              <w:rPr>
                <w:rFonts w:ascii="Times New Roman" w:hAnsi="Times New Roman" w:cs="Times New Roman"/>
                <w:sz w:val="16"/>
                <w:szCs w:val="16"/>
              </w:rPr>
              <w:t>In addition, no bias in the weak instrumental variables was observed (F &gt; 10). Collectively, these findings validated the reliability of the results. The F-statistics corresponding to all the instrumental variables were &gt; 10, indicating no bias in the weak instrumental variables.</w:t>
            </w:r>
          </w:p>
        </w:tc>
      </w:tr>
      <w:tr w:rsidR="006540D7" w14:paraId="39DA288F" w14:textId="77777777">
        <w:tc>
          <w:tcPr>
            <w:tcW w:w="587" w:type="dxa"/>
            <w:shd w:val="clear" w:color="auto" w:fill="auto"/>
          </w:tcPr>
          <w:p w14:paraId="226C8FC6"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13</w:t>
            </w:r>
          </w:p>
        </w:tc>
        <w:tc>
          <w:tcPr>
            <w:tcW w:w="1822" w:type="dxa"/>
            <w:shd w:val="clear" w:color="auto" w:fill="auto"/>
          </w:tcPr>
          <w:p w14:paraId="39D45301"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Sensitivity analyses and additional analyses</w:t>
            </w:r>
          </w:p>
        </w:tc>
        <w:tc>
          <w:tcPr>
            <w:tcW w:w="7041" w:type="dxa"/>
            <w:shd w:val="clear" w:color="auto" w:fill="auto"/>
          </w:tcPr>
          <w:p w14:paraId="2181306C" w14:textId="77777777" w:rsidR="00DB02F7" w:rsidRDefault="00DB02F7">
            <w:pPr>
              <w:spacing w:beforeLines="40" w:before="96" w:afterLines="40" w:after="96" w:line="24" w:lineRule="atLeast"/>
              <w:rPr>
                <w:rFonts w:eastAsia="Cambria"/>
                <w:sz w:val="18"/>
                <w:szCs w:val="18"/>
                <w:lang w:val="en-GB" w:eastAsia="en-US"/>
              </w:rPr>
            </w:pPr>
          </w:p>
        </w:tc>
        <w:tc>
          <w:tcPr>
            <w:tcW w:w="720" w:type="dxa"/>
          </w:tcPr>
          <w:p w14:paraId="742B57A7"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tcPr>
          <w:p w14:paraId="3DCE9941" w14:textId="77777777" w:rsidR="00DB02F7" w:rsidRDefault="00DB02F7">
            <w:pPr>
              <w:spacing w:beforeLines="40" w:before="96" w:afterLines="40" w:after="96" w:line="24" w:lineRule="atLeast"/>
              <w:rPr>
                <w:rFonts w:eastAsia="Cambria"/>
                <w:sz w:val="18"/>
                <w:szCs w:val="18"/>
                <w:lang w:val="en-GB" w:eastAsia="en-US"/>
              </w:rPr>
            </w:pPr>
          </w:p>
        </w:tc>
      </w:tr>
      <w:tr w:rsidR="006540D7" w14:paraId="0661E0E4" w14:textId="77777777">
        <w:tc>
          <w:tcPr>
            <w:tcW w:w="587" w:type="dxa"/>
            <w:shd w:val="clear" w:color="auto" w:fill="EEEEEE"/>
          </w:tcPr>
          <w:p w14:paraId="0152B68B"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D3195A3"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EEEEEE"/>
          </w:tcPr>
          <w:p w14:paraId="52466F53"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732991AD" w14:textId="6041D531"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1CC6817A" w14:textId="5B3B4C80" w:rsidR="00DB02F7" w:rsidRDefault="00D20BD7">
            <w:pPr>
              <w:spacing w:beforeLines="40" w:before="96" w:afterLines="40" w:after="96" w:line="24" w:lineRule="atLeast"/>
              <w:jc w:val="both"/>
              <w:rPr>
                <w:rFonts w:eastAsia="Times New Roman"/>
                <w:sz w:val="18"/>
                <w:szCs w:val="18"/>
                <w:lang w:val="en-GB" w:eastAsia="en-GB"/>
              </w:rPr>
            </w:pPr>
            <w:r w:rsidRPr="00D20BD7">
              <w:rPr>
                <w:rFonts w:ascii="Times New Roman" w:hAnsi="Times New Roman" w:cs="Times New Roman"/>
                <w:sz w:val="16"/>
                <w:szCs w:val="16"/>
              </w:rPr>
              <w:t>Further, in the leave-one-out analysis (Figures 3A–F), SNPs showed a concentrated distribution without evidence of any abnormal SNPs.</w:t>
            </w:r>
          </w:p>
        </w:tc>
      </w:tr>
      <w:tr w:rsidR="006540D7" w14:paraId="551BB534" w14:textId="77777777">
        <w:tc>
          <w:tcPr>
            <w:tcW w:w="587" w:type="dxa"/>
            <w:shd w:val="clear" w:color="auto" w:fill="auto"/>
          </w:tcPr>
          <w:p w14:paraId="73FD4DD0"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79F0D3C"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auto"/>
          </w:tcPr>
          <w:p w14:paraId="0BCBAD90"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Report results from other sensitivity analyses or additional analyses</w:t>
            </w:r>
          </w:p>
        </w:tc>
        <w:tc>
          <w:tcPr>
            <w:tcW w:w="720" w:type="dxa"/>
          </w:tcPr>
          <w:p w14:paraId="1FCE1CF8" w14:textId="589CA047"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6D90550D" w14:textId="63566F56" w:rsidR="00DB02F7" w:rsidRDefault="00D20BD7">
            <w:pPr>
              <w:spacing w:beforeLines="40" w:before="96" w:afterLines="40" w:after="96" w:line="24" w:lineRule="atLeast"/>
              <w:jc w:val="both"/>
              <w:rPr>
                <w:rFonts w:ascii="Times New Roman" w:hAnsi="Times New Roman" w:cs="Times New Roman"/>
                <w:sz w:val="16"/>
                <w:szCs w:val="16"/>
                <w:lang w:val="en-GB" w:eastAsia="en-GB"/>
              </w:rPr>
            </w:pPr>
            <w:r w:rsidRPr="00D20BD7">
              <w:rPr>
                <w:rFonts w:ascii="Times New Roman" w:hAnsi="Times New Roman" w:cs="Times New Roman"/>
                <w:sz w:val="16"/>
                <w:szCs w:val="16"/>
              </w:rPr>
              <w:t>In addition, no bias in the weak instrumental variables was observed (F &gt; 10). Collectively, these findings validated the reliability of the results. The F-statistics corresponding to all the instrumental variables were &gt; 10, indicating no bias in the weak instrumental variables.</w:t>
            </w:r>
          </w:p>
        </w:tc>
      </w:tr>
      <w:tr w:rsidR="006540D7" w14:paraId="3706CDF8" w14:textId="77777777">
        <w:tc>
          <w:tcPr>
            <w:tcW w:w="587" w:type="dxa"/>
            <w:shd w:val="clear" w:color="auto" w:fill="EEEEEE"/>
          </w:tcPr>
          <w:p w14:paraId="230371DF"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3433A7"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EEEEEE"/>
          </w:tcPr>
          <w:p w14:paraId="2BAE7DFD"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Report any assessment of direction of causal relationship (e.g., bidirectional MR)</w:t>
            </w:r>
          </w:p>
        </w:tc>
        <w:tc>
          <w:tcPr>
            <w:tcW w:w="720" w:type="dxa"/>
            <w:shd w:val="clear" w:color="auto" w:fill="EEEEEE"/>
          </w:tcPr>
          <w:p w14:paraId="60241119" w14:textId="0BBD97B7"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shd w:val="clear" w:color="auto" w:fill="EEEEEE"/>
          </w:tcPr>
          <w:p w14:paraId="62B0E324" w14:textId="74DAD17B" w:rsidR="00DB02F7" w:rsidRDefault="00D20BD7">
            <w:pPr>
              <w:spacing w:beforeLines="40" w:before="96" w:afterLines="40" w:after="96" w:line="24" w:lineRule="atLeast"/>
              <w:jc w:val="both"/>
              <w:rPr>
                <w:rFonts w:eastAsia="Times New Roman"/>
                <w:sz w:val="18"/>
                <w:szCs w:val="18"/>
                <w:lang w:val="en-GB" w:eastAsia="en-GB"/>
              </w:rPr>
            </w:pPr>
            <w:r w:rsidRPr="00D20BD7">
              <w:rPr>
                <w:rFonts w:ascii="Times New Roman" w:hAnsi="Times New Roman" w:cs="Times New Roman"/>
                <w:sz w:val="16"/>
                <w:szCs w:val="16"/>
              </w:rPr>
              <w:t xml:space="preserve">Tables 1–2 demonstrate the </w:t>
            </w:r>
            <w:proofErr w:type="gramStart"/>
            <w:r w:rsidRPr="00D20BD7">
              <w:rPr>
                <w:rFonts w:ascii="Times New Roman" w:hAnsi="Times New Roman" w:cs="Times New Roman"/>
                <w:sz w:val="16"/>
                <w:szCs w:val="16"/>
              </w:rPr>
              <w:t>final results</w:t>
            </w:r>
            <w:proofErr w:type="gramEnd"/>
            <w:r w:rsidRPr="00D20BD7">
              <w:rPr>
                <w:rFonts w:ascii="Times New Roman" w:hAnsi="Times New Roman" w:cs="Times New Roman"/>
                <w:sz w:val="16"/>
                <w:szCs w:val="16"/>
              </w:rPr>
              <w:t xml:space="preserve"> of the correlation analysis between IBD (including CD and UC) and conjunctivitis using four methods. The forward MR analysis (IBD and subtypes as exposure and conjunctivitis as outcome) suggested a positive causality in all three cases (p &lt; 0.05, Figures 2A–C, Table 1). Conversely, the backward MR analysis did not demonstrate a causal effect of conjunctivitis on IBD or its subtypes (Table 2)</w:t>
            </w:r>
          </w:p>
        </w:tc>
      </w:tr>
      <w:tr w:rsidR="006540D7" w14:paraId="1B65ADC7" w14:textId="77777777">
        <w:tc>
          <w:tcPr>
            <w:tcW w:w="587" w:type="dxa"/>
            <w:shd w:val="clear" w:color="auto" w:fill="auto"/>
          </w:tcPr>
          <w:p w14:paraId="1B188088"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607A84B"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auto"/>
          </w:tcPr>
          <w:p w14:paraId="3ECFF247"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When relevant, report and compare with estimates from non-MR analyses</w:t>
            </w:r>
          </w:p>
        </w:tc>
        <w:tc>
          <w:tcPr>
            <w:tcW w:w="720" w:type="dxa"/>
          </w:tcPr>
          <w:p w14:paraId="4A8E6E00" w14:textId="03720BBF"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Pr>
          <w:p w14:paraId="551ED888" w14:textId="6B92B380" w:rsidR="00DB02F7" w:rsidRDefault="00D20BD7">
            <w:pPr>
              <w:spacing w:beforeLines="40" w:before="96" w:afterLines="40" w:after="96" w:line="24" w:lineRule="atLeast"/>
              <w:jc w:val="both"/>
              <w:rPr>
                <w:rFonts w:eastAsia="Times New Roman"/>
                <w:sz w:val="18"/>
                <w:szCs w:val="18"/>
                <w:lang w:val="en-GB" w:eastAsia="en-GB"/>
              </w:rPr>
            </w:pPr>
            <w:r w:rsidRPr="00D20BD7">
              <w:rPr>
                <w:rFonts w:ascii="Times New Roman" w:hAnsi="Times New Roman" w:cs="Times New Roman"/>
                <w:sz w:val="16"/>
                <w:szCs w:val="16"/>
              </w:rPr>
              <w:t xml:space="preserve">The results of LDSC analysis of IBD and conjunctivitis suggested a genetic correlation Z-score of 4.58 and a </w:t>
            </w:r>
            <w:proofErr w:type="spellStart"/>
            <w:r w:rsidRPr="00D20BD7">
              <w:rPr>
                <w:rFonts w:ascii="Times New Roman" w:hAnsi="Times New Roman" w:cs="Times New Roman"/>
                <w:sz w:val="16"/>
                <w:szCs w:val="16"/>
              </w:rPr>
              <w:t>rg</w:t>
            </w:r>
            <w:proofErr w:type="spellEnd"/>
            <w:r w:rsidRPr="00D20BD7">
              <w:rPr>
                <w:rFonts w:ascii="Times New Roman" w:hAnsi="Times New Roman" w:cs="Times New Roman"/>
                <w:sz w:val="16"/>
                <w:szCs w:val="16"/>
              </w:rPr>
              <w:t xml:space="preserve"> value of 0.22 (p = 4.59e−06 &lt; 0.05). Similarly, the Z-score and </w:t>
            </w:r>
            <w:proofErr w:type="spellStart"/>
            <w:r w:rsidRPr="00D20BD7">
              <w:rPr>
                <w:rFonts w:ascii="Times New Roman" w:hAnsi="Times New Roman" w:cs="Times New Roman"/>
                <w:sz w:val="16"/>
                <w:szCs w:val="16"/>
              </w:rPr>
              <w:t>rg</w:t>
            </w:r>
            <w:proofErr w:type="spellEnd"/>
            <w:r w:rsidRPr="00D20BD7">
              <w:rPr>
                <w:rFonts w:ascii="Times New Roman" w:hAnsi="Times New Roman" w:cs="Times New Roman"/>
                <w:sz w:val="16"/>
                <w:szCs w:val="16"/>
              </w:rPr>
              <w:t xml:space="preserve"> of CD were 4.28 and 0.22 (p = 1.84e−05 &lt; 0.05), respectively. The </w:t>
            </w:r>
            <w:proofErr w:type="spellStart"/>
            <w:r w:rsidRPr="00D20BD7">
              <w:rPr>
                <w:rFonts w:ascii="Times New Roman" w:hAnsi="Times New Roman" w:cs="Times New Roman"/>
                <w:sz w:val="16"/>
                <w:szCs w:val="16"/>
              </w:rPr>
              <w:t>rg</w:t>
            </w:r>
            <w:proofErr w:type="spellEnd"/>
            <w:r w:rsidRPr="00D20BD7">
              <w:rPr>
                <w:rFonts w:ascii="Times New Roman" w:hAnsi="Times New Roman" w:cs="Times New Roman"/>
                <w:sz w:val="16"/>
                <w:szCs w:val="16"/>
              </w:rPr>
              <w:t xml:space="preserve"> for UC was smaller (0.16, p = 4.1e−03 &lt; 0.05) than that of IBD and CD. Consequently, a positive association between either IBD or subtypes of IBD and conjunctivitis was observed.</w:t>
            </w:r>
          </w:p>
        </w:tc>
      </w:tr>
      <w:tr w:rsidR="006540D7" w14:paraId="237B582A" w14:textId="77777777">
        <w:tc>
          <w:tcPr>
            <w:tcW w:w="587" w:type="dxa"/>
            <w:tcBorders>
              <w:bottom w:val="single" w:sz="6" w:space="0" w:color="7F7F7F"/>
            </w:tcBorders>
            <w:shd w:val="clear" w:color="auto" w:fill="EEEEEE"/>
          </w:tcPr>
          <w:p w14:paraId="26C87300"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72F09A51"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e)</w:t>
            </w:r>
          </w:p>
        </w:tc>
        <w:tc>
          <w:tcPr>
            <w:tcW w:w="7041" w:type="dxa"/>
            <w:tcBorders>
              <w:bottom w:val="single" w:sz="6" w:space="0" w:color="7F7F7F"/>
            </w:tcBorders>
            <w:shd w:val="clear" w:color="auto" w:fill="EEEEEE"/>
          </w:tcPr>
          <w:p w14:paraId="135D1508"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74FC9444" w14:textId="49393DB5" w:rsidR="00DB02F7" w:rsidRDefault="00DB02F7">
            <w:pPr>
              <w:spacing w:beforeLines="40" w:before="96" w:afterLines="40" w:after="96" w:line="24" w:lineRule="atLeast"/>
              <w:jc w:val="center"/>
              <w:rPr>
                <w:rFonts w:ascii="Times New Roman Bold" w:eastAsia="宋体" w:hAnsi="Times New Roman Bold" w:cs="Times New Roman Bold"/>
                <w:b/>
                <w:bCs/>
                <w:sz w:val="18"/>
                <w:szCs w:val="18"/>
                <w:lang w:val="en-US" w:eastAsia="zh-CN"/>
              </w:rPr>
            </w:pPr>
          </w:p>
        </w:tc>
        <w:tc>
          <w:tcPr>
            <w:tcW w:w="4320" w:type="dxa"/>
            <w:tcBorders>
              <w:bottom w:val="single" w:sz="6" w:space="0" w:color="7F7F7F"/>
            </w:tcBorders>
            <w:shd w:val="clear" w:color="auto" w:fill="EEEEEE"/>
          </w:tcPr>
          <w:p w14:paraId="18D0F608" w14:textId="0A6DC486" w:rsidR="00DB02F7" w:rsidRDefault="00D20BD7">
            <w:pPr>
              <w:spacing w:beforeLines="40" w:before="96" w:afterLines="40" w:after="96" w:line="24" w:lineRule="atLeast"/>
              <w:jc w:val="both"/>
              <w:rPr>
                <w:rFonts w:eastAsia="Times New Roman"/>
                <w:sz w:val="18"/>
                <w:szCs w:val="18"/>
                <w:lang w:val="en-GB" w:eastAsia="en-GB"/>
              </w:rPr>
            </w:pPr>
            <w:r w:rsidRPr="00D20BD7">
              <w:rPr>
                <w:rFonts w:ascii="Times New Roman" w:hAnsi="Times New Roman" w:cs="Times New Roman"/>
                <w:sz w:val="16"/>
                <w:szCs w:val="16"/>
              </w:rPr>
              <w:t>Further, in the leave-one-out analysis (Figures 3A–F), SNPs showed a concentrated distribution without evidence of any abnormal SNPs. The details of the instrumental variables used in this study are mentioned in Supplementary Tables S4–9.</w:t>
            </w:r>
          </w:p>
        </w:tc>
      </w:tr>
      <w:tr w:rsidR="006540D7" w14:paraId="56BC7EBE" w14:textId="77777777">
        <w:trPr>
          <w:trHeight w:val="90"/>
        </w:trPr>
        <w:tc>
          <w:tcPr>
            <w:tcW w:w="587" w:type="dxa"/>
            <w:tcBorders>
              <w:top w:val="single" w:sz="6" w:space="0" w:color="7F7F7F"/>
            </w:tcBorders>
            <w:shd w:val="clear" w:color="auto" w:fill="auto"/>
          </w:tcPr>
          <w:p w14:paraId="4DF21321" w14:textId="77777777" w:rsidR="00DB02F7" w:rsidRDefault="00DB02F7">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5AD4CAF4"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07AD70C" w14:textId="77777777" w:rsidR="00DB02F7" w:rsidRDefault="00DB02F7">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398AA1E"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tcBorders>
              <w:top w:val="single" w:sz="6" w:space="0" w:color="7F7F7F"/>
            </w:tcBorders>
          </w:tcPr>
          <w:p w14:paraId="42C33B08" w14:textId="77777777" w:rsidR="00DB02F7" w:rsidRDefault="00DB02F7">
            <w:pPr>
              <w:spacing w:beforeLines="40" w:before="96" w:afterLines="40" w:after="96" w:line="24" w:lineRule="atLeast"/>
              <w:rPr>
                <w:rFonts w:eastAsia="Cambria"/>
                <w:sz w:val="18"/>
                <w:szCs w:val="18"/>
                <w:lang w:val="en-GB" w:eastAsia="en-US"/>
              </w:rPr>
            </w:pPr>
          </w:p>
        </w:tc>
      </w:tr>
      <w:tr w:rsidR="006540D7" w14:paraId="023F5415" w14:textId="77777777">
        <w:tc>
          <w:tcPr>
            <w:tcW w:w="587" w:type="dxa"/>
            <w:shd w:val="clear" w:color="auto" w:fill="EEEEEE"/>
          </w:tcPr>
          <w:p w14:paraId="18571AE3"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14</w:t>
            </w:r>
          </w:p>
        </w:tc>
        <w:tc>
          <w:tcPr>
            <w:tcW w:w="1822" w:type="dxa"/>
            <w:shd w:val="clear" w:color="auto" w:fill="EEEEEE"/>
          </w:tcPr>
          <w:p w14:paraId="60AF4477"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Key results </w:t>
            </w:r>
          </w:p>
        </w:tc>
        <w:tc>
          <w:tcPr>
            <w:tcW w:w="7041" w:type="dxa"/>
            <w:shd w:val="clear" w:color="auto" w:fill="EEEEEE"/>
          </w:tcPr>
          <w:p w14:paraId="3EE26671"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Summarize key results with reference to study objectives</w:t>
            </w:r>
          </w:p>
        </w:tc>
        <w:tc>
          <w:tcPr>
            <w:tcW w:w="720" w:type="dxa"/>
            <w:shd w:val="clear" w:color="auto" w:fill="EEEEEE"/>
          </w:tcPr>
          <w:p w14:paraId="0E80D565" w14:textId="2A2BB7CE" w:rsidR="00DB02F7" w:rsidRPr="00D20BD7"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shd w:val="clear" w:color="auto" w:fill="EEEEEE"/>
          </w:tcPr>
          <w:p w14:paraId="7F873D15" w14:textId="14229EF6" w:rsidR="00DB02F7" w:rsidRDefault="00D20BD7">
            <w:pPr>
              <w:spacing w:after="160" w:line="240" w:lineRule="auto"/>
              <w:jc w:val="both"/>
              <w:rPr>
                <w:rFonts w:eastAsia="Times New Roman"/>
                <w:sz w:val="18"/>
                <w:szCs w:val="18"/>
                <w:lang w:val="en-GB" w:eastAsia="en-GB"/>
              </w:rPr>
            </w:pPr>
            <w:r w:rsidRPr="00D20BD7">
              <w:rPr>
                <w:rFonts w:ascii="Times New Roman" w:hAnsi="Times New Roman" w:cs="Times New Roman"/>
                <w:sz w:val="16"/>
                <w:szCs w:val="16"/>
              </w:rPr>
              <w:t>In conclusion, this study expands the understanding of the genetic structure and causal relationship between IBD (including CD and UC) and conjunctivitis by contributing to the previous epidemiologic studies. Thus, our findings would benefit the current treatment of the comorbidity between IBD (including CD and UC) and conjunctivitis.</w:t>
            </w:r>
          </w:p>
        </w:tc>
      </w:tr>
      <w:tr w:rsidR="006540D7" w14:paraId="45DB9ACC" w14:textId="77777777">
        <w:tc>
          <w:tcPr>
            <w:tcW w:w="587" w:type="dxa"/>
            <w:shd w:val="clear" w:color="auto" w:fill="auto"/>
          </w:tcPr>
          <w:p w14:paraId="52894A12"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15</w:t>
            </w:r>
          </w:p>
        </w:tc>
        <w:tc>
          <w:tcPr>
            <w:tcW w:w="1822" w:type="dxa"/>
            <w:shd w:val="clear" w:color="auto" w:fill="auto"/>
          </w:tcPr>
          <w:p w14:paraId="77EB8754"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Limitations</w:t>
            </w:r>
          </w:p>
        </w:tc>
        <w:tc>
          <w:tcPr>
            <w:tcW w:w="7041" w:type="dxa"/>
            <w:shd w:val="clear" w:color="auto" w:fill="auto"/>
          </w:tcPr>
          <w:p w14:paraId="21B39CDA"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Discuss limitations of the study, </w:t>
            </w:r>
            <w:proofErr w:type="gramStart"/>
            <w:r>
              <w:rPr>
                <w:rFonts w:eastAsia="Times New Roman"/>
                <w:sz w:val="18"/>
                <w:szCs w:val="18"/>
                <w:lang w:val="en-GB" w:eastAsia="en-GB"/>
              </w:rPr>
              <w:t>taking into account</w:t>
            </w:r>
            <w:proofErr w:type="gramEnd"/>
            <w:r>
              <w:rPr>
                <w:rFonts w:eastAsia="Times New Roman"/>
                <w:sz w:val="18"/>
                <w:szCs w:val="18"/>
                <w:lang w:val="en-GB" w:eastAsia="en-GB"/>
              </w:rPr>
              <w:t xml:space="preserve"> the validity of the IV assumptions, other sources of potential bias, and imprecision. Discuss both direction and magnitude of any potential bias and any efforts to address them</w:t>
            </w:r>
            <w:r>
              <w:rPr>
                <w:rFonts w:eastAsia="Times New Roman"/>
                <w:sz w:val="18"/>
                <w:szCs w:val="18"/>
                <w:shd w:val="clear" w:color="auto" w:fill="FFFFFF"/>
                <w:lang w:val="en-GB" w:eastAsia="en-GB"/>
              </w:rPr>
              <w:t> </w:t>
            </w:r>
          </w:p>
        </w:tc>
        <w:tc>
          <w:tcPr>
            <w:tcW w:w="720" w:type="dxa"/>
          </w:tcPr>
          <w:p w14:paraId="02950A13" w14:textId="632DC0DD" w:rsidR="00DB02F7" w:rsidRPr="00D20BD7"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tcPr>
          <w:p w14:paraId="2AB03B31" w14:textId="4EFF274F" w:rsidR="00DB02F7" w:rsidRPr="0034520E" w:rsidRDefault="0034520E">
            <w:pPr>
              <w:spacing w:beforeLines="40" w:before="96" w:afterLines="40" w:after="96" w:line="24" w:lineRule="atLeast"/>
              <w:jc w:val="both"/>
              <w:rPr>
                <w:rFonts w:ascii="Times New Roman Regular" w:eastAsiaTheme="minorEastAsia" w:hAnsi="Times New Roman Regular" w:cs="Times New Roman Regular"/>
                <w:sz w:val="16"/>
                <w:szCs w:val="16"/>
                <w:lang w:val="en-US" w:eastAsia="zh-CN"/>
              </w:rPr>
            </w:pPr>
            <w:r w:rsidRPr="0034520E">
              <w:rPr>
                <w:rFonts w:ascii="Times New Roman Regular" w:eastAsia="Times New Roman" w:hAnsi="Times New Roman Regular" w:cs="Times New Roman Regular"/>
                <w:sz w:val="16"/>
                <w:szCs w:val="16"/>
                <w:lang w:val="en-US" w:eastAsia="en-GB"/>
              </w:rPr>
              <w:t>Despite several significant findings, the present study had some limitations. First, it is impossible to completely negate the occurrence of LD. Although these methods (LDSC, H</w:t>
            </w:r>
            <w:r w:rsidRPr="0034520E">
              <w:rPr>
                <w:rFonts w:ascii="Times New Roman Regular" w:eastAsia="Times New Roman" w:hAnsi="Times New Roman Regular" w:cs="Times New Roman Regular" w:hint="eastAsia"/>
                <w:sz w:val="16"/>
                <w:szCs w:val="16"/>
                <w:lang w:val="en-US" w:eastAsia="en-GB"/>
              </w:rPr>
              <w:t>ESS</w:t>
            </w:r>
            <w:r w:rsidRPr="0034520E">
              <w:rPr>
                <w:rFonts w:ascii="Times New Roman Regular" w:eastAsia="Times New Roman" w:hAnsi="Times New Roman Regular" w:cs="Times New Roman Regular"/>
                <w:sz w:val="16"/>
                <w:szCs w:val="16"/>
                <w:lang w:val="en-US" w:eastAsia="en-GB"/>
              </w:rPr>
              <w:t xml:space="preserve">, MR, </w:t>
            </w:r>
            <w:proofErr w:type="spellStart"/>
            <w:proofErr w:type="gramStart"/>
            <w:r w:rsidRPr="0034520E">
              <w:rPr>
                <w:rFonts w:ascii="Times New Roman Regular" w:eastAsia="Times New Roman" w:hAnsi="Times New Roman Regular" w:cs="Times New Roman Regular"/>
                <w:sz w:val="16"/>
                <w:szCs w:val="16"/>
                <w:lang w:val="en-US" w:eastAsia="en-GB"/>
              </w:rPr>
              <w:t>conjFDR</w:t>
            </w:r>
            <w:r w:rsidRPr="0034520E">
              <w:rPr>
                <w:rFonts w:ascii="Times New Roman Regular" w:eastAsia="Times New Roman" w:hAnsi="Times New Roman Regular" w:cs="Times New Roman Regular" w:hint="eastAsia"/>
                <w:sz w:val="16"/>
                <w:szCs w:val="16"/>
                <w:lang w:val="en-US" w:eastAsia="en-GB"/>
              </w:rPr>
              <w:t>,and</w:t>
            </w:r>
            <w:proofErr w:type="spellEnd"/>
            <w:proofErr w:type="gramEnd"/>
            <w:r w:rsidRPr="0034520E">
              <w:rPr>
                <w:rFonts w:ascii="Times New Roman Regular" w:eastAsia="Times New Roman" w:hAnsi="Times New Roman Regular" w:cs="Times New Roman Regular" w:hint="eastAsia"/>
                <w:sz w:val="16"/>
                <w:szCs w:val="16"/>
                <w:lang w:val="en-US" w:eastAsia="en-GB"/>
              </w:rPr>
              <w:t xml:space="preserve"> MTAG</w:t>
            </w:r>
            <w:r w:rsidRPr="0034520E">
              <w:rPr>
                <w:rFonts w:ascii="Times New Roman Regular" w:eastAsia="Times New Roman" w:hAnsi="Times New Roman Regular" w:cs="Times New Roman Regular"/>
                <w:sz w:val="16"/>
                <w:szCs w:val="16"/>
                <w:lang w:val="en-US" w:eastAsia="en-GB"/>
              </w:rPr>
              <w:t xml:space="preserve">) substantially reduced the possibility of sample overlap, the exaggeration of cross-trait enrichment results due to overlapping participants cannot be ruled out. In addition, certain unavoidable factors, such as behavioral, social, and environmental factors persisted. The current GWAS data involved individuals of European ancestry; therefore, the results cannot be generalized to the non-European </w:t>
            </w:r>
            <w:proofErr w:type="spellStart"/>
            <w:proofErr w:type="gramStart"/>
            <w:r w:rsidRPr="0034520E">
              <w:rPr>
                <w:rFonts w:ascii="Times New Roman Regular" w:eastAsia="Times New Roman" w:hAnsi="Times New Roman Regular" w:cs="Times New Roman Regular"/>
                <w:sz w:val="16"/>
                <w:szCs w:val="16"/>
                <w:lang w:val="en-US" w:eastAsia="en-GB"/>
              </w:rPr>
              <w:t>populations.</w:t>
            </w:r>
            <w:r w:rsidRPr="0034520E">
              <w:rPr>
                <w:rFonts w:ascii="Times New Roman Regular" w:eastAsia="Times New Roman" w:hAnsi="Times New Roman Regular" w:cs="Times New Roman Regular" w:hint="eastAsia"/>
                <w:sz w:val="16"/>
                <w:szCs w:val="16"/>
                <w:lang w:val="en-US" w:eastAsia="en-GB"/>
              </w:rPr>
              <w:t>The</w:t>
            </w:r>
            <w:proofErr w:type="spellEnd"/>
            <w:proofErr w:type="gramEnd"/>
            <w:r w:rsidRPr="0034520E">
              <w:rPr>
                <w:rFonts w:ascii="Times New Roman Regular" w:eastAsia="Times New Roman" w:hAnsi="Times New Roman Regular" w:cs="Times New Roman Regular" w:hint="eastAsia"/>
                <w:sz w:val="16"/>
                <w:szCs w:val="16"/>
                <w:lang w:val="en-US" w:eastAsia="en-GB"/>
              </w:rPr>
              <w:t xml:space="preserve"> statistical power of GWAS is contingent upon sample size. A larger sample size yields greater statistical power and identifies more loci of risk, thus justifying further scrutiny of larger independent cohorts in future </w:t>
            </w:r>
            <w:proofErr w:type="spellStart"/>
            <w:proofErr w:type="gramStart"/>
            <w:r w:rsidRPr="0034520E">
              <w:rPr>
                <w:rFonts w:ascii="Times New Roman Regular" w:eastAsia="Times New Roman" w:hAnsi="Times New Roman Regular" w:cs="Times New Roman Regular" w:hint="eastAsia"/>
                <w:sz w:val="16"/>
                <w:szCs w:val="16"/>
                <w:lang w:val="en-US" w:eastAsia="en-GB"/>
              </w:rPr>
              <w:t>studies.While</w:t>
            </w:r>
            <w:proofErr w:type="spellEnd"/>
            <w:proofErr w:type="gramEnd"/>
            <w:r w:rsidRPr="0034520E">
              <w:rPr>
                <w:rFonts w:ascii="Times New Roman Regular" w:eastAsia="Times New Roman" w:hAnsi="Times New Roman Regular" w:cs="Times New Roman Regular" w:hint="eastAsia"/>
                <w:sz w:val="16"/>
                <w:szCs w:val="16"/>
                <w:lang w:val="en-US" w:eastAsia="en-GB"/>
              </w:rPr>
              <w:t xml:space="preserve"> experimental validation was not conducted, our findings can serve as a reference for future research on cell biology mechanisms.</w:t>
            </w:r>
          </w:p>
        </w:tc>
      </w:tr>
      <w:tr w:rsidR="006540D7" w14:paraId="684EA87D" w14:textId="77777777">
        <w:tc>
          <w:tcPr>
            <w:tcW w:w="587" w:type="dxa"/>
            <w:shd w:val="clear" w:color="auto" w:fill="EEEEEE"/>
          </w:tcPr>
          <w:p w14:paraId="14CE6658"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16</w:t>
            </w:r>
          </w:p>
        </w:tc>
        <w:tc>
          <w:tcPr>
            <w:tcW w:w="1822" w:type="dxa"/>
            <w:shd w:val="clear" w:color="auto" w:fill="EEEEEE"/>
          </w:tcPr>
          <w:p w14:paraId="4D38F677"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Interpretation</w:t>
            </w:r>
          </w:p>
        </w:tc>
        <w:tc>
          <w:tcPr>
            <w:tcW w:w="7041" w:type="dxa"/>
            <w:shd w:val="clear" w:color="auto" w:fill="EEEEEE"/>
          </w:tcPr>
          <w:p w14:paraId="1D540B6C" w14:textId="77777777" w:rsidR="00DB02F7" w:rsidRDefault="00DB02F7">
            <w:pPr>
              <w:spacing w:beforeLines="40" w:before="96" w:afterLines="40" w:after="96" w:line="24" w:lineRule="atLeast"/>
              <w:rPr>
                <w:rFonts w:eastAsia="Cambria"/>
                <w:sz w:val="18"/>
                <w:szCs w:val="18"/>
                <w:lang w:val="en-GB" w:eastAsia="en-US"/>
              </w:rPr>
            </w:pPr>
          </w:p>
        </w:tc>
        <w:tc>
          <w:tcPr>
            <w:tcW w:w="720" w:type="dxa"/>
            <w:shd w:val="clear" w:color="auto" w:fill="EEEEEE"/>
          </w:tcPr>
          <w:p w14:paraId="3C47000E"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shd w:val="clear" w:color="auto" w:fill="EEEEEE"/>
          </w:tcPr>
          <w:p w14:paraId="0ADA006A" w14:textId="77777777" w:rsidR="00DB02F7" w:rsidRDefault="00DB02F7">
            <w:pPr>
              <w:spacing w:beforeLines="40" w:before="96" w:afterLines="40" w:after="96" w:line="24" w:lineRule="atLeast"/>
              <w:rPr>
                <w:rFonts w:eastAsia="Cambria"/>
                <w:sz w:val="18"/>
                <w:szCs w:val="18"/>
                <w:lang w:val="en-GB" w:eastAsia="en-US"/>
              </w:rPr>
            </w:pPr>
          </w:p>
        </w:tc>
      </w:tr>
      <w:tr w:rsidR="006540D7" w14:paraId="20943DE6" w14:textId="77777777">
        <w:tc>
          <w:tcPr>
            <w:tcW w:w="587" w:type="dxa"/>
            <w:shd w:val="clear" w:color="auto" w:fill="auto"/>
          </w:tcPr>
          <w:p w14:paraId="2CA2B647"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93786B9"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62386B9B"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 xml:space="preserve">Meaning: Give a cautious overall interpretation of results in the context of their limitations </w:t>
            </w:r>
            <w:proofErr w:type="gramStart"/>
            <w:r>
              <w:rPr>
                <w:rFonts w:eastAsia="Times New Roman"/>
                <w:sz w:val="18"/>
                <w:szCs w:val="18"/>
                <w:lang w:val="en-GB" w:eastAsia="en-GB"/>
              </w:rPr>
              <w:t xml:space="preserve">and in comparison </w:t>
            </w:r>
            <w:proofErr w:type="gramEnd"/>
            <w:r>
              <w:rPr>
                <w:rFonts w:eastAsia="Times New Roman"/>
                <w:sz w:val="18"/>
                <w:szCs w:val="18"/>
                <w:lang w:val="en-GB" w:eastAsia="en-GB"/>
              </w:rPr>
              <w:t>with other studies</w:t>
            </w:r>
          </w:p>
        </w:tc>
        <w:tc>
          <w:tcPr>
            <w:tcW w:w="720" w:type="dxa"/>
          </w:tcPr>
          <w:p w14:paraId="2984F1A7" w14:textId="33F2AD48" w:rsidR="00DB02F7" w:rsidRPr="00D20BD7"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tcPr>
          <w:p w14:paraId="6C374D10" w14:textId="67A3A9C4" w:rsidR="00DB02F7" w:rsidRPr="0034520E" w:rsidRDefault="0034520E">
            <w:pPr>
              <w:spacing w:beforeLines="40" w:before="96" w:afterLines="40" w:after="96" w:line="24" w:lineRule="atLeast"/>
              <w:jc w:val="both"/>
              <w:rPr>
                <w:rFonts w:ascii="Times New Roman" w:eastAsiaTheme="minorEastAsia" w:hAnsi="Times New Roman" w:cs="Times New Roman"/>
                <w:sz w:val="16"/>
                <w:szCs w:val="16"/>
                <w:lang w:val="en-US" w:eastAsia="zh-CN"/>
              </w:rPr>
            </w:pPr>
            <w:r w:rsidRPr="0034520E">
              <w:rPr>
                <w:rFonts w:ascii="Times New Roman" w:hAnsi="Times New Roman" w:cs="Times New Roman" w:hint="eastAsia"/>
                <w:sz w:val="16"/>
                <w:szCs w:val="16"/>
                <w:lang w:val="en-US"/>
              </w:rPr>
              <w:t xml:space="preserve">The statistical power of GWAS is contingent upon sample size. A larger sample size yields greater statistical power and identifies more loci of risk, thus justifying further scrutiny of larger independent cohorts in future </w:t>
            </w:r>
            <w:proofErr w:type="spellStart"/>
            <w:proofErr w:type="gramStart"/>
            <w:r w:rsidRPr="0034520E">
              <w:rPr>
                <w:rFonts w:ascii="Times New Roman" w:hAnsi="Times New Roman" w:cs="Times New Roman" w:hint="eastAsia"/>
                <w:sz w:val="16"/>
                <w:szCs w:val="16"/>
                <w:lang w:val="en-US"/>
              </w:rPr>
              <w:t>studies.While</w:t>
            </w:r>
            <w:proofErr w:type="spellEnd"/>
            <w:proofErr w:type="gramEnd"/>
            <w:r w:rsidRPr="0034520E">
              <w:rPr>
                <w:rFonts w:ascii="Times New Roman" w:hAnsi="Times New Roman" w:cs="Times New Roman" w:hint="eastAsia"/>
                <w:sz w:val="16"/>
                <w:szCs w:val="16"/>
                <w:lang w:val="en-US"/>
              </w:rPr>
              <w:t xml:space="preserve"> experimental validation was not conducted, our findings can serve as a reference for future research on cell biology mechanisms.</w:t>
            </w:r>
          </w:p>
        </w:tc>
      </w:tr>
      <w:tr w:rsidR="006540D7" w14:paraId="577264E0" w14:textId="77777777">
        <w:tc>
          <w:tcPr>
            <w:tcW w:w="587" w:type="dxa"/>
            <w:shd w:val="clear" w:color="auto" w:fill="EEEEEE"/>
          </w:tcPr>
          <w:p w14:paraId="7217675C"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6E52737"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201E26F3"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720" w:type="dxa"/>
            <w:shd w:val="clear" w:color="auto" w:fill="EEEEEE"/>
          </w:tcPr>
          <w:p w14:paraId="3FC8F412" w14:textId="7FEE6337" w:rsidR="00DB02F7" w:rsidRPr="00D20BD7"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shd w:val="clear" w:color="auto" w:fill="EEEEEE"/>
          </w:tcPr>
          <w:p w14:paraId="3B2A0E46" w14:textId="76F2110A" w:rsidR="00DB02F7" w:rsidRPr="0034520E" w:rsidRDefault="0034520E" w:rsidP="00D20BD7">
            <w:pPr>
              <w:spacing w:beforeLines="40" w:before="96" w:afterLines="40" w:after="96" w:line="24" w:lineRule="atLeast"/>
              <w:jc w:val="both"/>
              <w:rPr>
                <w:rFonts w:ascii="Times New Roman" w:eastAsiaTheme="minorEastAsia" w:hAnsi="Times New Roman" w:cs="Times New Roman"/>
                <w:sz w:val="16"/>
                <w:szCs w:val="16"/>
                <w:lang w:val="en-US" w:eastAsia="zh-CN"/>
              </w:rPr>
            </w:pPr>
            <w:r w:rsidRPr="0034520E">
              <w:rPr>
                <w:rFonts w:ascii="Times New Roman" w:eastAsia="Times New Roman" w:hAnsi="Times New Roman" w:cs="Times New Roman"/>
                <w:sz w:val="16"/>
                <w:szCs w:val="16"/>
                <w:lang w:val="en-US" w:eastAsia="en-GB"/>
              </w:rPr>
              <w:t>Next, the enrichment analysis of IL17 and Th17 obtained significant results.</w:t>
            </w:r>
            <w:r w:rsidRPr="0034520E">
              <w:rPr>
                <w:rFonts w:ascii="Times New Roman" w:eastAsia="Times New Roman" w:hAnsi="Times New Roman" w:cs="Times New Roman" w:hint="eastAsia"/>
                <w:sz w:val="16"/>
                <w:szCs w:val="16"/>
                <w:lang w:val="en-US" w:eastAsia="en-GB"/>
              </w:rPr>
              <w:t xml:space="preserve"> </w:t>
            </w:r>
            <w:r w:rsidRPr="0034520E">
              <w:rPr>
                <w:rFonts w:ascii="Times New Roman" w:eastAsia="Times New Roman" w:hAnsi="Times New Roman" w:cs="Times New Roman"/>
                <w:sz w:val="16"/>
                <w:szCs w:val="16"/>
                <w:lang w:val="en-US" w:eastAsia="en-GB"/>
              </w:rPr>
              <w:t>IL-17, a well-known pro-inflammatory factor, plays an important role in response to injury, physiological stress</w:t>
            </w:r>
            <w:r w:rsidRPr="0034520E">
              <w:rPr>
                <w:rFonts w:ascii="Times New Roman" w:eastAsia="Times New Roman" w:hAnsi="Times New Roman" w:cs="Times New Roman" w:hint="eastAsia"/>
                <w:sz w:val="16"/>
                <w:szCs w:val="16"/>
                <w:lang w:val="en-US" w:eastAsia="en-GB"/>
              </w:rPr>
              <w:t>,</w:t>
            </w:r>
            <w:r w:rsidRPr="0034520E">
              <w:rPr>
                <w:rFonts w:ascii="Times New Roman" w:eastAsia="Times New Roman" w:hAnsi="Times New Roman" w:cs="Times New Roman"/>
                <w:sz w:val="16"/>
                <w:szCs w:val="16"/>
                <w:lang w:val="en-US" w:eastAsia="en-GB"/>
              </w:rPr>
              <w:t xml:space="preserve"> and infection, </w:t>
            </w:r>
            <w:r w:rsidRPr="0034520E">
              <w:rPr>
                <w:rFonts w:ascii="Times New Roman" w:eastAsia="Times New Roman" w:hAnsi="Times New Roman" w:cs="Times New Roman" w:hint="eastAsia"/>
                <w:sz w:val="16"/>
                <w:szCs w:val="16"/>
                <w:lang w:val="en-US" w:eastAsia="en-GB"/>
              </w:rPr>
              <w:t>thus</w:t>
            </w:r>
            <w:r w:rsidRPr="0034520E">
              <w:rPr>
                <w:rFonts w:ascii="Times New Roman" w:eastAsia="Times New Roman" w:hAnsi="Times New Roman" w:cs="Times New Roman"/>
                <w:sz w:val="16"/>
                <w:szCs w:val="16"/>
                <w:lang w:val="en-US" w:eastAsia="en-GB"/>
              </w:rPr>
              <w:t xml:space="preserve"> maintaining health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{"citationID":"So5O4U5Z","properties":{"formattedCitation":"(43)","plainCitation":"(43)","noteIndex":0},"citationItems":[{"id":3136,"uris":["http://zotero.org/users/9561778/items/5WI8B37F"],"itemData":{"id":3136,"type":"article-journal","abstract":"The interleukin 17 (IL-17) family of cytokines contains 6 structurally related cytokines, IL-17A through IL-17F. IL-17A, the prototypical member of this family, just passed the 25th anniversary of its discovery. Although less is known about IL-17B-F, IL-17A (commonly known as IL-17) has received much attention for its pro-inflammatory role in autoimmune disease. Over the past decade, however, it has become clear that the functions of IL-17 are far more nuanced than simply turning on inflammation. Accumulating evidence indicates that IL-17 has important context- and tissue-dependent roles in maintaining health during response to injury, physiological stress, and infection. Here, we discuss the functions of the IL-17 family, with a focus on the balance between the pathogenic and protective roles of IL-17 in cancer and autoimmune disease, including results of therapeutic blockade and novel aspects of IL-17 signal transduction regulation.","container-title":"Immunity","DOI":"10.1016/j.immuni.2019.03.021","ISSN":"1097-4180","issue":"4","journalAbbreviation":"Immunity","language":"eng","note":"PMID: 30995505\nPMCID: PMC6474359","page":"892-906","source":"PubMed","title":"The IL-17 Family of Cytokines in Health and Disease","volume":"50","author":[{"family":"McGeachy","given":"Mandy J."},{"family":"Cua","given":"Daniel J."},{"family":"Gaffen","given":"Sarah L."}],"issued":{"date-parts":[["2019",4,16]]}}}],"schema":"https://github.com/citation-style-language/schema/raw/master/csl-citation.json"}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(43)</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sz w:val="16"/>
                <w:szCs w:val="16"/>
                <w:lang w:val="en-US" w:eastAsia="en-GB"/>
              </w:rPr>
              <w:t>.</w:t>
            </w:r>
            <w:r w:rsidRPr="0034520E">
              <w:rPr>
                <w:rFonts w:ascii="Times New Roman" w:eastAsia="Times New Roman" w:hAnsi="Times New Roman" w:cs="Times New Roman" w:hint="eastAsia"/>
                <w:sz w:val="16"/>
                <w:szCs w:val="16"/>
                <w:lang w:val="en-US" w:eastAsia="en-GB"/>
              </w:rPr>
              <w:t xml:space="preserve"> </w:t>
            </w:r>
            <w:r w:rsidRPr="0034520E">
              <w:rPr>
                <w:rFonts w:ascii="Times New Roman" w:eastAsia="Times New Roman" w:hAnsi="Times New Roman" w:cs="Times New Roman"/>
                <w:sz w:val="16"/>
                <w:szCs w:val="16"/>
                <w:lang w:val="en-US" w:eastAsia="en-GB"/>
              </w:rPr>
              <w:t>Recent epidemiological</w:t>
            </w:r>
            <w:r w:rsidRPr="0034520E">
              <w:rPr>
                <w:rFonts w:ascii="Times New Roman" w:eastAsia="Times New Roman" w:hAnsi="Times New Roman" w:cs="Times New Roman" w:hint="eastAsia"/>
                <w:sz w:val="16"/>
                <w:szCs w:val="16"/>
                <w:lang w:val="en-US" w:eastAsia="en-GB"/>
              </w:rPr>
              <w:t xml:space="preserve"> </w:t>
            </w:r>
            <w:r w:rsidRPr="0034520E">
              <w:rPr>
                <w:rFonts w:ascii="Times New Roman" w:eastAsia="Times New Roman" w:hAnsi="Times New Roman" w:cs="Times New Roman"/>
                <w:sz w:val="16"/>
                <w:szCs w:val="16"/>
                <w:lang w:val="en-US" w:eastAsia="en-GB"/>
              </w:rPr>
              <w:t xml:space="preserve">studies indicate that </w:t>
            </w:r>
            <w:r w:rsidRPr="0034520E">
              <w:rPr>
                <w:rFonts w:ascii="Times New Roman" w:eastAsia="Times New Roman" w:hAnsi="Times New Roman" w:cs="Times New Roman" w:hint="eastAsia"/>
                <w:sz w:val="16"/>
                <w:szCs w:val="16"/>
                <w:lang w:val="en-US" w:eastAsia="en-GB"/>
              </w:rPr>
              <w:t xml:space="preserve">serum </w:t>
            </w:r>
            <w:r w:rsidRPr="0034520E">
              <w:rPr>
                <w:rFonts w:ascii="Times New Roman" w:eastAsia="Times New Roman" w:hAnsi="Times New Roman" w:cs="Times New Roman"/>
                <w:sz w:val="16"/>
                <w:szCs w:val="16"/>
                <w:lang w:val="en-US" w:eastAsia="en-GB"/>
              </w:rPr>
              <w:t xml:space="preserve">IL-17 levels are significantly higher in patients with </w:t>
            </w:r>
            <w:r w:rsidRPr="0034520E">
              <w:rPr>
                <w:rFonts w:ascii="Times New Roman" w:eastAsia="Times New Roman" w:hAnsi="Times New Roman" w:cs="Times New Roman" w:hint="eastAsia"/>
                <w:sz w:val="16"/>
                <w:szCs w:val="16"/>
                <w:lang w:val="en-US" w:eastAsia="en-GB"/>
              </w:rPr>
              <w:t>UC</w:t>
            </w:r>
            <w:r w:rsidRPr="0034520E">
              <w:rPr>
                <w:rFonts w:ascii="Times New Roman" w:eastAsia="Times New Roman" w:hAnsi="Times New Roman" w:cs="Times New Roman"/>
                <w:sz w:val="16"/>
                <w:szCs w:val="16"/>
                <w:lang w:val="en-US" w:eastAsia="en-GB"/>
              </w:rPr>
              <w:t xml:space="preserve">, </w:t>
            </w:r>
            <w:r w:rsidRPr="0034520E">
              <w:rPr>
                <w:rFonts w:ascii="Times New Roman" w:eastAsia="Times New Roman" w:hAnsi="Times New Roman" w:cs="Times New Roman" w:hint="eastAsia"/>
                <w:sz w:val="16"/>
                <w:szCs w:val="16"/>
                <w:lang w:val="en-US" w:eastAsia="en-GB"/>
              </w:rPr>
              <w:t>CD</w:t>
            </w:r>
            <w:r w:rsidRPr="0034520E">
              <w:rPr>
                <w:rFonts w:ascii="Times New Roman" w:eastAsia="Times New Roman" w:hAnsi="Times New Roman" w:cs="Times New Roman"/>
                <w:sz w:val="16"/>
                <w:szCs w:val="16"/>
                <w:lang w:val="en-US" w:eastAsia="en-GB"/>
              </w:rPr>
              <w:t>, and vernal keratoconjunctivitis compared to healthy individuals, suggesting IL-17's potential as a biomarker for inflammatory diseases</w:t>
            </w:r>
            <w:r w:rsidRPr="0034520E">
              <w:rPr>
                <w:rFonts w:ascii="Times New Roman" w:eastAsia="Times New Roman" w:hAnsi="Times New Roman" w:cs="Times New Roman" w:hint="eastAsia"/>
                <w:sz w:val="16"/>
                <w:szCs w:val="16"/>
                <w:lang w:val="en-US" w:eastAsia="en-GB"/>
              </w:rPr>
              <w:t xml:space="preserve">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{"citationID":"ixOlgPAu","properties":{"formattedCitation":"(44,45)","plainCitation":"(44,45)","noteIndex":0},"citationItems":[{"id":3977,"uris":["http://zotero.org/users/9561778/items/D9ICS2RZ"],"itemData":{"id":3977,"type":"article-journal","abstract":"BACKGROUND: Inflammatory bowel disease (IBD) is a chronic relapsing inflammatory disorder of the gastrointestinal tract (GIT).It results in progressive intestinal epithelium structural and functional damage that necessitates lifetime medication.Thereis imbalance in the production of T helper 1 (Th1), Th2 and Th17 cytokines. This plays a crucial role in the chronic inflammatory process and the defective immune response to pathogenic agents; thus promoting the recurrence of the disease.Our aim of this study was to detect serum IL-17 levels in IBD patients and its relation with disease activity.\nMETHODS: This was a single center case control study, conducted at hepatology and gastroenterology unit, Mansoura specialized Medical Hospital, Egypt.Patients who were included were aged 18-65 years, diagnosed either Ulcerative Colitis (UC)or Crohn's Disease (CD) based on previous colonoscopy.IBD activity was measured for UC using the MAYO score and CD using the CD activity index (CDAI). Fifty five patients were UC, 24 patients were CD, 21 patients were control.Patients who were excluded were under 15 years old, with history of GIT malignancy, or any serious comorbidities. Study protocol was approved by Institution Research Board (IRB) of Mansoura Medical College.All patients were subjected to full history taking, routine physical examination, colonoscopy and laboratory investigations including serum IL-17 levels by ELISA besides CBC, CRP, ESR and fecal calprotectin.\nRESULTS: Serum IL-17 level was increased significantly among UC; median (min-max) = 72(21-502)pg/ml, in CD 54.5(25-260) versus control 19 (14-35), P &lt; 0.001.However, it was not correlated to the disease activity either Mayo score of UC or CDAI of CD.There was significant correlation to the extent of inflammation in UC affecting the colon (either proctosigmoiditis, left sided colitis or pan colitis), also to the type of CD (either inflammatory, stricturing or fistulizing) by P &lt; 0.05.It was not correlated significantly with any of the IBD activity markers (CRP, ESR, or fecal calprotectin).Yet there was negative significant correlation with Hb level (r =-0.28, p = 0.005).There was not significant association between median serum level of IL-17 &amp; duration of disease (P = 0.6).However, median IL-17 was higher among hospitalized cases than non-hospitalized (73 &amp; 55, pg/ml respectively; p &lt; 0.002). AUC was significantly differentiating between IBD and control group = 0.993 with the best-detected cut off point from curve 32 pg/ml yielding sensitivity of 97.5% and specificity of 95.2%.\nCONCLUSION: Serum IL-17 increases in colonic inflammation significantly more than in control group, however its increase is not correlated to IBD activity.","container-title":"BMC gastroenterology","DOI":"10.1186/s12876-024-03218-7","ISSN":"1471-230X","issue":"1","journalAbbreviation":"BMC Gastroenterol","language":"eng","note":"PMID: 38622545\nPMCID: PMC11020998","page":"135","source":"PubMed","title":"Level of interleukin 17 in inflammatory bowel disease and its relation with disease activity","volume":"24","author":[{"family":"Menesy","given":"Ayman"},{"family":"Hammad","given":"Mohamed"},{"family":"Aref","given":"Salah"},{"family":"Abozeid","given":"Fatma Adel Mourad"}],"issued":{"date-parts":[["2024",4,15]]}},"label":"page"},{"id":3980,"uris":["http://zotero.org/users/9561778/items/YBGTBH8T"],"itemData":{"id":3980,"type":"article-journal","abstract":"BACKGROUND AND AIM: Vernal Keratoconjunctivitis (VKC) is a chronic and often severe form of bilateral tarsal and/or bulbar conjunctivitis. The purpose of the present study is to measure the Interleukin-17 (IL-17) serum levels in children with VKC evaluating the role of the systemic inflammation in patients affected by VKC.\nPATIENTS AND METHODS: Fifteen patients were enrolled with VKC aged between 6 and 10 years of life. Serum were obtained from the peripheral blood samples collected from all the children included in the study to evaluate serum level of IL-17.\nRESULTS: Serum levels of IL-17 were significantly higher in patients with VKC than in healthy controls (10.3 ± 9.36 pg/ml vs. 3.3 ± 6.20 pg/ml respectively; p &lt; 0.04).\nCONCLUSIONS: The presence of a significantly higher level of IL-17 in patients with VKC suggests a possible role of this cytokine in the pathogenesis of VKC. Further studies on larger samples of patients are warranted to confirm These findings in order to identify new possible therapeutic targets.","container-title":"European Review for Medical and Pharmacological Sciences","ISSN":"1128-3602","issue":"9","journalAbbreviation":"Eur Rev Med Pharmacol Sci","language":"eng","note":"PMID: 23690194","page":"1242-1244","source":"PubMed","title":"Serum levels of IL-17 in patients with vernal keratoconjunctivitis: a preliminary report","title-short":"Serum levels of IL-17 in patients with vernal keratoconjunctivitis","volume":"17","author":[{"family":"Zicari","given":"A. M."},{"family":"Nebbioso","given":"M."},{"family":"Zicari","given":"A."},{"family":"Mari","given":"E."},{"family":"Celani","given":"C."},{"family":"Occasi","given":"F."},{"family":"Tubili","given":"F."},{"family":"Duse","given":"M."}],"issued":{"date-parts":[["2013",5]]}},"label":"page"}],"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(44,45)</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hint="eastAsia"/>
                <w:sz w:val="16"/>
                <w:szCs w:val="16"/>
                <w:lang w:val="en-US" w:eastAsia="en-GB"/>
              </w:rPr>
              <w:t xml:space="preserve">. </w:t>
            </w:r>
            <w:r w:rsidRPr="0034520E">
              <w:rPr>
                <w:rFonts w:ascii="Times New Roman" w:eastAsia="Times New Roman" w:hAnsi="Times New Roman" w:cs="Times New Roman"/>
                <w:sz w:val="16"/>
                <w:szCs w:val="16"/>
                <w:lang w:val="en-US" w:eastAsia="en-GB"/>
              </w:rPr>
              <w:t xml:space="preserve">In addition, the IL-17 cytokine axis is associated with diseases affecting the eyes and the gut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{"citationID":"ijAzGiRt","properties":{"formattedCitation":"(46)","plainCitation":"(46)","noteIndex":0},"citationItems":[{"id":3129,"uris":["http://zotero.org/users/9561778/items/ILXB449I"],"itemData":{"id":3129,"type":"article-journal","abstract":"The IL-23/IL-17 cytokine axis is related to spondyloarthropathy (SpA) pattern diseases that target the skin, eye, gut and joints. These share overlapping target tissues with Th2 type or allergic diseases, including the skin, eye and gut but SpA diseases exhibit distinct microanatomical topography, molecular characteristics, and clinical features including uveitis, psoriasis, apical pulmonary involvement, lower gastrointestinal involvement with colitis, and related arthritides including psoriatic arthritis and ankylosing spondylitis. Inflammatory arthritis is conspicuously absent from the Th2 diseases which are characterised IL-4/IL-13 dependent pathway activation including allergic rhino-conjunctivitis, atopic eczema, allergic asthma and food allergies. This traditional understanding of non-overlap of musculoskeletal territory between that atopic diseases and the IL-17 -mediated SpA diseases is undergoing a critical reappraisal with the recent demonstration of IL-4/IL-13 blockade, may be associated with the development of SpA pattern arthritis, psoriasiform skin disease and occasional anterior uveitis. Given the known plasticity within Th paradigm pathways, these findings suggest dynamic Th2 cytokine and Th17 cytokine counter regulation in vivo in humans. Unexpected, this is the case in peripheral enthesis and when the IL-4/13 immunological brake on IL-23/17 cytokines is removed, a SpA phenotype may emerge. We discuss hitherto unexpected observations in SpA, showing counter regulation between the Th17 and Th2 pathways at sites including the entheses that collectively indicate that the emergent reverse translational therapeutic data is more than coincidental and offers new insights into the \"Th paradigms\" in atopy and SpA.","container-title":"Seminars in Immunology","DOI":"10.1016/j.smim.2021.101520","ISSN":"1096-3618","journalAbbreviation":"Semin Immunol","language":"eng","note":"PMID: 34799224","page":"101520","source":"PubMed","title":"Unexpected connections of the IL-23/IL-17 and IL-4/IL-13 cytokine axes in inflammatory arthritis and enthesitis","volume":"58","author":[{"family":"Bridgewood","given":"Charlie"},{"family":"Newton","given":"Darren"},{"family":"Bragazzi","given":"Nicola"},{"family":"Wittmann","given":"Miriam"},{"family":"McGonagle","given":"Dennis"}],"issued":{"date-parts":[["2021",12]]}}}],"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(46)</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sz w:val="16"/>
                <w:szCs w:val="16"/>
                <w:lang w:val="en-US" w:eastAsia="en-GB"/>
              </w:rPr>
              <w:t xml:space="preserve">. Tool-targeted IL-17 pathways may be of great importance in patients with hormone-resistant conjunctivitis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{"citationID":"Y72z8ocQ","properties":{"formattedCitation":"(47)","plainCitation":"(47)","noteIndex":0},"citationItems":[{"id":3139,"uris":["http://zotero.org/users/9561778/items/GBFIRAEC"],"itemData":{"id":3139,"type":"article-journal","abstract":"Allergic conjunctivitis (AC) is a common allergic disease that is often associated with the onset of rhinitis or asthma. The incidence of AC has increased significantly in recent years possibly due to air pollution and climate warming. AC seriously affects patients’ quality of life and work efficiency. Th (T-helper) 2 immune responses and type I hypersensitivity reactions are generally considered the basis of occurrence of AC. It has been found that new subpopulations of T-helper cells, Th17 cells that produce interleukin-17 (IL-17), play an important role in the Th2-mediated pathogenesis of conjunctivitis. Studies have shown that Th17 cells are involved in a variety of immune inflammation, including psoriasis, rheumatoid arthritis, inflammatory bowel disease, systemic lupus erythematosus, and asthma. However, the role of Th17 and IL-17 in AC is unclear. This paper will focus on how T-helper 17 cells and interleukin-17 are activated in the Th2 immune response of allergic conjunctivitis and how they promote the Th2 immune response of AC.","container-title":"Journal of Ophthalmology","DOI":"10.1155/2020/6917185","ISSN":"2090-004X","language":"en","note":"publisher: Hindawi","page":"e6917185","source":"www.hindawi.com","title":"The Role of Th17 Cells and IL-17 in Th2 Immune Responses of Allergic Conjunctivitis","volume":"2020","author":[{"family":"Meng","given":"Xiang-Tian"},{"family":"Shi","given":"Yun-Yue"},{"family":"Zhang","given":"Hong"},{"family":"Zhou","given":"Hong-Yan"}],"issued":{"date-parts":[["2020",5,25]]}}}],"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(47)</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sz w:val="16"/>
                <w:szCs w:val="16"/>
                <w:lang w:val="en-US" w:eastAsia="en-GB"/>
              </w:rPr>
              <w:t xml:space="preserve">. In a recent retrospective study, IL-17 inhibitors cured 24 patients with new-onset </w:t>
            </w:r>
            <w:r w:rsidRPr="0034520E">
              <w:rPr>
                <w:rFonts w:ascii="Times New Roman" w:eastAsia="Times New Roman" w:hAnsi="Times New Roman" w:cs="Times New Roman" w:hint="eastAsia"/>
                <w:sz w:val="16"/>
                <w:szCs w:val="16"/>
                <w:lang w:val="en-US" w:eastAsia="en-GB"/>
              </w:rPr>
              <w:t>IBD</w:t>
            </w:r>
            <w:r w:rsidRPr="0034520E">
              <w:rPr>
                <w:rFonts w:ascii="Times New Roman" w:eastAsia="Times New Roman" w:hAnsi="Times New Roman" w:cs="Times New Roman"/>
                <w:sz w:val="16"/>
                <w:szCs w:val="16"/>
                <w:lang w:val="en-US" w:eastAsia="en-GB"/>
              </w:rPr>
              <w:t xml:space="preserve">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{"citationID":"TJe6K9WI","properties":{"formattedCitation":"(48)","plainCitation":"(48)","noteIndex":0},"citationItems":[{"id":3144,"uris":["http://zotero.org/users/9561778/items/M4H4BHRD"],"itemData":{"id":3144,"type":"article-journal","abstract":"OBJECTIVES: To describe new-onset IBD (new IBD) in patients treated with IL-17 inhibitors (IL-17i), to assess their incidence and to identify their risk factors in real life.\nMETHODS: A French national registry (MISSIL) aimed to report all cases of new IBD in patients treated with IL-17i from January 2016 to December 2019. Using the estimated number of patients treated by IL-17 in France during the study period, the annual incidence rates of new IBD was reported in IL-17i-treated patients. A case-control study was performed with two controls per new IBD case matched by gender, age and underlying inflammatory disease.\nRESULTS: Thirty-one cases of new IBD under IL-17i were collected: 27 patients treated for spondyloarthritis and four patients for psoriasis. All were observed with secukinumab (SEK). The median time to onset of new IBD symptoms was 4.0 (1.5-7.5) months. SEK was discontinued in all patients. The evolution was favourable with complete resolution (17/31), improvement (7/31) or stabilization (5/31). Two patients died: one due to a massive myocardial infarction and one due to post-colectomy complications. The incidence of new IBD decreased from 0.69/100 patient-years [PY] (7/1010) in 2016 to 0.08/100 PY (6/7951) in 2019. No previous treatment with etanercept (odds ratio [OR] = 0.33, 95% CI: 0.14-0.80, P = 0.014) and low number of previous biologic therapies (OR = 0.67, 95% CI: 0.47, 0.94, P = 0.021) were significantly associated with new IBD.\nCONCLUSION: The incidence of new IBD was low and decreased from 2016 to 2019. The outcome was favourable in 24 out of 31 patients, but two patients died.","container-title":"Rheumatology (Oxford, England)","DOI":"10.1093/rheumatology/keab819","ISSN":"1462-0332","issue":"7","journalAbbreviation":"Rheumatology (Oxford)","language":"eng","note":"PMID: 34730790","page":"2848-2855","source":"PubMed","title":"New-onset inflammatory bowel diseases among IL-17 inhibitor-treated patients: results from the case-control MISSIL study","title-short":"New-onset inflammatory bowel diseases among IL-17 inhibitor-treated patients","volume":"61","author":[{"family":"Letarouilly","given":"Jean-Guillaume"},{"family":"Pham","given":"Thao"},{"family":"Pierache","given":"Adeline"},{"family":"Acquacalda","given":"Émilie"},{"family":"Banneville","given":"Béatrice"},{"family":"Barbarot","given":"Sébastien"},{"family":"Baudart","given":"Pauline"},{"family":"Bauer","given":"Élodie"},{"family":"Claudepierre","given":"Pascal"},{"family":"Constantin","given":"Arnaud"},{"family":"Dernis","given":"Emmanuelle"},{"family":"Felten","given":"Renaud"},{"family":"Gaudin","given":"Philippe"},{"family":"Girard","given":"Céline"},{"family":"Gombert","given":"Bruno"},{"family":"Goupille","given":"Philippe"},{"family":"Guennoc","given":"Xavier"},{"family":"Henry-Desailly","given":"Isabelle"},{"family":"Jullien","given":"Denis"},{"family":"Karimova","given":"Elena"},{"family":"Lanot","given":"Sylvain"},{"family":"Le Dantec","given":"Loïc"},{"family":"Pascart","given":"Tristan"},{"family":"Plastaras","given":"Laurianne"},{"family":"Sultan","given":"Nathalie"},{"family":"Truchet","given":"Xavier"},{"family":"Varin","given":"Stéphane"},{"family":"Wendling","given":"Daniel"},{"family":"Gaboriau","given":"Louise"},{"family":"Staumont-Sallé","given":"Delphine"},{"family":"Peyrin-Biroulet","given":"Laurent"},{"family":"Flipo","given":"René-Marc"}],"issued":{"date-parts":[["2022",7,6]]}}}],"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(48)</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sz w:val="16"/>
                <w:szCs w:val="16"/>
                <w:lang w:val="en-US" w:eastAsia="en-GB"/>
              </w:rPr>
              <w:t>.</w:t>
            </w:r>
            <w:r w:rsidRPr="0034520E">
              <w:rPr>
                <w:rFonts w:ascii="Times New Roman" w:eastAsia="Times New Roman" w:hAnsi="Times New Roman" w:cs="Times New Roman" w:hint="eastAsia"/>
                <w:sz w:val="16"/>
                <w:szCs w:val="16"/>
                <w:lang w:val="en-US" w:eastAsia="en-GB"/>
              </w:rPr>
              <w:t xml:space="preserve"> </w:t>
            </w:r>
            <w:r w:rsidRPr="0034520E">
              <w:rPr>
                <w:rFonts w:ascii="Times New Roman" w:eastAsia="Times New Roman" w:hAnsi="Times New Roman" w:cs="Times New Roman"/>
                <w:sz w:val="16"/>
                <w:szCs w:val="16"/>
                <w:lang w:val="en-US" w:eastAsia="en-GB"/>
              </w:rPr>
              <w:t xml:space="preserve">Moreover, Th17, a T-cell lineage distinct from Th1 and Th2 cells, is a novel type of pre-inflammatory T effector cell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{"citationID":"WozxcPGV","properties":{"formattedCitation":"(49)","plainCitation":"(49)","noteIndex":0},"citationItems":[{"id":3131,"uris":["http://zotero.org/users/9561778/items/8M7SAYYX"],"itemData":{"id":3131,"type":"article-journal","abstract":"IL-33 targeting ST2 receptor (T1/ST2), expressed on Th2 cell surface, regulates the production of cytokines like IL-17A and IL-31. We studied the role of IL-33/ST2 axis in IL-31 and IL-17A production in patients with allergic rhinitis (AR) and with concomitant allergic asthma and rhinitis (AAR). 20 healthy control subjects (HC), 14 AR and 17 AAR subjects were recruited and blood samples collected. IL-33, soluble ST2 (sST2), IL-17A and IL-31 plasma concentrations were measured by ELISA method. T1/ST2, IL-31 and IL-17A cellular expression were studied in peripheral blood mononuclear cells (PBMC) from HC, AR and AAR (n=6 for each group) by flow-cytometry. In vitro, we also evaluated the effect of beclomethasone dipropionate (BDP) on T1/ST2, IL-31 and IL-17A expression in CD3(+)T-cells from PBMC of AAR (n=6). Plasma levels of IL-33, IL-31 and IL-17A were significantly higher and sST2 was lower in patients with AR and AAR than in HC. IL-31 and IL-17A intracellular levels significantly increased, whereas T1/ST2 expression was significantly lower, in CD3(+)T-cells from AR and AAR compared to HC. Positive correlations were observed between plasmatic components of IL-33/ST2 axis and IL-31 in both AR and AAR and IL-17A in AAR. In vitro IL-31 and IL-17A intracellular levels decreased after BDP treatment, whereas T1/ST2 expression increased in cultured CD3(+)T-cells obtained from AAR. IL-33/ST2 axis is involved in Th2/IL-31 and Th17 immune response during the progression of allergic airway disease. In vitro BDP is able to control Th2/IL-31 and Th17 immune response in PBMC from allergic patients.","container-title":"Immunobiology","DOI":"10.1016/j.imbio.2015.02.005","ISSN":"1878-3279","issue":"8","journalAbbreviation":"Immunobiology","language":"eng","note":"PMID: 25747940","page":"954-963","source":"PubMed","title":"IL-33/ST2 axis controls Th2/IL-31 and Th17 immune response in allergic airway diseases","volume":"220","author":[{"family":"Vocca","given":"Lavinia"},{"family":"Di Sano","given":"Caterina"},{"family":"Uasuf","given":"Carina G."},{"family":"Sala","given":"Angelo"},{"family":"Riccobono","given":"Loredana"},{"family":"Gangemi","given":"Sebastiano"},{"family":"Albano","given":"Giusy Daniela"},{"family":"Bonanno","given":"Anna"},{"family":"Gagliardo","given":"Rosalia"},{"family":"Profita","given":"Mirella"}],"issued":{"date-parts":[["2015",8]]}}}],"schema":"https://github.com/citation-style-language/schema/raw/master/csl-citation.json"}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(49)</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sz w:val="16"/>
                <w:szCs w:val="16"/>
                <w:lang w:val="en-US" w:eastAsia="en-GB"/>
              </w:rPr>
              <w:t xml:space="preserve">. In a recent mouse model of allergic conjunctivitis, stimulation and activation of the Th17 cytokines IL-17A and IL-17F, as well as the specific transcription factor </w:t>
            </w:r>
            <w:proofErr w:type="spellStart"/>
            <w:r w:rsidRPr="0034520E">
              <w:rPr>
                <w:rFonts w:ascii="Times New Roman" w:eastAsia="Times New Roman" w:hAnsi="Times New Roman" w:cs="Times New Roman"/>
                <w:sz w:val="16"/>
                <w:szCs w:val="16"/>
                <w:lang w:val="en-US" w:eastAsia="en-GB"/>
              </w:rPr>
              <w:t>RORγt</w:t>
            </w:r>
            <w:proofErr w:type="spellEnd"/>
            <w:r w:rsidRPr="0034520E">
              <w:rPr>
                <w:rFonts w:ascii="Times New Roman" w:eastAsia="Times New Roman" w:hAnsi="Times New Roman" w:cs="Times New Roman"/>
                <w:sz w:val="16"/>
                <w:szCs w:val="16"/>
                <w:lang w:val="en-US" w:eastAsia="en-GB"/>
              </w:rPr>
              <w:t>, suggest that developmental enhancement can exacerbate Th2 dominant allergic inflammation in conjunctivitis</w:t>
            </w:r>
            <w:r w:rsidRPr="0034520E">
              <w:rPr>
                <w:rFonts w:ascii="Times New Roman" w:eastAsia="Times New Roman" w:hAnsi="Times New Roman" w:cs="Times New Roman" w:hint="eastAsia"/>
                <w:sz w:val="16"/>
                <w:szCs w:val="16"/>
                <w:lang w:val="en-US" w:eastAsia="en-GB"/>
              </w:rPr>
              <w:t xml:space="preserve">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{"citationID":"oFJsFZ3I","properties":{"formattedCitation":"(50)","plainCitation":"(50)","noteIndex":0},"citationItems":[{"id":3133,"uris":["http://zotero.org/users/9561778/items/DAXZAAC3"],"itemData":{"id":3133,"type":"article-journal","abstract":"The inflammatory cytokine interleukin (IL)-17 is involved in the pathogenesis of allergic diseases. However, the identity and functions of IL-17-producing T cells during the pathogenesis of allergic diseases remain unclear. Here, we report a novel subset of T(H)2 memory/effector cells that coexpress the transcription factors GATA3 and RORγt and coproduce T(H)17 and T(H)2 cytokines. Classical T(H)2 memory/effector cells had the potential to produce IL-17 after stimulation with proinflammatory cytokines IL-1β, IL-6, and IL-21. The number of IL-17-T(H)2 cells was significantly increased in blood of patients with atopic asthma. In a mouse model of allergic lung diseases, IL-17-producing CD4(+) T(H)2 cells were induced in the inflamed lung and persisted as the dominant IL-17-producing T cell population during the chronic stage of asthma. Treating cultured bronchial epithelial cells with IL-17 plus T(H)2 cytokines induced strong up-regulation of chemokine eotaxin-3, Il8, Mip1b, and Groa gene expression. Compared with classical T(H)17 and T(H)2 cells, antigen-specific IL-17-producing T(H)2 cells induced a profound influx of heterogeneous inflammatory leukocytes and exacerbated asthma. Our findings highlight the plasticity of T(H)2 memory cells and suggest that IL-17-producing T(H)2 cells may represent the key pathogenic T(H)2 cells promoting the exacerbation of allergic asthma.","container-title":"The Journal of Experimental Medicine","DOI":"10.1084/jem.20101376","ISSN":"1540-9538","issue":"11","journalAbbreviation":"J Exp Med","language":"eng","note":"PMID: 20921287\nPMCID: PMC2964570","page":"2479-2491","source":"PubMed","title":"A novel subset of CD4(+) T(H)2 memory/effector cells that produce inflammatory IL-17 cytokine and promote the exacerbation of chronic allergic asthma","volume":"207","author":[{"family":"Wang","given":"Yui-Hsi"},{"family":"Voo","given":"Kui Shin"},{"family":"Liu","given":"Bo"},{"family":"Chen","given":"Chun-Yu"},{"family":"Uygungil","given":"Burcin"},{"family":"Spoede","given":"William"},{"family":"Bernstein","given":"Jonathan A."},{"family":"Huston","given":"David P."},{"family":"Liu","given":"Yong-Jun"}],"issued":{"date-parts":[["2010",10,25]]}}}],"schema":"https://github.com/citation-style-language/schema/raw/master/csl-citation.json"}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(50)</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sz w:val="16"/>
                <w:szCs w:val="16"/>
                <w:lang w:val="en-US" w:eastAsia="en-GB"/>
              </w:rPr>
              <w:t xml:space="preserve">. In addition, inhibition of the Th17 differentiation relieved the inflammatory symptoms of IBD </w:t>
            </w:r>
            <w:r w:rsidRPr="0034520E">
              <w:rPr>
                <w:rFonts w:ascii="Times New Roman" w:eastAsia="Times New Roman" w:hAnsi="Times New Roman" w:cs="Times New Roman"/>
                <w:sz w:val="16"/>
                <w:szCs w:val="16"/>
                <w:lang w:val="en-US" w:eastAsia="en-GB"/>
              </w:rPr>
              <w:fldChar w:fldCharType="begin"/>
            </w:r>
            <w:r w:rsidRPr="0034520E">
              <w:rPr>
                <w:rFonts w:ascii="Times New Roman" w:eastAsia="Times New Roman" w:hAnsi="Times New Roman" w:cs="Times New Roman"/>
                <w:sz w:val="16"/>
                <w:szCs w:val="16"/>
                <w:lang w:val="en-US" w:eastAsia="en-GB"/>
              </w:rPr>
              <w:instrText xml:space="preserve"> ADDIN ZOTERO_ITEM CSL_CITATION {"citationID":"LbKk5w4H","properties":{"formattedCitation":"(51)","plainCitation":"(51)","noteIndex":0},"citationItems":[{"id":3141,"uris":["http://zotero.org/users/9561778/items/K75LF8UB"],"itemData":{"id":3141,"type":"article-journal","abstract":"BACKGROUND: The etiology of inflammatory bowel disease (IBD), including ulcerative colitis (UC) and Crohn's disease (CD), is not completely clear, but its pathogenesis is closely related to T helper 17 (Th17) cells. Several histone deacetylase (HDAC) inhibitors have been shown to exert potent anti-inflammatory effects and modulate Th17 cell polarization. Owing to the large variety and broad expression of HDACs, finding specific therapeutic targets for IBD is of clinical importance.\nMETHODS: The proportions of Th17 cells and interleukin (IL)-17A produced between patients with UC and healthy volunteers were compared. The differentiation of human peripheral blood mononuclear cells (PBMCs) into Th17 cells was induced in vitro. Differentiated Th17 cells were treated with RGFP109 (RG), a selective inhibitor of HDAC1 and 3, to observe its effects on these cells. Subsequently, colitis was induced in mice and treated with RG. The proportion of Th17 cells, the severity of colitis in mice, and colon histopathology and immunohistochemistry were evaluated respectively.\nRESULTS: The proportion of Th17 cells and IL-17A production was significantly increased in patients with UC than in healthy individuals. RG inhibited the differentiation of human PBMCs into Th17 cells and reduced IL-17A secretion in vitro. RG-treated colitis mice had a lower Th17 ratio, mild colon inflammation, and decreased expression of HDAC1 and 3 in the colon.\nCONCLUSIONS: HDAC1 and 3 inhibitors can modulate the differentiation of inflammatory Th17 cells, downregulate IL-17A levels, and exert anti-inflammatory effects in experimental colitis mice, indicating that HDAC1 and 3 may be potential therapeutic targets for patients with IBD.","container-title":"Journal of Clinical Laboratory Analysis","DOI":"10.1002/jcla.24699","ISSN":"1098-2825","issue":"10","journalAbbreviation":"J Clin Lab Anal","language":"eng","note":"PMID: 36106389\nPMCID: PMC9550981","page":"e24699","source":"PubMed","title":"Histone deacetylase 1 and 3 inhibitors alleviate colon inflammation by inhibiting Th17 cell differentiation","volume":"36","author":[{"family":"Gu","given":"Zhengrong"},{"family":"Chen","given":"Xiaotian"},{"family":"Zhu","given":"Dandan"},{"family":"Wu","given":"Songting"},{"family":"Yu","given":"Chenggong"}],"issued":{"date-parts":[["2022",10]]}}}],"schema":"https://github.com/citation-style-language/schema/raw/master/csl-citation.json"} </w:instrText>
            </w:r>
            <w:r w:rsidRPr="0034520E">
              <w:rPr>
                <w:rFonts w:ascii="Times New Roman" w:eastAsia="Times New Roman" w:hAnsi="Times New Roman" w:cs="Times New Roman"/>
                <w:sz w:val="16"/>
                <w:szCs w:val="16"/>
                <w:lang w:val="en-US" w:eastAsia="en-GB"/>
              </w:rPr>
              <w:fldChar w:fldCharType="separate"/>
            </w:r>
            <w:r w:rsidRPr="0034520E">
              <w:rPr>
                <w:rFonts w:ascii="Times New Roman" w:eastAsia="Times New Roman" w:hAnsi="Times New Roman" w:cs="Times New Roman" w:hint="eastAsia"/>
                <w:sz w:val="16"/>
                <w:szCs w:val="16"/>
                <w:lang w:val="en-US" w:eastAsia="en-GB"/>
              </w:rPr>
              <w:t>(51)</w:t>
            </w:r>
            <w:r w:rsidRPr="0034520E">
              <w:rPr>
                <w:rFonts w:ascii="Times New Roman" w:eastAsia="Times New Roman" w:hAnsi="Times New Roman" w:cs="Times New Roman"/>
                <w:sz w:val="16"/>
                <w:szCs w:val="16"/>
                <w:lang w:val="en-US" w:eastAsia="en-GB"/>
              </w:rPr>
              <w:fldChar w:fldCharType="end"/>
            </w:r>
            <w:r w:rsidRPr="0034520E">
              <w:rPr>
                <w:rFonts w:ascii="Times New Roman" w:eastAsia="Times New Roman" w:hAnsi="Times New Roman" w:cs="Times New Roman"/>
                <w:sz w:val="16"/>
                <w:szCs w:val="16"/>
                <w:lang w:val="en-US" w:eastAsia="en-GB"/>
              </w:rPr>
              <w:t>.</w:t>
            </w:r>
          </w:p>
        </w:tc>
      </w:tr>
      <w:tr w:rsidR="006540D7" w14:paraId="2EB5877F" w14:textId="77777777">
        <w:tc>
          <w:tcPr>
            <w:tcW w:w="587" w:type="dxa"/>
            <w:shd w:val="clear" w:color="auto" w:fill="auto"/>
          </w:tcPr>
          <w:p w14:paraId="5A94D039" w14:textId="77777777" w:rsidR="00DB02F7" w:rsidRDefault="00DB02F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A04F54C" w14:textId="77777777" w:rsidR="00DB02F7" w:rsidRDefault="00000000">
            <w:pPr>
              <w:spacing w:beforeLines="40" w:before="96" w:afterLines="40" w:after="96"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auto"/>
          </w:tcPr>
          <w:p w14:paraId="4B432F3D" w14:textId="77777777" w:rsidR="00DB02F7" w:rsidRDefault="00000000">
            <w:pPr>
              <w:tabs>
                <w:tab w:val="left" w:pos="1350"/>
              </w:tabs>
              <w:spacing w:beforeLines="40" w:before="96" w:afterLines="40" w:after="96" w:line="24" w:lineRule="atLeast"/>
              <w:rPr>
                <w:rFonts w:eastAsia="Cambria"/>
                <w:sz w:val="18"/>
                <w:szCs w:val="18"/>
                <w:lang w:val="en-GB" w:eastAsia="en-US"/>
              </w:rPr>
            </w:pPr>
            <w:r>
              <w:rPr>
                <w:rFonts w:eastAsia="Times New Roman"/>
                <w:sz w:val="18"/>
                <w:szCs w:val="18"/>
                <w:lang w:val="en-GB" w:eastAsia="en-GB"/>
              </w:rPr>
              <w:t xml:space="preserve">Clinical relevance: Discuss whether the results have clinical or public policy relevance, and </w:t>
            </w:r>
            <w:r>
              <w:rPr>
                <w:rFonts w:eastAsia="Times New Roman"/>
                <w:color w:val="000000"/>
                <w:sz w:val="18"/>
                <w:szCs w:val="18"/>
                <w:lang w:eastAsia="en-GB"/>
              </w:rPr>
              <w:t>to what extent they inform effect sizes of possible interventions</w:t>
            </w:r>
          </w:p>
        </w:tc>
        <w:tc>
          <w:tcPr>
            <w:tcW w:w="720" w:type="dxa"/>
          </w:tcPr>
          <w:p w14:paraId="6B780DB3" w14:textId="776140CB" w:rsidR="00DB02F7" w:rsidRPr="00D20BD7" w:rsidRDefault="00DB02F7">
            <w:pPr>
              <w:tabs>
                <w:tab w:val="left" w:pos="1350"/>
              </w:tabs>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tcPr>
          <w:p w14:paraId="168CB2D6" w14:textId="1BD1F630" w:rsidR="00DB02F7" w:rsidRDefault="00D20BD7" w:rsidP="00D20BD7">
            <w:pPr>
              <w:tabs>
                <w:tab w:val="left" w:pos="1350"/>
              </w:tabs>
              <w:spacing w:beforeLines="40" w:before="96" w:afterLines="40" w:after="96" w:line="24" w:lineRule="atLeast"/>
              <w:jc w:val="both"/>
              <w:rPr>
                <w:rFonts w:ascii="Times New Roman" w:hAnsi="Times New Roman" w:cs="Times New Roman"/>
                <w:sz w:val="16"/>
                <w:szCs w:val="16"/>
                <w:lang w:val="en-GB" w:eastAsia="en-GB"/>
              </w:rPr>
            </w:pPr>
            <w:r w:rsidRPr="00D20BD7">
              <w:rPr>
                <w:rFonts w:ascii="Times New Roman" w:hAnsi="Times New Roman" w:cs="Times New Roman"/>
                <w:sz w:val="16"/>
                <w:szCs w:val="16"/>
                <w:lang w:val="en-GB" w:eastAsia="en-GB"/>
              </w:rPr>
              <w:t>The association between IBD and conjunctivitis is well established. According to a prospective study involving 116 patients with IBD, 34 developed ocular abnormalities, and 10 were affected with conjunctivitis (33). Another study also reported that IBD could lead to conjunctivitis (34), and meta-analyses on the relationship between IBD and conjunctivitis also reported consistent results (35)</w:t>
            </w:r>
          </w:p>
        </w:tc>
      </w:tr>
      <w:tr w:rsidR="006540D7" w14:paraId="544676A1" w14:textId="77777777">
        <w:tc>
          <w:tcPr>
            <w:tcW w:w="587" w:type="dxa"/>
            <w:tcBorders>
              <w:bottom w:val="single" w:sz="6" w:space="0" w:color="7F7F7F"/>
            </w:tcBorders>
            <w:shd w:val="clear" w:color="auto" w:fill="EEEEEE"/>
          </w:tcPr>
          <w:p w14:paraId="051BDF1E"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lastRenderedPageBreak/>
              <w:t>17</w:t>
            </w:r>
          </w:p>
        </w:tc>
        <w:tc>
          <w:tcPr>
            <w:tcW w:w="1822" w:type="dxa"/>
            <w:tcBorders>
              <w:bottom w:val="single" w:sz="6" w:space="0" w:color="7F7F7F"/>
            </w:tcBorders>
            <w:shd w:val="clear" w:color="auto" w:fill="EEEEEE"/>
          </w:tcPr>
          <w:p w14:paraId="194B3C6C"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 xml:space="preserve">Generalizability  </w:t>
            </w:r>
            <w:r>
              <w:rPr>
                <w:rFonts w:eastAsia="Times New Roman"/>
                <w:sz w:val="18"/>
                <w:szCs w:val="18"/>
                <w:lang w:val="en-GB" w:eastAsia="en-GB"/>
              </w:rPr>
              <w:t> </w:t>
            </w:r>
          </w:p>
        </w:tc>
        <w:tc>
          <w:tcPr>
            <w:tcW w:w="7041" w:type="dxa"/>
            <w:tcBorders>
              <w:bottom w:val="single" w:sz="6" w:space="0" w:color="7F7F7F"/>
            </w:tcBorders>
            <w:shd w:val="clear" w:color="auto" w:fill="EEEEEE"/>
          </w:tcPr>
          <w:p w14:paraId="7659A963" w14:textId="77777777" w:rsidR="00DB02F7" w:rsidRDefault="00000000">
            <w:pPr>
              <w:spacing w:beforeLines="40" w:before="96" w:afterLines="40" w:after="96" w:line="24" w:lineRule="atLeast"/>
              <w:rPr>
                <w:rFonts w:eastAsia="Cambria"/>
                <w:sz w:val="18"/>
                <w:szCs w:val="18"/>
                <w:lang w:val="en-GB" w:eastAsia="en-US"/>
              </w:rPr>
            </w:pPr>
            <w:r>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68C436F8" w14:textId="3323DEA5" w:rsidR="00DB02F7" w:rsidRPr="0071352E"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tcBorders>
              <w:bottom w:val="single" w:sz="6" w:space="0" w:color="7F7F7F"/>
            </w:tcBorders>
            <w:shd w:val="clear" w:color="auto" w:fill="EEEEEE"/>
          </w:tcPr>
          <w:p w14:paraId="4A7DB99C" w14:textId="0E36DEC0" w:rsidR="00DB02F7" w:rsidRDefault="0034520E">
            <w:pPr>
              <w:spacing w:beforeLines="40" w:before="96" w:afterLines="40" w:after="96" w:line="24" w:lineRule="atLeast"/>
              <w:rPr>
                <w:rFonts w:eastAsia="Times New Roman"/>
                <w:sz w:val="18"/>
                <w:szCs w:val="18"/>
                <w:lang w:val="en-GB" w:eastAsia="en-GB"/>
              </w:rPr>
            </w:pPr>
            <w:r>
              <w:rPr>
                <w:rFonts w:asciiTheme="minorEastAsia" w:eastAsiaTheme="minorEastAsia" w:hAnsiTheme="minorEastAsia" w:cs="Times New Roman" w:hint="eastAsia"/>
                <w:sz w:val="16"/>
                <w:szCs w:val="16"/>
                <w:lang w:eastAsia="zh-CN"/>
              </w:rPr>
              <w:t>T</w:t>
            </w:r>
            <w:r w:rsidR="0071352E" w:rsidRPr="0071352E">
              <w:rPr>
                <w:rFonts w:ascii="Times New Roman" w:hAnsi="Times New Roman" w:cs="Times New Roman"/>
                <w:sz w:val="16"/>
                <w:szCs w:val="16"/>
              </w:rPr>
              <w:t>he current GWAS data involved individuals of European ancestry; therefore, the results cannot be generalized to the non-European populations.</w:t>
            </w:r>
          </w:p>
        </w:tc>
      </w:tr>
      <w:tr w:rsidR="006540D7" w14:paraId="2110AAB7" w14:textId="77777777">
        <w:tc>
          <w:tcPr>
            <w:tcW w:w="587" w:type="dxa"/>
            <w:tcBorders>
              <w:top w:val="single" w:sz="6" w:space="0" w:color="7F7F7F"/>
            </w:tcBorders>
            <w:shd w:val="clear" w:color="auto" w:fill="auto"/>
          </w:tcPr>
          <w:p w14:paraId="2E41D9FA" w14:textId="77777777" w:rsidR="00DB02F7" w:rsidRDefault="00DB02F7">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2F541D58"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48F6846C" w14:textId="77777777" w:rsidR="00DB02F7" w:rsidRDefault="00DB02F7">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3442F9B4" w14:textId="77777777" w:rsidR="00DB02F7" w:rsidRDefault="00DB02F7">
            <w:pPr>
              <w:spacing w:beforeLines="40" w:before="96" w:afterLines="40" w:after="96" w:line="24" w:lineRule="atLeast"/>
              <w:jc w:val="center"/>
              <w:rPr>
                <w:rFonts w:ascii="Times New Roman Bold" w:eastAsia="Cambria" w:hAnsi="Times New Roman Bold" w:cs="Times New Roman Bold"/>
                <w:b/>
                <w:bCs/>
                <w:sz w:val="18"/>
                <w:szCs w:val="18"/>
                <w:lang w:val="en-GB" w:eastAsia="en-US"/>
              </w:rPr>
            </w:pPr>
          </w:p>
        </w:tc>
        <w:tc>
          <w:tcPr>
            <w:tcW w:w="4320" w:type="dxa"/>
            <w:tcBorders>
              <w:top w:val="single" w:sz="6" w:space="0" w:color="7F7F7F"/>
            </w:tcBorders>
          </w:tcPr>
          <w:p w14:paraId="08723966" w14:textId="77777777" w:rsidR="00DB02F7" w:rsidRDefault="00DB02F7">
            <w:pPr>
              <w:spacing w:beforeLines="40" w:before="96" w:afterLines="40" w:after="96" w:line="24" w:lineRule="atLeast"/>
              <w:rPr>
                <w:rFonts w:eastAsia="Cambria"/>
                <w:sz w:val="18"/>
                <w:szCs w:val="18"/>
                <w:lang w:val="en-GB" w:eastAsia="en-US"/>
              </w:rPr>
            </w:pPr>
          </w:p>
        </w:tc>
      </w:tr>
      <w:tr w:rsidR="006540D7" w14:paraId="14853D90" w14:textId="77777777">
        <w:tc>
          <w:tcPr>
            <w:tcW w:w="587" w:type="dxa"/>
            <w:shd w:val="clear" w:color="auto" w:fill="EEEEEE"/>
          </w:tcPr>
          <w:p w14:paraId="1771EBD9"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18</w:t>
            </w:r>
          </w:p>
        </w:tc>
        <w:tc>
          <w:tcPr>
            <w:tcW w:w="1822" w:type="dxa"/>
            <w:shd w:val="clear" w:color="auto" w:fill="EEEEEE"/>
          </w:tcPr>
          <w:p w14:paraId="0871B49C" w14:textId="77777777" w:rsidR="00DB02F7" w:rsidRDefault="00000000">
            <w:pPr>
              <w:spacing w:beforeLines="40" w:before="96" w:afterLines="40" w:after="96" w:line="24" w:lineRule="atLeast"/>
              <w:rPr>
                <w:rFonts w:eastAsia="Cambria"/>
                <w:sz w:val="18"/>
                <w:szCs w:val="18"/>
                <w:lang w:val="en-GB" w:eastAsia="en-US"/>
              </w:rPr>
            </w:pPr>
            <w:r>
              <w:rPr>
                <w:rFonts w:eastAsia="Times New Roman"/>
                <w:b/>
                <w:bCs/>
                <w:sz w:val="18"/>
                <w:szCs w:val="18"/>
                <w:lang w:val="en-GB" w:eastAsia="en-GB"/>
              </w:rPr>
              <w:t>Funding</w:t>
            </w:r>
          </w:p>
        </w:tc>
        <w:tc>
          <w:tcPr>
            <w:tcW w:w="7041" w:type="dxa"/>
            <w:shd w:val="clear" w:color="auto" w:fill="EEEEEE"/>
          </w:tcPr>
          <w:p w14:paraId="0D2A70CF"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0366827" w14:textId="50B8138F" w:rsidR="00DB02F7" w:rsidRPr="0071352E"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shd w:val="clear" w:color="auto" w:fill="EEEEEE"/>
          </w:tcPr>
          <w:p w14:paraId="0F209678" w14:textId="77777777" w:rsidR="0071352E" w:rsidRPr="0071352E" w:rsidRDefault="0071352E" w:rsidP="0071352E">
            <w:pPr>
              <w:spacing w:beforeLines="40" w:before="96" w:afterLines="40" w:after="96" w:line="24" w:lineRule="atLeast"/>
              <w:jc w:val="both"/>
              <w:rPr>
                <w:rFonts w:ascii="Times New Roman" w:eastAsia="Times New Roman" w:hAnsi="Times New Roman" w:cs="Times New Roman"/>
                <w:sz w:val="16"/>
                <w:szCs w:val="16"/>
                <w:lang w:val="en-GB" w:eastAsia="en-GB"/>
              </w:rPr>
            </w:pPr>
            <w:r w:rsidRPr="0071352E">
              <w:rPr>
                <w:rFonts w:ascii="Times New Roman" w:eastAsia="Times New Roman" w:hAnsi="Times New Roman" w:cs="Times New Roman"/>
                <w:sz w:val="16"/>
                <w:szCs w:val="16"/>
                <w:lang w:val="en-GB" w:eastAsia="en-GB"/>
              </w:rPr>
              <w:t>11 Funding statement</w:t>
            </w:r>
          </w:p>
          <w:p w14:paraId="51FA9078" w14:textId="70394558" w:rsidR="00DB02F7" w:rsidRPr="0071352E" w:rsidRDefault="0071352E" w:rsidP="0071352E">
            <w:pPr>
              <w:spacing w:beforeLines="40" w:before="96" w:afterLines="40" w:after="96" w:line="24" w:lineRule="atLeast"/>
              <w:jc w:val="both"/>
              <w:rPr>
                <w:rFonts w:ascii="Times New Roman" w:eastAsia="Times New Roman" w:hAnsi="Times New Roman" w:cs="Times New Roman"/>
                <w:sz w:val="16"/>
                <w:szCs w:val="16"/>
                <w:lang w:val="en-GB" w:eastAsia="en-GB"/>
              </w:rPr>
            </w:pPr>
            <w:r w:rsidRPr="0071352E">
              <w:rPr>
                <w:rFonts w:ascii="Times New Roman" w:eastAsia="Times New Roman" w:hAnsi="Times New Roman" w:cs="Times New Roman"/>
                <w:sz w:val="16"/>
                <w:szCs w:val="16"/>
                <w:lang w:val="en-GB" w:eastAsia="en-GB"/>
              </w:rPr>
              <w:t>This study did not receive any funding in any form.</w:t>
            </w:r>
          </w:p>
        </w:tc>
      </w:tr>
      <w:tr w:rsidR="006540D7" w14:paraId="120571B2" w14:textId="77777777">
        <w:tc>
          <w:tcPr>
            <w:tcW w:w="587" w:type="dxa"/>
            <w:shd w:val="clear" w:color="auto" w:fill="auto"/>
          </w:tcPr>
          <w:p w14:paraId="56977B5A"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19</w:t>
            </w:r>
          </w:p>
        </w:tc>
        <w:tc>
          <w:tcPr>
            <w:tcW w:w="1822" w:type="dxa"/>
            <w:shd w:val="clear" w:color="auto" w:fill="auto"/>
          </w:tcPr>
          <w:p w14:paraId="0C6414D3"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Data and data sharing </w:t>
            </w:r>
          </w:p>
        </w:tc>
        <w:tc>
          <w:tcPr>
            <w:tcW w:w="7041" w:type="dxa"/>
            <w:shd w:val="clear" w:color="auto" w:fill="auto"/>
          </w:tcPr>
          <w:p w14:paraId="767F900E"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Provide the data used to perform all analyses or report where and how the data can be </w:t>
            </w:r>
            <w:proofErr w:type="gramStart"/>
            <w:r>
              <w:rPr>
                <w:rFonts w:eastAsia="Times New Roman"/>
                <w:sz w:val="18"/>
                <w:szCs w:val="18"/>
                <w:lang w:val="en-GB" w:eastAsia="en-GB"/>
              </w:rPr>
              <w:t>accessed, and</w:t>
            </w:r>
            <w:proofErr w:type="gramEnd"/>
            <w:r>
              <w:rPr>
                <w:rFonts w:eastAsia="Times New Roman"/>
                <w:sz w:val="18"/>
                <w:szCs w:val="18"/>
                <w:lang w:val="en-GB" w:eastAsia="en-GB"/>
              </w:rPr>
              <w:t xml:space="preserve"> reference these sources in the article. Provide the statistical code needed to reproduce the results in the article, or report whether the code is publicly accessible and if so, where</w:t>
            </w:r>
          </w:p>
        </w:tc>
        <w:tc>
          <w:tcPr>
            <w:tcW w:w="720" w:type="dxa"/>
          </w:tcPr>
          <w:p w14:paraId="16C66C23" w14:textId="79D0C028" w:rsidR="00DB02F7" w:rsidRPr="0071352E" w:rsidRDefault="00DB02F7">
            <w:pPr>
              <w:spacing w:beforeLines="40" w:before="96" w:afterLines="40" w:after="96" w:line="24" w:lineRule="atLeast"/>
              <w:jc w:val="center"/>
              <w:rPr>
                <w:rFonts w:ascii="Times New Roman Bold" w:eastAsiaTheme="minorEastAsia" w:hAnsi="Times New Roman Bold" w:cs="Times New Roman Bold"/>
                <w:b/>
                <w:bCs/>
                <w:sz w:val="18"/>
                <w:szCs w:val="18"/>
                <w:lang w:val="en-US" w:eastAsia="zh-CN"/>
              </w:rPr>
            </w:pPr>
          </w:p>
        </w:tc>
        <w:tc>
          <w:tcPr>
            <w:tcW w:w="4320" w:type="dxa"/>
          </w:tcPr>
          <w:p w14:paraId="038CB06A" w14:textId="77777777" w:rsidR="0071352E" w:rsidRPr="0071352E" w:rsidRDefault="0071352E" w:rsidP="0071352E">
            <w:pPr>
              <w:spacing w:beforeLines="40" w:before="96" w:afterLines="40" w:after="96" w:line="24" w:lineRule="atLeast"/>
              <w:jc w:val="both"/>
              <w:rPr>
                <w:rFonts w:ascii="Times New Roman" w:eastAsia="等线" w:hAnsi="Times New Roman" w:cs="Times New Roman"/>
                <w:sz w:val="16"/>
                <w:szCs w:val="16"/>
              </w:rPr>
            </w:pPr>
            <w:r w:rsidRPr="0071352E">
              <w:rPr>
                <w:rFonts w:ascii="Times New Roman" w:eastAsia="等线" w:hAnsi="Times New Roman" w:cs="Times New Roman"/>
                <w:sz w:val="16"/>
                <w:szCs w:val="16"/>
              </w:rPr>
              <w:t>All the GWAS data and statistical software used in this study were publicly available (which can be accessed through the following URLs), and all the generated results in this study were provided in the main text and supplemental data.</w:t>
            </w:r>
          </w:p>
          <w:p w14:paraId="47588BC1" w14:textId="77777777" w:rsidR="0071352E" w:rsidRPr="0071352E" w:rsidRDefault="0071352E" w:rsidP="0071352E">
            <w:pPr>
              <w:spacing w:beforeLines="40" w:before="96" w:afterLines="40" w:after="96" w:line="24" w:lineRule="atLeast"/>
              <w:jc w:val="both"/>
              <w:rPr>
                <w:rFonts w:ascii="Times New Roman" w:eastAsia="等线" w:hAnsi="Times New Roman" w:cs="Times New Roman"/>
                <w:sz w:val="16"/>
                <w:szCs w:val="16"/>
              </w:rPr>
            </w:pPr>
            <w:r w:rsidRPr="0071352E">
              <w:rPr>
                <w:rFonts w:ascii="Times New Roman" w:eastAsia="等线" w:hAnsi="Times New Roman" w:cs="Times New Roman"/>
                <w:sz w:val="16"/>
                <w:szCs w:val="16"/>
              </w:rPr>
              <w:t>IEU database: https://gwas.mrcieu.ac.uk</w:t>
            </w:r>
          </w:p>
          <w:p w14:paraId="2AF63C43" w14:textId="77777777" w:rsidR="0071352E" w:rsidRPr="0071352E" w:rsidRDefault="0071352E" w:rsidP="0071352E">
            <w:pPr>
              <w:spacing w:beforeLines="40" w:before="96" w:afterLines="40" w:after="96" w:line="24" w:lineRule="atLeast"/>
              <w:jc w:val="both"/>
              <w:rPr>
                <w:rFonts w:ascii="Times New Roman" w:eastAsia="等线" w:hAnsi="Times New Roman" w:cs="Times New Roman"/>
                <w:sz w:val="16"/>
                <w:szCs w:val="16"/>
              </w:rPr>
            </w:pPr>
            <w:proofErr w:type="spellStart"/>
            <w:r w:rsidRPr="0071352E">
              <w:rPr>
                <w:rFonts w:ascii="Times New Roman" w:eastAsia="等线" w:hAnsi="Times New Roman" w:cs="Times New Roman"/>
                <w:sz w:val="16"/>
                <w:szCs w:val="16"/>
              </w:rPr>
              <w:t>FinnGen</w:t>
            </w:r>
            <w:proofErr w:type="spellEnd"/>
            <w:r w:rsidRPr="0071352E">
              <w:rPr>
                <w:rFonts w:ascii="Times New Roman" w:eastAsia="等线" w:hAnsi="Times New Roman" w:cs="Times New Roman"/>
                <w:sz w:val="16"/>
                <w:szCs w:val="16"/>
              </w:rPr>
              <w:t xml:space="preserve"> database (https://r10.finngen.fi/)</w:t>
            </w:r>
          </w:p>
          <w:p w14:paraId="4372A550" w14:textId="77777777" w:rsidR="0071352E" w:rsidRPr="0071352E" w:rsidRDefault="0071352E" w:rsidP="0071352E">
            <w:pPr>
              <w:spacing w:beforeLines="40" w:before="96" w:afterLines="40" w:after="96" w:line="24" w:lineRule="atLeast"/>
              <w:jc w:val="both"/>
              <w:rPr>
                <w:rFonts w:ascii="Times New Roman" w:eastAsia="等线" w:hAnsi="Times New Roman" w:cs="Times New Roman"/>
                <w:sz w:val="16"/>
                <w:szCs w:val="16"/>
              </w:rPr>
            </w:pPr>
            <w:r w:rsidRPr="0071352E">
              <w:rPr>
                <w:rFonts w:ascii="Times New Roman" w:eastAsia="等线" w:hAnsi="Times New Roman" w:cs="Times New Roman"/>
                <w:sz w:val="16"/>
                <w:szCs w:val="16"/>
              </w:rPr>
              <w:t>LDSC</w:t>
            </w:r>
            <w:r w:rsidRPr="0071352E">
              <w:rPr>
                <w:rFonts w:ascii="Times New Roman" w:eastAsia="等线" w:hAnsi="Times New Roman" w:cs="Times New Roman" w:hint="eastAsia"/>
                <w:sz w:val="16"/>
                <w:szCs w:val="16"/>
              </w:rPr>
              <w:t>：</w:t>
            </w:r>
            <w:r w:rsidRPr="0071352E">
              <w:rPr>
                <w:rFonts w:ascii="Times New Roman" w:eastAsia="等线" w:hAnsi="Times New Roman" w:cs="Times New Roman"/>
                <w:sz w:val="16"/>
                <w:szCs w:val="16"/>
              </w:rPr>
              <w:t>https://github.com/bulik/ldsc</w:t>
            </w:r>
          </w:p>
          <w:p w14:paraId="203CD923" w14:textId="77777777" w:rsidR="0071352E" w:rsidRPr="0071352E" w:rsidRDefault="0071352E" w:rsidP="0071352E">
            <w:pPr>
              <w:spacing w:beforeLines="40" w:before="96" w:afterLines="40" w:after="96" w:line="24" w:lineRule="atLeast"/>
              <w:jc w:val="both"/>
              <w:rPr>
                <w:rFonts w:ascii="Times New Roman" w:eastAsia="等线" w:hAnsi="Times New Roman" w:cs="Times New Roman"/>
                <w:sz w:val="16"/>
                <w:szCs w:val="16"/>
              </w:rPr>
            </w:pPr>
            <w:proofErr w:type="spellStart"/>
            <w:r w:rsidRPr="0071352E">
              <w:rPr>
                <w:rFonts w:ascii="Times New Roman" w:eastAsia="等线" w:hAnsi="Times New Roman" w:cs="Times New Roman"/>
                <w:sz w:val="16"/>
                <w:szCs w:val="16"/>
              </w:rPr>
              <w:t>TwosampleMR</w:t>
            </w:r>
            <w:proofErr w:type="spellEnd"/>
            <w:r w:rsidRPr="0071352E">
              <w:rPr>
                <w:rFonts w:ascii="Times New Roman" w:eastAsia="等线" w:hAnsi="Times New Roman" w:cs="Times New Roman"/>
                <w:sz w:val="16"/>
                <w:szCs w:val="16"/>
              </w:rPr>
              <w:t>: https://mrcieu.github.io/TwoSampleMR/</w:t>
            </w:r>
          </w:p>
          <w:p w14:paraId="5962DCD8" w14:textId="77777777" w:rsidR="0071352E" w:rsidRPr="0071352E" w:rsidRDefault="0071352E" w:rsidP="0071352E">
            <w:pPr>
              <w:spacing w:beforeLines="40" w:before="96" w:afterLines="40" w:after="96" w:line="24" w:lineRule="atLeast"/>
              <w:jc w:val="both"/>
              <w:rPr>
                <w:rFonts w:ascii="Times New Roman" w:eastAsia="等线" w:hAnsi="Times New Roman" w:cs="Times New Roman"/>
                <w:sz w:val="16"/>
                <w:szCs w:val="16"/>
              </w:rPr>
            </w:pPr>
            <w:proofErr w:type="spellStart"/>
            <w:r w:rsidRPr="0071352E">
              <w:rPr>
                <w:rFonts w:ascii="Times New Roman" w:eastAsia="等线" w:hAnsi="Times New Roman" w:cs="Times New Roman"/>
                <w:sz w:val="16"/>
                <w:szCs w:val="16"/>
              </w:rPr>
              <w:t>conjFDR</w:t>
            </w:r>
            <w:proofErr w:type="spellEnd"/>
            <w:r w:rsidRPr="0071352E">
              <w:rPr>
                <w:rFonts w:ascii="Times New Roman" w:eastAsia="等线" w:hAnsi="Times New Roman" w:cs="Times New Roman"/>
                <w:sz w:val="16"/>
                <w:szCs w:val="16"/>
              </w:rPr>
              <w:t>: https://github.com/precimed/pleiofdr</w:t>
            </w:r>
          </w:p>
          <w:p w14:paraId="40BF2F19" w14:textId="77777777" w:rsidR="0071352E" w:rsidRPr="0071352E" w:rsidRDefault="0071352E" w:rsidP="0071352E">
            <w:pPr>
              <w:spacing w:beforeLines="40" w:before="96" w:afterLines="40" w:after="96" w:line="24" w:lineRule="atLeast"/>
              <w:jc w:val="both"/>
              <w:rPr>
                <w:rFonts w:ascii="Times New Roman" w:eastAsia="等线" w:hAnsi="Times New Roman" w:cs="Times New Roman"/>
                <w:sz w:val="16"/>
                <w:szCs w:val="16"/>
              </w:rPr>
            </w:pPr>
            <w:r w:rsidRPr="0071352E">
              <w:rPr>
                <w:rFonts w:ascii="Times New Roman" w:eastAsia="等线" w:hAnsi="Times New Roman" w:cs="Times New Roman"/>
                <w:sz w:val="16"/>
                <w:szCs w:val="16"/>
              </w:rPr>
              <w:t>FUMA: https://fuma.ctglab.nl</w:t>
            </w:r>
          </w:p>
          <w:p w14:paraId="552F48B7" w14:textId="017EA9C1" w:rsidR="00DB02F7" w:rsidRDefault="0071352E" w:rsidP="0071352E">
            <w:pPr>
              <w:spacing w:beforeLines="40" w:before="96" w:afterLines="40" w:after="96" w:line="24" w:lineRule="atLeast"/>
              <w:jc w:val="both"/>
              <w:rPr>
                <w:rFonts w:eastAsia="Times New Roman"/>
                <w:sz w:val="18"/>
                <w:szCs w:val="18"/>
                <w:lang w:val="en-GB" w:eastAsia="en-GB"/>
              </w:rPr>
            </w:pPr>
            <w:proofErr w:type="spellStart"/>
            <w:r w:rsidRPr="0071352E">
              <w:rPr>
                <w:rFonts w:ascii="Times New Roman" w:eastAsia="等线" w:hAnsi="Times New Roman" w:cs="Times New Roman"/>
                <w:sz w:val="16"/>
                <w:szCs w:val="16"/>
              </w:rPr>
              <w:t>Sangerbox</w:t>
            </w:r>
            <w:proofErr w:type="spellEnd"/>
            <w:r w:rsidRPr="0071352E">
              <w:rPr>
                <w:rFonts w:ascii="Times New Roman" w:eastAsia="等线" w:hAnsi="Times New Roman" w:cs="Times New Roman" w:hint="eastAsia"/>
                <w:sz w:val="16"/>
                <w:szCs w:val="16"/>
              </w:rPr>
              <w:t>：</w:t>
            </w:r>
            <w:r w:rsidRPr="0071352E">
              <w:rPr>
                <w:rFonts w:ascii="Times New Roman" w:eastAsia="等线" w:hAnsi="Times New Roman" w:cs="Times New Roman"/>
                <w:sz w:val="16"/>
                <w:szCs w:val="16"/>
              </w:rPr>
              <w:t>http://vip.sangerbox.com/</w:t>
            </w:r>
          </w:p>
        </w:tc>
      </w:tr>
      <w:tr w:rsidR="006540D7" w14:paraId="29D5D59C" w14:textId="77777777">
        <w:tc>
          <w:tcPr>
            <w:tcW w:w="587" w:type="dxa"/>
            <w:tcBorders>
              <w:bottom w:val="single" w:sz="6" w:space="0" w:color="7F7F7F"/>
            </w:tcBorders>
            <w:shd w:val="clear" w:color="auto" w:fill="EEEEEE"/>
          </w:tcPr>
          <w:p w14:paraId="75E76BA3" w14:textId="77777777" w:rsidR="00DB02F7" w:rsidRDefault="00000000">
            <w:pPr>
              <w:spacing w:beforeLines="40" w:before="96" w:afterLines="40" w:after="96" w:line="24" w:lineRule="atLeast"/>
              <w:rPr>
                <w:rFonts w:eastAsia="Times New Roman"/>
                <w:b/>
                <w:bCs/>
                <w:sz w:val="18"/>
                <w:szCs w:val="18"/>
                <w:lang w:val="en-GB" w:eastAsia="en-GB"/>
              </w:rPr>
            </w:pPr>
            <w:r>
              <w:rPr>
                <w:rFonts w:eastAsia="Times New Roman"/>
                <w:sz w:val="18"/>
                <w:szCs w:val="18"/>
                <w:lang w:val="en-GB" w:eastAsia="en-GB"/>
              </w:rPr>
              <w:t>20</w:t>
            </w:r>
          </w:p>
        </w:tc>
        <w:tc>
          <w:tcPr>
            <w:tcW w:w="1822" w:type="dxa"/>
            <w:tcBorders>
              <w:bottom w:val="single" w:sz="6" w:space="0" w:color="7F7F7F"/>
            </w:tcBorders>
            <w:shd w:val="clear" w:color="auto" w:fill="EEEEEE"/>
          </w:tcPr>
          <w:p w14:paraId="4A195256"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8788C7A" w14:textId="77777777" w:rsidR="00DB02F7" w:rsidRDefault="0000000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53B1F8FD" w14:textId="44982D8F" w:rsidR="00DB02F7" w:rsidRPr="00337CAD" w:rsidRDefault="00DB02F7">
            <w:pPr>
              <w:spacing w:beforeLines="40" w:before="96" w:afterLines="40" w:after="96" w:line="24" w:lineRule="atLeast"/>
              <w:jc w:val="center"/>
              <w:rPr>
                <w:rFonts w:ascii="Times New Roman Bold" w:eastAsiaTheme="minorEastAsia" w:hAnsi="Times New Roman Bold" w:cs="Times New Roman Bold" w:hint="eastAsia"/>
                <w:b/>
                <w:bCs/>
                <w:sz w:val="18"/>
                <w:szCs w:val="18"/>
                <w:lang w:val="en-US" w:eastAsia="zh-CN"/>
              </w:rPr>
            </w:pPr>
          </w:p>
        </w:tc>
        <w:tc>
          <w:tcPr>
            <w:tcW w:w="4320" w:type="dxa"/>
            <w:tcBorders>
              <w:bottom w:val="single" w:sz="6" w:space="0" w:color="7F7F7F"/>
            </w:tcBorders>
            <w:shd w:val="clear" w:color="auto" w:fill="EEEEEE"/>
          </w:tcPr>
          <w:p w14:paraId="6DA9E57D" w14:textId="77777777" w:rsidR="00DB02F7" w:rsidRDefault="00000000">
            <w:pPr>
              <w:spacing w:after="160" w:line="360" w:lineRule="auto"/>
              <w:jc w:val="both"/>
              <w:rPr>
                <w:rFonts w:eastAsia="Times New Roman"/>
                <w:sz w:val="18"/>
                <w:szCs w:val="18"/>
                <w:lang w:val="en-GB" w:eastAsia="en-GB"/>
              </w:rPr>
            </w:pPr>
            <w:r>
              <w:rPr>
                <w:rFonts w:ascii="Times New Roman" w:eastAsia="等线" w:hAnsi="Times New Roman" w:cs="Times New Roman"/>
                <w:sz w:val="16"/>
                <w:szCs w:val="16"/>
              </w:rPr>
              <w:t>The authors declare that the research was conducted in the absence of any commercial or financial relationships that could be construe as a potential conflict of interest.</w:t>
            </w:r>
          </w:p>
        </w:tc>
      </w:tr>
    </w:tbl>
    <w:p w14:paraId="0B709C6A" w14:textId="77777777" w:rsidR="00DB02F7" w:rsidRDefault="00000000">
      <w:pPr>
        <w:spacing w:before="240" w:after="240"/>
        <w:rPr>
          <w:sz w:val="19"/>
          <w:szCs w:val="19"/>
        </w:rPr>
      </w:pPr>
      <w:r>
        <w:rPr>
          <w:sz w:val="19"/>
          <w:szCs w:val="19"/>
        </w:rPr>
        <w:t xml:space="preserve">This checklist is copyrighted by the Equator Network under the Creative Commons Attribution 3.0 </w:t>
      </w:r>
      <w:proofErr w:type="spellStart"/>
      <w:r>
        <w:rPr>
          <w:sz w:val="19"/>
          <w:szCs w:val="19"/>
        </w:rPr>
        <w:t>Unported</w:t>
      </w:r>
      <w:proofErr w:type="spellEnd"/>
      <w:r>
        <w:rPr>
          <w:sz w:val="19"/>
          <w:szCs w:val="19"/>
        </w:rPr>
        <w:t xml:space="preserve"> (CC BY 3.0) license.</w:t>
      </w:r>
    </w:p>
    <w:p w14:paraId="7A2D40B5" w14:textId="77777777" w:rsidR="00DB02F7" w:rsidRDefault="00000000">
      <w:pPr>
        <w:widowControl w:val="0"/>
        <w:autoSpaceDE w:val="0"/>
        <w:autoSpaceDN w:val="0"/>
        <w:adjustRightInd w:val="0"/>
        <w:spacing w:before="240" w:after="240" w:line="240" w:lineRule="auto"/>
        <w:ind w:left="640" w:hanging="640"/>
        <w:rPr>
          <w:sz w:val="19"/>
          <w:szCs w:val="19"/>
        </w:rPr>
      </w:pPr>
      <w:r>
        <w:rPr>
          <w:sz w:val="19"/>
          <w:szCs w:val="19"/>
        </w:rPr>
        <w:fldChar w:fldCharType="begin" w:fldLock="1"/>
      </w:r>
      <w:r>
        <w:rPr>
          <w:sz w:val="19"/>
          <w:szCs w:val="19"/>
        </w:rPr>
        <w:instrText xml:space="preserve">ADDIN Mendeley Bibliography CSL_BIBLIOGRAPHY </w:instrText>
      </w:r>
      <w:r>
        <w:rPr>
          <w:sz w:val="19"/>
          <w:szCs w:val="19"/>
        </w:rPr>
        <w:fldChar w:fldCharType="separate"/>
      </w:r>
      <w:r>
        <w:rPr>
          <w:sz w:val="19"/>
          <w:szCs w:val="19"/>
        </w:rPr>
        <w:t xml:space="preserve">1. </w:t>
      </w:r>
      <w:r>
        <w:rPr>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3518546B" w14:textId="77777777" w:rsidR="00DB02F7" w:rsidRDefault="00000000">
      <w:pPr>
        <w:widowControl w:val="0"/>
        <w:autoSpaceDE w:val="0"/>
        <w:autoSpaceDN w:val="0"/>
        <w:adjustRightInd w:val="0"/>
        <w:spacing w:before="240" w:after="240" w:line="240" w:lineRule="auto"/>
        <w:ind w:left="640" w:hanging="640"/>
        <w:rPr>
          <w:sz w:val="19"/>
          <w:szCs w:val="19"/>
        </w:rPr>
      </w:pPr>
      <w:r>
        <w:rPr>
          <w:sz w:val="19"/>
          <w:szCs w:val="19"/>
        </w:rPr>
        <w:t xml:space="preserve">2. </w:t>
      </w:r>
      <w:r>
        <w:rPr>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016B5FAC" w14:textId="77777777" w:rsidR="00DB02F7" w:rsidRDefault="00000000">
      <w:pPr>
        <w:spacing w:before="240" w:after="240"/>
      </w:pPr>
      <w:r>
        <w:rPr>
          <w:sz w:val="19"/>
          <w:szCs w:val="19"/>
        </w:rPr>
        <w:fldChar w:fldCharType="end"/>
      </w:r>
    </w:p>
    <w:sectPr w:rsidR="00DB02F7">
      <w:footerReference w:type="even" r:id="rId7"/>
      <w:footerReference w:type="default" r:id="rId8"/>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0E341" w14:textId="77777777" w:rsidR="00C82D9C" w:rsidRDefault="00C82D9C">
      <w:pPr>
        <w:spacing w:line="240" w:lineRule="auto"/>
      </w:pPr>
      <w:r>
        <w:separator/>
      </w:r>
    </w:p>
  </w:endnote>
  <w:endnote w:type="continuationSeparator" w:id="0">
    <w:p w14:paraId="48437018" w14:textId="77777777" w:rsidR="00C82D9C" w:rsidRDefault="00C82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Regular">
    <w:altName w:val="Times New Roman"/>
    <w:charset w:val="00"/>
    <w:family w:val="auto"/>
    <w:pitch w:val="default"/>
    <w:sig w:usb0="E0002AEF" w:usb1="C0007841" w:usb2="00000009" w:usb3="00000000" w:csb0="400001FF" w:csb1="FFFF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E0002AEF" w:usb1="C0007841" w:usb2="00000009" w:usb3="00000000" w:csb0="400001FF" w:csb1="FFFF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6124" w14:textId="77777777" w:rsidR="00DB02F7" w:rsidRDefault="00DB02F7">
    <w:pPr>
      <w:pStyle w:val="a3"/>
      <w:framePr w:wrap="auto" w:vAnchor="text" w:hAnchor="margin" w:xAlign="right" w:y="1"/>
      <w:rPr>
        <w:rStyle w:val="a5"/>
      </w:rPr>
    </w:pPr>
  </w:p>
  <w:p w14:paraId="590982E2" w14:textId="77777777" w:rsidR="00DB02F7" w:rsidRDefault="00DB02F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CF37" w14:textId="77777777" w:rsidR="00DB02F7" w:rsidRDefault="00000000">
    <w:pPr>
      <w:pStyle w:val="a3"/>
      <w:jc w:val="right"/>
    </w:pPr>
    <w:r>
      <w:fldChar w:fldCharType="begin"/>
    </w:r>
    <w:r>
      <w:instrText xml:space="preserve"> PAGE   \* MERGEFORMAT </w:instrText>
    </w:r>
    <w:r>
      <w:fldChar w:fldCharType="separate"/>
    </w:r>
    <w:r>
      <w:t>1</w:t>
    </w:r>
    <w:r>
      <w:fldChar w:fldCharType="end"/>
    </w:r>
  </w:p>
  <w:p w14:paraId="5596620C" w14:textId="77777777" w:rsidR="00DB02F7" w:rsidRDefault="00DB02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2513" w14:textId="77777777" w:rsidR="00C82D9C" w:rsidRDefault="00C82D9C">
      <w:r>
        <w:separator/>
      </w:r>
    </w:p>
  </w:footnote>
  <w:footnote w:type="continuationSeparator" w:id="0">
    <w:p w14:paraId="612B55B9" w14:textId="77777777" w:rsidR="00C82D9C" w:rsidRDefault="00C82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7E0DFB"/>
    <w:multiLevelType w:val="singleLevel"/>
    <w:tmpl w:val="AD7E0DFB"/>
    <w:lvl w:ilvl="0">
      <w:start w:val="1"/>
      <w:numFmt w:val="decimal"/>
      <w:suff w:val="space"/>
      <w:lvlText w:val="%1."/>
      <w:lvlJc w:val="left"/>
      <w:rPr>
        <w:rFonts w:ascii="Times New Roman Regular" w:hAnsi="Times New Roman Regular" w:cs="Times New Roman Regular" w:hint="default"/>
        <w:sz w:val="16"/>
        <w:szCs w:val="16"/>
      </w:rPr>
    </w:lvl>
  </w:abstractNum>
  <w:abstractNum w:abstractNumId="1" w15:restartNumberingAfterBreak="0">
    <w:nsid w:val="B7FA1533"/>
    <w:multiLevelType w:val="singleLevel"/>
    <w:tmpl w:val="B7FA1533"/>
    <w:lvl w:ilvl="0">
      <w:start w:val="1"/>
      <w:numFmt w:val="decimal"/>
      <w:suff w:val="space"/>
      <w:lvlText w:val="%1."/>
      <w:lvlJc w:val="left"/>
    </w:lvl>
  </w:abstractNum>
  <w:abstractNum w:abstractNumId="2" w15:restartNumberingAfterBreak="0">
    <w:nsid w:val="BAFE543D"/>
    <w:multiLevelType w:val="singleLevel"/>
    <w:tmpl w:val="BAFE543D"/>
    <w:lvl w:ilvl="0">
      <w:start w:val="1"/>
      <w:numFmt w:val="decimal"/>
      <w:suff w:val="space"/>
      <w:lvlText w:val="%1."/>
      <w:lvlJc w:val="left"/>
    </w:lvl>
  </w:abstractNum>
  <w:abstractNum w:abstractNumId="3" w15:restartNumberingAfterBreak="0">
    <w:nsid w:val="D1FF1B4A"/>
    <w:multiLevelType w:val="singleLevel"/>
    <w:tmpl w:val="D1FF1B4A"/>
    <w:lvl w:ilvl="0">
      <w:start w:val="1"/>
      <w:numFmt w:val="decimal"/>
      <w:suff w:val="space"/>
      <w:lvlText w:val="%1."/>
      <w:lvlJc w:val="left"/>
      <w:rPr>
        <w:rFonts w:ascii="Times New Roman Regular" w:hAnsi="Times New Roman Regular" w:cs="Times New Roman Regular" w:hint="default"/>
        <w:sz w:val="16"/>
        <w:szCs w:val="16"/>
      </w:rPr>
    </w:lvl>
  </w:abstractNum>
  <w:abstractNum w:abstractNumId="4" w15:restartNumberingAfterBreak="0">
    <w:nsid w:val="DF6672DD"/>
    <w:multiLevelType w:val="singleLevel"/>
    <w:tmpl w:val="DF6672DD"/>
    <w:lvl w:ilvl="0">
      <w:start w:val="1"/>
      <w:numFmt w:val="decimal"/>
      <w:suff w:val="space"/>
      <w:lvlText w:val="%1."/>
      <w:lvlJc w:val="left"/>
      <w:rPr>
        <w:rFonts w:ascii="Times New Roman Regular" w:hAnsi="Times New Roman Regular" w:cs="Times New Roman Regular" w:hint="default"/>
        <w:sz w:val="16"/>
        <w:szCs w:val="16"/>
      </w:rPr>
    </w:lvl>
  </w:abstractNum>
  <w:abstractNum w:abstractNumId="5" w15:restartNumberingAfterBreak="0">
    <w:nsid w:val="E79FC0F0"/>
    <w:multiLevelType w:val="singleLevel"/>
    <w:tmpl w:val="E79FC0F0"/>
    <w:lvl w:ilvl="0">
      <w:start w:val="1"/>
      <w:numFmt w:val="decimal"/>
      <w:suff w:val="space"/>
      <w:lvlText w:val="%1."/>
      <w:lvlJc w:val="left"/>
    </w:lvl>
  </w:abstractNum>
  <w:abstractNum w:abstractNumId="6" w15:restartNumberingAfterBreak="0">
    <w:nsid w:val="EEF75F1A"/>
    <w:multiLevelType w:val="singleLevel"/>
    <w:tmpl w:val="EEF75F1A"/>
    <w:lvl w:ilvl="0">
      <w:start w:val="1"/>
      <w:numFmt w:val="decimal"/>
      <w:suff w:val="space"/>
      <w:lvlText w:val="%1."/>
      <w:lvlJc w:val="left"/>
    </w:lvl>
  </w:abstractNum>
  <w:abstractNum w:abstractNumId="7" w15:restartNumberingAfterBreak="0">
    <w:nsid w:val="F9F26A76"/>
    <w:multiLevelType w:val="singleLevel"/>
    <w:tmpl w:val="F9F26A76"/>
    <w:lvl w:ilvl="0">
      <w:start w:val="1"/>
      <w:numFmt w:val="decimal"/>
      <w:suff w:val="space"/>
      <w:lvlText w:val="%1."/>
      <w:lvlJc w:val="left"/>
    </w:lvl>
  </w:abstractNum>
  <w:abstractNum w:abstractNumId="8" w15:restartNumberingAfterBreak="0">
    <w:nsid w:val="FFFBFD13"/>
    <w:multiLevelType w:val="singleLevel"/>
    <w:tmpl w:val="FFFBFD13"/>
    <w:lvl w:ilvl="0">
      <w:start w:val="1"/>
      <w:numFmt w:val="decimal"/>
      <w:lvlText w:val="%1."/>
      <w:lvlJc w:val="left"/>
      <w:pPr>
        <w:tabs>
          <w:tab w:val="left" w:pos="312"/>
        </w:tabs>
      </w:pPr>
      <w:rPr>
        <w:rFonts w:ascii="Times New Roman Regular" w:hAnsi="Times New Roman Regular" w:cs="Times New Roman Regular" w:hint="default"/>
        <w:sz w:val="16"/>
        <w:szCs w:val="16"/>
      </w:rPr>
    </w:lvl>
  </w:abstractNum>
  <w:abstractNum w:abstractNumId="9" w15:restartNumberingAfterBreak="0">
    <w:nsid w:val="7AA70E22"/>
    <w:multiLevelType w:val="singleLevel"/>
    <w:tmpl w:val="7AA70E22"/>
    <w:lvl w:ilvl="0">
      <w:start w:val="1"/>
      <w:numFmt w:val="decimal"/>
      <w:suff w:val="space"/>
      <w:lvlText w:val="%1."/>
      <w:lvlJc w:val="left"/>
    </w:lvl>
  </w:abstractNum>
  <w:abstractNum w:abstractNumId="10" w15:restartNumberingAfterBreak="0">
    <w:nsid w:val="7CFA2843"/>
    <w:multiLevelType w:val="singleLevel"/>
    <w:tmpl w:val="7CFA2843"/>
    <w:lvl w:ilvl="0">
      <w:start w:val="1"/>
      <w:numFmt w:val="decimal"/>
      <w:suff w:val="space"/>
      <w:lvlText w:val="%1."/>
      <w:lvlJc w:val="left"/>
      <w:rPr>
        <w:rFonts w:ascii="Times New Roman Regular" w:hAnsi="Times New Roman Regular" w:cs="Times New Roman Regular" w:hint="default"/>
        <w:sz w:val="16"/>
        <w:szCs w:val="16"/>
      </w:rPr>
    </w:lvl>
  </w:abstractNum>
  <w:num w:numId="1" w16cid:durableId="473450101">
    <w:abstractNumId w:val="0"/>
  </w:num>
  <w:num w:numId="2" w16cid:durableId="1303927606">
    <w:abstractNumId w:val="2"/>
  </w:num>
  <w:num w:numId="3" w16cid:durableId="2042896232">
    <w:abstractNumId w:val="3"/>
  </w:num>
  <w:num w:numId="4" w16cid:durableId="1225724826">
    <w:abstractNumId w:val="7"/>
  </w:num>
  <w:num w:numId="5" w16cid:durableId="1132207869">
    <w:abstractNumId w:val="4"/>
  </w:num>
  <w:num w:numId="6" w16cid:durableId="323357687">
    <w:abstractNumId w:val="5"/>
  </w:num>
  <w:num w:numId="7" w16cid:durableId="750781582">
    <w:abstractNumId w:val="1"/>
  </w:num>
  <w:num w:numId="8" w16cid:durableId="616136079">
    <w:abstractNumId w:val="8"/>
  </w:num>
  <w:num w:numId="9" w16cid:durableId="267860060">
    <w:abstractNumId w:val="10"/>
  </w:num>
  <w:num w:numId="10" w16cid:durableId="1407071758">
    <w:abstractNumId w:val="9"/>
  </w:num>
  <w:num w:numId="11" w16cid:durableId="748618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A4CE8"/>
    <w:rsid w:val="000B5835"/>
    <w:rsid w:val="00164622"/>
    <w:rsid w:val="002663E6"/>
    <w:rsid w:val="00337CAD"/>
    <w:rsid w:val="0034520E"/>
    <w:rsid w:val="003764DE"/>
    <w:rsid w:val="003D447D"/>
    <w:rsid w:val="003D47DD"/>
    <w:rsid w:val="004B5CBB"/>
    <w:rsid w:val="004E11D4"/>
    <w:rsid w:val="00514462"/>
    <w:rsid w:val="005520ED"/>
    <w:rsid w:val="005A0D0D"/>
    <w:rsid w:val="006540D7"/>
    <w:rsid w:val="00685D31"/>
    <w:rsid w:val="00690775"/>
    <w:rsid w:val="006912BF"/>
    <w:rsid w:val="006A41D0"/>
    <w:rsid w:val="006B08D5"/>
    <w:rsid w:val="00704FF0"/>
    <w:rsid w:val="0071352E"/>
    <w:rsid w:val="00804498"/>
    <w:rsid w:val="00914C56"/>
    <w:rsid w:val="00940B81"/>
    <w:rsid w:val="00950729"/>
    <w:rsid w:val="009854A9"/>
    <w:rsid w:val="009E033F"/>
    <w:rsid w:val="00A51F1D"/>
    <w:rsid w:val="00AD30C4"/>
    <w:rsid w:val="00B14B82"/>
    <w:rsid w:val="00BB6328"/>
    <w:rsid w:val="00BF2F58"/>
    <w:rsid w:val="00C82D9C"/>
    <w:rsid w:val="00CB2807"/>
    <w:rsid w:val="00D13913"/>
    <w:rsid w:val="00D20BD7"/>
    <w:rsid w:val="00D65199"/>
    <w:rsid w:val="00D8098C"/>
    <w:rsid w:val="00D87030"/>
    <w:rsid w:val="00D87DA1"/>
    <w:rsid w:val="00DB02F7"/>
    <w:rsid w:val="00E35D5F"/>
    <w:rsid w:val="00ED48A3"/>
    <w:rsid w:val="00EF4B94"/>
    <w:rsid w:val="7DBFED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AEAE"/>
  <w15:docId w15:val="{107FD808-EE48-4E21-AD77-FDF6FF92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276" w:lineRule="auto"/>
    </w:pPr>
    <w:rPr>
      <w:rFonts w:ascii="Arial" w:eastAsia="Arial" w:hAnsi="Arial" w:cs="Arial"/>
      <w:sz w:val="22"/>
      <w:szCs w:val="22"/>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line="240" w:lineRule="auto"/>
    </w:pPr>
  </w:style>
  <w:style w:type="character" w:styleId="a5">
    <w:name w:val="page number"/>
    <w:basedOn w:val="a0"/>
    <w:uiPriority w:val="99"/>
    <w:semiHidden/>
    <w:unhideWhenUsed/>
    <w:qFormat/>
  </w:style>
  <w:style w:type="character" w:styleId="a6">
    <w:name w:val="line number"/>
    <w:basedOn w:val="a0"/>
    <w:uiPriority w:val="99"/>
    <w:semiHidden/>
    <w:unhideWhenUsed/>
    <w:qFormat/>
  </w:style>
  <w:style w:type="character" w:customStyle="1" w:styleId="a4">
    <w:name w:val="页脚 字符"/>
    <w:basedOn w:val="a0"/>
    <w:link w:val="a3"/>
    <w:uiPriority w:val="99"/>
    <w:qFormat/>
    <w:rPr>
      <w:rFonts w:ascii="Arial" w:eastAsia="Arial" w:hAnsi="Arial" w:cs="Arial"/>
      <w:lang w:val="en" w:eastAsia="de-CH"/>
    </w:rPr>
  </w:style>
  <w:style w:type="character" w:customStyle="1" w:styleId="font11">
    <w:name w:val="font11"/>
    <w:basedOn w:val="a0"/>
    <w:qFormat/>
    <w:rsid w:val="006540D7"/>
    <w:rPr>
      <w:rFonts w:ascii="等线" w:eastAsia="等线" w:hAnsi="等线" w:cs="等线" w:hint="eastAsia"/>
      <w:color w:val="000000"/>
      <w:sz w:val="21"/>
      <w:szCs w:val="21"/>
      <w:u w:val="none"/>
    </w:rPr>
  </w:style>
  <w:style w:type="paragraph" w:styleId="a7">
    <w:name w:val="header"/>
    <w:basedOn w:val="a"/>
    <w:link w:val="a8"/>
    <w:uiPriority w:val="99"/>
    <w:unhideWhenUsed/>
    <w:rsid w:val="0034520E"/>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34520E"/>
    <w:rPr>
      <w:rFonts w:ascii="Arial" w:eastAsia="Arial" w:hAnsi="Arial" w:cs="Arial"/>
      <w:sz w:val="18"/>
      <w:szCs w:val="18"/>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7317</Words>
  <Characters>41711</Characters>
  <Application>Microsoft Office Word</Application>
  <DocSecurity>0</DocSecurity>
  <Lines>347</Lines>
  <Paragraphs>97</Paragraphs>
  <ScaleCrop>false</ScaleCrop>
  <Company>University of Bern</Company>
  <LinksUpToDate>false</LinksUpToDate>
  <CharactersWithSpaces>48931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Whitesell, Veronika (ISPM)</dc:creator>
  <cp:lastModifiedBy>E392</cp:lastModifiedBy>
  <cp:revision>8</cp:revision>
  <cp:lastPrinted>2021-09-28T15:08:00Z</cp:lastPrinted>
  <dcterms:created xsi:type="dcterms:W3CDTF">2024-03-14T17:58:00Z</dcterms:created>
  <dcterms:modified xsi:type="dcterms:W3CDTF">2024-08-20T15:48:00Z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y fmtid="{D5CDD505-2E9C-101B-9397-08002B2CF9AE}" pid="26" name="KSOProductBuildVer">
    <vt:lpwstr>2052-6.7.1.8828</vt:lpwstr>
  </property>
  <property fmtid="{D5CDD505-2E9C-101B-9397-08002B2CF9AE}" pid="27" name="ICV">
    <vt:lpwstr>97CB2732AA1080731C034F661079936B_42</vt:lpwstr>
  </property>
</Properties>
</file>