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0F2BF9">
      <w:pPr>
        <w:adjustRightInd w:val="0"/>
        <w:snapToGrid w:val="0"/>
        <w:spacing w:line="312" w:lineRule="auto"/>
        <w:rPr>
          <w:rFonts w:ascii="Times New Roman" w:hAnsi="Times New Roman" w:cs="Times New Roman"/>
          <w:color w:val="000000" w:themeColor="text1"/>
          <w:sz w:val="28"/>
          <w:szCs w:val="28"/>
          <w14:textFill>
            <w14:solidFill>
              <w14:schemeClr w14:val="tx1"/>
            </w14:solidFill>
          </w14:textFill>
        </w:rPr>
      </w:pPr>
      <w:bookmarkStart w:id="0" w:name="OLE_LINK8"/>
      <w:bookmarkStart w:id="1" w:name="OLE_LINK7"/>
      <w:r>
        <w:rPr>
          <w:rFonts w:ascii="Times New Roman" w:hAnsi="Times New Roman" w:cs="Times New Roman"/>
          <w:color w:val="000000" w:themeColor="text1"/>
          <w:sz w:val="28"/>
          <w:szCs w:val="28"/>
          <w14:textFill>
            <w14:solidFill>
              <w14:schemeClr w14:val="tx1"/>
            </w14:solidFill>
          </w14:textFill>
        </w:rPr>
        <w:t xml:space="preserve">Risk Factors for Early Readmission to Hospital in Patients with Malignancy-related Ascites: </w:t>
      </w:r>
      <w:bookmarkStart w:id="2" w:name="_Hlk116319548"/>
      <w:r>
        <w:rPr>
          <w:rFonts w:ascii="Times New Roman" w:hAnsi="Times New Roman" w:cs="Times New Roman"/>
          <w:color w:val="000000" w:themeColor="text1"/>
          <w:sz w:val="28"/>
          <w:szCs w:val="28"/>
          <w14:textFill>
            <w14:solidFill>
              <w14:schemeClr w14:val="tx1"/>
            </w14:solidFill>
          </w14:textFill>
        </w:rPr>
        <w:t>A retrospective cohort study</w:t>
      </w:r>
      <w:bookmarkEnd w:id="2"/>
    </w:p>
    <w:bookmarkEnd w:id="0"/>
    <w:bookmarkEnd w:id="1"/>
    <w:p w14:paraId="1D9CE4D0">
      <w:pPr>
        <w:adjustRightInd w:val="0"/>
        <w:snapToGrid w:val="0"/>
        <w:spacing w:before="156" w:beforeLines="50" w:line="480" w:lineRule="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shd w:val="clear" w:color="auto" w:fill="FFFFFF"/>
          <w:lang w:val="en-US" w:eastAsia="zh-CN"/>
          <w14:textFill>
            <w14:solidFill>
              <w14:schemeClr w14:val="tx1"/>
            </w14:solidFill>
          </w14:textFill>
        </w:rPr>
        <w:t>Zhenhua Tian</w:t>
      </w:r>
      <w:r>
        <w:rPr>
          <w:rFonts w:ascii="Times New Roman" w:hAnsi="Times New Roman" w:cs="Times New Roman"/>
          <w:color w:val="000000" w:themeColor="text1"/>
          <w:sz w:val="24"/>
          <w:szCs w:val="24"/>
          <w:vertAlign w:val="superscript"/>
          <w14:textFill>
            <w14:solidFill>
              <w14:schemeClr w14:val="tx1"/>
            </w14:solidFill>
          </w14:textFill>
        </w:rPr>
        <w:t>1,</w:t>
      </w:r>
      <w:bookmarkStart w:id="3" w:name="OLE_LINK13"/>
      <w:r>
        <w:rPr>
          <w:rFonts w:ascii="Times New Roman" w:hAnsi="Times New Roman" w:cs="Times New Roman"/>
          <w:color w:val="000000" w:themeColor="text1"/>
          <w:sz w:val="24"/>
          <w:szCs w:val="24"/>
          <w:vertAlign w:val="superscript"/>
          <w14:textFill>
            <w14:solidFill>
              <w14:schemeClr w14:val="tx1"/>
            </w14:solidFill>
          </w14:textFill>
        </w:rPr>
        <w:t>2,3,</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4,5</w:t>
      </w:r>
      <w:bookmarkEnd w:id="3"/>
      <w:r>
        <w:rPr>
          <w:rFonts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Zhilong</w:t>
      </w:r>
      <w:r>
        <w:rPr>
          <w:rFonts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Huang</w:t>
      </w:r>
      <w:bookmarkStart w:id="4" w:name="OLE_LINK11"/>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Yaqi</w:t>
      </w:r>
      <w:r>
        <w:rPr>
          <w:rFonts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Guo</w:t>
      </w:r>
      <w:bookmarkEnd w:id="4"/>
      <w:r>
        <w:rPr>
          <w:rFonts w:ascii="Times New Roman" w:hAnsi="Times New Roman" w:cs="Times New Roman"/>
          <w:color w:val="000000" w:themeColor="text1"/>
          <w:sz w:val="24"/>
          <w:szCs w:val="24"/>
          <w:vertAlign w:val="superscript"/>
          <w14:textFill>
            <w14:solidFill>
              <w14:schemeClr w14:val="tx1"/>
            </w14:solidFill>
          </w14:textFill>
        </w:rPr>
        <w:t>2,3,</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4,5</w:t>
      </w:r>
      <w:r>
        <w:rPr>
          <w:rFonts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Xiaolin Zhao</w:t>
      </w:r>
      <w:r>
        <w:rPr>
          <w:rFonts w:ascii="Times New Roman" w:hAnsi="Times New Roman" w:cs="Times New Roman"/>
          <w:color w:val="000000" w:themeColor="text1"/>
          <w:sz w:val="24"/>
          <w:szCs w:val="24"/>
          <w:vertAlign w:val="superscript"/>
          <w14:textFill>
            <w14:solidFill>
              <w14:schemeClr w14:val="tx1"/>
            </w14:solidFill>
          </w14:textFill>
        </w:rPr>
        <w:t>2,3,</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4,5</w:t>
      </w:r>
      <w:r>
        <w:rPr>
          <w:rFonts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Luna Liu</w:t>
      </w:r>
      <w:r>
        <w:rPr>
          <w:rFonts w:ascii="Times New Roman" w:hAnsi="Times New Roman" w:cs="Times New Roman"/>
          <w:color w:val="000000" w:themeColor="text1"/>
          <w:sz w:val="24"/>
          <w:szCs w:val="24"/>
          <w:vertAlign w:val="superscript"/>
          <w14:textFill>
            <w14:solidFill>
              <w14:schemeClr w14:val="tx1"/>
            </w14:solidFill>
          </w14:textFill>
        </w:rPr>
        <w:t>1,2,3,</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4,5</w:t>
      </w:r>
      <w:r>
        <w:rPr>
          <w:rFonts w:ascii="Times New Roman" w:hAnsi="Times New Roman" w:cs="Times New Roman"/>
          <w:color w:val="000000" w:themeColor="text1"/>
          <w:sz w:val="24"/>
          <w:szCs w:val="24"/>
          <w14:textFill>
            <w14:solidFill>
              <w14:schemeClr w14:val="tx1"/>
            </w14:solidFill>
          </w14:textFill>
        </w:rPr>
        <w:t>, Chunxiao Yu</w:t>
      </w:r>
      <w:r>
        <w:rPr>
          <w:rFonts w:ascii="Times New Roman" w:hAnsi="Times New Roman" w:cs="Times New Roman"/>
          <w:color w:val="000000" w:themeColor="text1"/>
          <w:sz w:val="24"/>
          <w:szCs w:val="24"/>
          <w:vertAlign w:val="superscript"/>
          <w14:textFill>
            <w14:solidFill>
              <w14:schemeClr w14:val="tx1"/>
            </w14:solidFill>
          </w14:textFill>
        </w:rPr>
        <w:t>1,2,3,4,5,#</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Qingbo Guan</w:t>
      </w:r>
      <w:r>
        <w:rPr>
          <w:rFonts w:ascii="Times New Roman" w:hAnsi="Times New Roman" w:cs="Times New Roman"/>
          <w:color w:val="000000" w:themeColor="text1"/>
          <w:sz w:val="24"/>
          <w:szCs w:val="24"/>
          <w:vertAlign w:val="superscript"/>
          <w14:textFill>
            <w14:solidFill>
              <w14:schemeClr w14:val="tx1"/>
            </w14:solidFill>
          </w14:textFill>
        </w:rPr>
        <w:t>1,2,3,4,5,#</w:t>
      </w:r>
    </w:p>
    <w:p w14:paraId="0E7D67DC">
      <w:pPr>
        <w:adjustRightInd w:val="0"/>
        <w:snapToGrid w:val="0"/>
        <w:rPr>
          <w:rFonts w:ascii="Times New Roman" w:hAnsi="Times New Roman" w:cs="Times New Roman"/>
          <w:color w:val="000000" w:themeColor="text1"/>
          <w:sz w:val="28"/>
          <w:szCs w:val="28"/>
          <w14:textFill>
            <w14:solidFill>
              <w14:schemeClr w14:val="tx1"/>
            </w14:solidFill>
          </w14:textFill>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6764"/>
      </w:tblGrid>
      <w:tr w14:paraId="25BB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05B1F5B3">
            <w:pPr>
              <w:adjustRightInd w:val="0"/>
              <w:snapToGrid w:val="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Supplementary Figure 1</w:t>
            </w:r>
          </w:p>
        </w:tc>
        <w:tc>
          <w:tcPr>
            <w:tcW w:w="6764" w:type="dxa"/>
          </w:tcPr>
          <w:p w14:paraId="655F9C07">
            <w:pPr>
              <w:adjustRightInd w:val="0"/>
              <w:snapToGrid w:val="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Reason for readmission in patients with MRA.</w:t>
            </w:r>
          </w:p>
        </w:tc>
      </w:tr>
      <w:tr w14:paraId="084B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0C4D448B">
            <w:pPr>
              <w:adjustRightInd w:val="0"/>
              <w:snapToGrid w:val="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Supplementary Figure 2</w:t>
            </w:r>
          </w:p>
        </w:tc>
        <w:tc>
          <w:tcPr>
            <w:tcW w:w="6764" w:type="dxa"/>
          </w:tcPr>
          <w:p w14:paraId="187D8FF1">
            <w:pPr>
              <w:adjustRightInd w:val="0"/>
              <w:snapToGrid w:val="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sz w:val="28"/>
                <w:szCs w:val="28"/>
              </w:rPr>
              <w:t>Multivariable analysis of factors associated with 30-day readmission to hospital in patients with malignant ascites</w:t>
            </w:r>
          </w:p>
        </w:tc>
      </w:tr>
      <w:tr w14:paraId="38E6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7CC42686">
            <w:pPr>
              <w:adjustRightInd w:val="0"/>
              <w:snapToGrid w:val="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Supplementary Figure 3</w:t>
            </w:r>
          </w:p>
        </w:tc>
        <w:tc>
          <w:tcPr>
            <w:tcW w:w="6764" w:type="dxa"/>
          </w:tcPr>
          <w:p w14:paraId="2DFC5E17">
            <w:pPr>
              <w:adjustRightInd w:val="0"/>
              <w:snapToGrid w:val="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sz w:val="28"/>
                <w:szCs w:val="28"/>
              </w:rPr>
              <w:t>Multivariable analysis of factors associated with 30-day readmission to hospital in patients with gastrointestinal malignancy-related ascites</w:t>
            </w:r>
          </w:p>
        </w:tc>
      </w:tr>
      <w:tr w14:paraId="3564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3DF842C1">
            <w:pPr>
              <w:adjustRightInd w:val="0"/>
              <w:snapToGrid w:val="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Supplementary Figure 4</w:t>
            </w:r>
          </w:p>
        </w:tc>
        <w:tc>
          <w:tcPr>
            <w:tcW w:w="6764" w:type="dxa"/>
          </w:tcPr>
          <w:p w14:paraId="0D4B4E40">
            <w:pPr>
              <w:adjustRightInd w:val="0"/>
              <w:snapToGrid w:val="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sz w:val="28"/>
                <w:szCs w:val="28"/>
              </w:rPr>
              <w:t>Multivariable analysis of factors associated with 30-day readmission to hospital in patients with genital malignancy-related ascites</w:t>
            </w:r>
          </w:p>
        </w:tc>
      </w:tr>
      <w:tr w14:paraId="672E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79D2B246">
            <w:pPr>
              <w:adjustRightInd w:val="0"/>
              <w:snapToGrid w:val="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Supplementary Table 1</w:t>
            </w:r>
          </w:p>
        </w:tc>
        <w:tc>
          <w:tcPr>
            <w:tcW w:w="6764" w:type="dxa"/>
          </w:tcPr>
          <w:p w14:paraId="38F44C06">
            <w:pPr>
              <w:adjustRightInd w:val="0"/>
              <w:snapToGrid w:val="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sz w:val="28"/>
                <w:szCs w:val="28"/>
              </w:rPr>
              <w:t>The ICD-10 code in the analysis.</w:t>
            </w:r>
          </w:p>
        </w:tc>
      </w:tr>
    </w:tbl>
    <w:p w14:paraId="1621D4E4">
      <w:pPr>
        <w:adjustRightInd w:val="0"/>
        <w:snapToGrid w:val="0"/>
        <w:rPr>
          <w:rFonts w:ascii="Times New Roman" w:hAnsi="Times New Roman" w:cs="Times New Roman"/>
          <w:color w:val="000000" w:themeColor="text1"/>
          <w:sz w:val="28"/>
          <w:szCs w:val="28"/>
          <w14:textFill>
            <w14:solidFill>
              <w14:schemeClr w14:val="tx1"/>
            </w14:solidFill>
          </w14:textFill>
        </w:rPr>
      </w:pPr>
    </w:p>
    <w:p w14:paraId="31D9DF56">
      <w:pPr>
        <w:adjustRightInd w:val="0"/>
        <w:snapToGrid w:val="0"/>
        <w:rPr>
          <w:rFonts w:ascii="Times New Roman" w:hAnsi="Times New Roman" w:cs="Times New Roman"/>
          <w:color w:val="000000" w:themeColor="text1"/>
          <w:sz w:val="28"/>
          <w:szCs w:val="28"/>
          <w14:textFill>
            <w14:solidFill>
              <w14:schemeClr w14:val="tx1"/>
            </w14:solidFill>
          </w14:textFill>
        </w:rPr>
      </w:pPr>
    </w:p>
    <w:p w14:paraId="04306991">
      <w:pPr>
        <w:adjustRightInd w:val="0"/>
        <w:snapToGrid w:val="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Supplementary Figure 1 The Reason for readmission in patients with MRA. </w:t>
      </w:r>
    </w:p>
    <w:p w14:paraId="0CF877AB">
      <w:pPr>
        <w:adjustRightInd w:val="0"/>
        <w:snapToGrid w:val="0"/>
        <w:rPr>
          <w:rFonts w:ascii="Times New Roman" w:hAnsi="Times New Roman" w:cs="Times New Roman"/>
          <w:sz w:val="28"/>
          <w:szCs w:val="28"/>
        </w:rPr>
      </w:pPr>
      <w:r>
        <w:rPr>
          <w:rFonts w:ascii="Times New Roman" w:hAnsi="Times New Roman" w:cs="Times New Roman"/>
          <w:sz w:val="28"/>
          <w:szCs w:val="28"/>
        </w:rPr>
        <w:drawing>
          <wp:inline distT="0" distB="0" distL="0" distR="0">
            <wp:extent cx="5421630" cy="45720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424363" cy="4573854"/>
                    </a:xfrm>
                    <a:prstGeom prst="rect">
                      <a:avLst/>
                    </a:prstGeom>
                    <a:noFill/>
                    <a:ln>
                      <a:noFill/>
                    </a:ln>
                  </pic:spPr>
                </pic:pic>
              </a:graphicData>
            </a:graphic>
          </wp:inline>
        </w:drawing>
      </w:r>
    </w:p>
    <w:p w14:paraId="27FFC8F5">
      <w:pPr>
        <w:adjustRightInd w:val="0"/>
        <w:snapToGrid w:val="0"/>
        <w:rPr>
          <w:rFonts w:ascii="Times New Roman" w:hAnsi="Times New Roman" w:cs="Times New Roman"/>
          <w:sz w:val="28"/>
          <w:szCs w:val="28"/>
        </w:rPr>
      </w:pPr>
      <w:r>
        <w:rPr>
          <w:rFonts w:ascii="Times New Roman" w:hAnsi="Times New Roman" w:cs="Times New Roman"/>
          <w:sz w:val="28"/>
          <w:szCs w:val="28"/>
        </w:rPr>
        <w:t xml:space="preserve">Supplementary Figure 2 Multivariable analysis of factors associated with 30-day readmission to hospital in patients with malignant ascites </w:t>
      </w:r>
      <w:r>
        <w:rPr>
          <w:rFonts w:ascii="Times New Roman" w:hAnsi="Times New Roman" w:cs="Times New Roman"/>
          <w:sz w:val="28"/>
          <w:szCs w:val="28"/>
          <w:vertAlign w:val="superscript"/>
        </w:rPr>
        <w:t>a</w:t>
      </w:r>
      <w:r>
        <w:rPr>
          <w:rFonts w:ascii="Times New Roman" w:hAnsi="Times New Roman" w:cs="Times New Roman"/>
          <w:sz w:val="28"/>
          <w:szCs w:val="28"/>
        </w:rPr>
        <w:t>.</w:t>
      </w:r>
    </w:p>
    <w:p w14:paraId="535A2F29">
      <w:pPr>
        <w:adjustRightInd w:val="0"/>
        <w:snapToGrid w:val="0"/>
        <w:rPr>
          <w:rFonts w:ascii="Times New Roman" w:hAnsi="Times New Roman" w:cs="Times New Roman"/>
          <w:sz w:val="28"/>
          <w:szCs w:val="28"/>
        </w:rPr>
      </w:pPr>
    </w:p>
    <w:p w14:paraId="52ED1DAC">
      <w:pPr>
        <w:adjustRightInd w:val="0"/>
        <w:snapToGrid w:val="0"/>
        <w:rPr>
          <w:rFonts w:ascii="Times New Roman" w:hAnsi="Times New Roman" w:cs="Times New Roman"/>
          <w:sz w:val="28"/>
          <w:szCs w:val="28"/>
        </w:rPr>
      </w:pPr>
      <w:r>
        <w:drawing>
          <wp:inline distT="0" distB="0" distL="0" distR="0">
            <wp:extent cx="6188710" cy="73152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188710" cy="7315200"/>
                    </a:xfrm>
                    <a:prstGeom prst="rect">
                      <a:avLst/>
                    </a:prstGeom>
                    <a:noFill/>
                    <a:ln>
                      <a:noFill/>
                    </a:ln>
                  </pic:spPr>
                </pic:pic>
              </a:graphicData>
            </a:graphic>
          </wp:inline>
        </w:drawing>
      </w:r>
    </w:p>
    <w:p w14:paraId="3814CC29">
      <w:pPr>
        <w:adjustRightInd w:val="0"/>
        <w:snapToGrid w:val="0"/>
        <w:rPr>
          <w:rFonts w:ascii="Times New Roman" w:hAnsi="Times New Roman" w:cs="Times New Roman"/>
          <w:sz w:val="28"/>
          <w:szCs w:val="28"/>
        </w:rPr>
      </w:pPr>
    </w:p>
    <w:p w14:paraId="3415D391">
      <w:pPr>
        <w:adjustRightInd w:val="0"/>
        <w:snapToGrid w:val="0"/>
        <w:rPr>
          <w:rFonts w:ascii="Times New Roman" w:hAnsi="Times New Roman" w:cs="Times New Roman"/>
          <w:sz w:val="28"/>
          <w:szCs w:val="28"/>
        </w:rPr>
      </w:pPr>
      <w:r>
        <w:rPr>
          <w:rFonts w:ascii="Times New Roman" w:hAnsi="Times New Roman" w:cs="Times New Roman"/>
          <w:sz w:val="28"/>
          <w:szCs w:val="28"/>
          <w:vertAlign w:val="superscript"/>
        </w:rPr>
        <w:t xml:space="preserve">a </w:t>
      </w:r>
      <w:r>
        <w:rPr>
          <w:rFonts w:ascii="Times New Roman" w:hAnsi="Times New Roman" w:cs="Times New Roman"/>
          <w:sz w:val="28"/>
          <w:szCs w:val="28"/>
        </w:rPr>
        <w:t>The sensitivity analysis in the patients clearly diagnosed with malignant ascites (the unplanned 30-day readmission rate was 26.17%). Abbreviations: OR: Odds ratio; CI: confidence interval; Ref: reference.</w:t>
      </w:r>
    </w:p>
    <w:p w14:paraId="40577220">
      <w:pPr>
        <w:adjustRightInd w:val="0"/>
        <w:snapToGrid w:val="0"/>
        <w:rPr>
          <w:rFonts w:ascii="Times New Roman" w:hAnsi="Times New Roman" w:cs="Times New Roman"/>
          <w:sz w:val="28"/>
          <w:szCs w:val="28"/>
        </w:rPr>
      </w:pPr>
      <w:r>
        <w:rPr>
          <w:rFonts w:ascii="Times New Roman" w:hAnsi="Times New Roman" w:cs="Times New Roman"/>
          <w:sz w:val="28"/>
          <w:szCs w:val="28"/>
        </w:rPr>
        <w:t>Supplementary F</w:t>
      </w:r>
      <w:r>
        <w:rPr>
          <w:rFonts w:hint="eastAsia" w:ascii="Times New Roman" w:hAnsi="Times New Roman" w:cs="Times New Roman"/>
          <w:sz w:val="28"/>
          <w:szCs w:val="28"/>
        </w:rPr>
        <w:t>igure</w:t>
      </w:r>
      <w:r>
        <w:rPr>
          <w:rFonts w:ascii="Times New Roman" w:hAnsi="Times New Roman" w:cs="Times New Roman"/>
          <w:sz w:val="28"/>
          <w:szCs w:val="28"/>
        </w:rPr>
        <w:t xml:space="preserve"> 3 </w:t>
      </w:r>
      <w:bookmarkStart w:id="5" w:name="_Hlk102167705"/>
      <w:r>
        <w:rPr>
          <w:rFonts w:ascii="Times New Roman" w:hAnsi="Times New Roman" w:cs="Times New Roman"/>
          <w:sz w:val="28"/>
          <w:szCs w:val="28"/>
        </w:rPr>
        <w:t>Multivariable analysis of factors associated with 30-day readmission to hospital in patients with gastrointestinal malignancy-related ascites</w:t>
      </w:r>
      <w:bookmarkEnd w:id="5"/>
      <w:r>
        <w:rPr>
          <w:rFonts w:ascii="Times New Roman" w:hAnsi="Times New Roman" w:cs="Times New Roman"/>
          <w:sz w:val="28"/>
          <w:szCs w:val="28"/>
        </w:rPr>
        <w:t xml:space="preserve"> </w:t>
      </w:r>
      <w:r>
        <w:rPr>
          <w:rFonts w:ascii="Times New Roman" w:hAnsi="Times New Roman" w:cs="Times New Roman"/>
          <w:sz w:val="28"/>
          <w:szCs w:val="28"/>
          <w:vertAlign w:val="superscript"/>
        </w:rPr>
        <w:t>a</w:t>
      </w:r>
      <w:r>
        <w:rPr>
          <w:rFonts w:ascii="Times New Roman" w:hAnsi="Times New Roman" w:cs="Times New Roman"/>
          <w:sz w:val="28"/>
          <w:szCs w:val="28"/>
        </w:rPr>
        <w:t>.</w:t>
      </w:r>
    </w:p>
    <w:p w14:paraId="16036471">
      <w:pPr>
        <w:adjustRightInd w:val="0"/>
        <w:snapToGrid w:val="0"/>
        <w:rPr>
          <w:rFonts w:ascii="Times New Roman" w:hAnsi="Times New Roman" w:cs="Times New Roman"/>
          <w:sz w:val="28"/>
          <w:szCs w:val="28"/>
        </w:rPr>
      </w:pPr>
    </w:p>
    <w:p w14:paraId="6004E790">
      <w:pPr>
        <w:adjustRightInd w:val="0"/>
        <w:snapToGrid w:val="0"/>
        <w:rPr>
          <w:rFonts w:hint="eastAsia" w:ascii="Times New Roman" w:hAnsi="Times New Roman" w:cs="Times New Roman" w:eastAsiaTheme="minorEastAsia"/>
          <w:sz w:val="28"/>
          <w:szCs w:val="28"/>
          <w:lang w:eastAsia="zh-CN"/>
        </w:rPr>
      </w:pPr>
    </w:p>
    <w:p w14:paraId="25450E57">
      <w:pPr>
        <w:adjustRightInd w:val="0"/>
        <w:snapToGrid w:val="0"/>
        <w:rPr>
          <w:rFonts w:hint="eastAsia"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drawing>
          <wp:inline distT="0" distB="0" distL="114300" distR="114300">
            <wp:extent cx="6225540" cy="7085330"/>
            <wp:effectExtent l="0" t="0" r="10160" b="1270"/>
            <wp:docPr id="1" name="图片 1" descr="增补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增补图3"/>
                    <pic:cNvPicPr>
                      <a:picLocks noChangeAspect="1"/>
                    </pic:cNvPicPr>
                  </pic:nvPicPr>
                  <pic:blipFill>
                    <a:blip r:embed="rId6"/>
                    <a:srcRect r="7555"/>
                    <a:stretch>
                      <a:fillRect/>
                    </a:stretch>
                  </pic:blipFill>
                  <pic:spPr>
                    <a:xfrm>
                      <a:off x="0" y="0"/>
                      <a:ext cx="6225540" cy="7085330"/>
                    </a:xfrm>
                    <a:prstGeom prst="rect">
                      <a:avLst/>
                    </a:prstGeom>
                  </pic:spPr>
                </pic:pic>
              </a:graphicData>
            </a:graphic>
          </wp:inline>
        </w:drawing>
      </w:r>
    </w:p>
    <w:p w14:paraId="4C3E0781">
      <w:pPr>
        <w:adjustRightInd w:val="0"/>
        <w:snapToGrid w:val="0"/>
        <w:rPr>
          <w:rFonts w:ascii="Times New Roman" w:hAnsi="Times New Roman" w:cs="Times New Roman"/>
          <w:sz w:val="28"/>
          <w:szCs w:val="28"/>
        </w:rPr>
      </w:pPr>
    </w:p>
    <w:p w14:paraId="06F504CA">
      <w:pPr>
        <w:adjustRightInd w:val="0"/>
        <w:snapToGrid w:val="0"/>
        <w:rPr>
          <w:rFonts w:ascii="Times New Roman" w:hAnsi="Times New Roman" w:cs="Times New Roman"/>
          <w:sz w:val="28"/>
          <w:szCs w:val="28"/>
        </w:rPr>
      </w:pPr>
      <w:r>
        <w:rPr>
          <w:rFonts w:ascii="Times New Roman" w:hAnsi="Times New Roman" w:cs="Times New Roman"/>
          <w:sz w:val="28"/>
          <w:szCs w:val="28"/>
          <w:vertAlign w:val="superscript"/>
        </w:rPr>
        <w:t xml:space="preserve">a </w:t>
      </w:r>
      <w:r>
        <w:rPr>
          <w:rFonts w:ascii="Times New Roman" w:hAnsi="Times New Roman" w:cs="Times New Roman"/>
          <w:sz w:val="28"/>
          <w:szCs w:val="28"/>
        </w:rPr>
        <w:t>The sensitivity analysis in the patients clearly diagnosed with gastrointestinal malignancy-related ascites. Abbreviations: OR: Odds ratio; CI: confidence interval; Ref: reference.</w:t>
      </w:r>
    </w:p>
    <w:p w14:paraId="25886B58">
      <w:pPr>
        <w:adjustRightInd w:val="0"/>
        <w:snapToGrid w:val="0"/>
        <w:rPr>
          <w:rFonts w:ascii="Times New Roman" w:hAnsi="Times New Roman" w:cs="Times New Roman"/>
          <w:sz w:val="28"/>
          <w:szCs w:val="28"/>
        </w:rPr>
      </w:pPr>
    </w:p>
    <w:p w14:paraId="4AE61C81">
      <w:pPr>
        <w:adjustRightInd w:val="0"/>
        <w:snapToGrid w:val="0"/>
        <w:rPr>
          <w:rFonts w:ascii="Times New Roman" w:hAnsi="Times New Roman" w:cs="Times New Roman"/>
          <w:sz w:val="28"/>
          <w:szCs w:val="28"/>
        </w:rPr>
      </w:pPr>
    </w:p>
    <w:p w14:paraId="332F81B7">
      <w:pPr>
        <w:adjustRightInd w:val="0"/>
        <w:snapToGrid w:val="0"/>
        <w:rPr>
          <w:rFonts w:ascii="Times New Roman" w:hAnsi="Times New Roman" w:cs="Times New Roman"/>
          <w:sz w:val="28"/>
          <w:szCs w:val="28"/>
        </w:rPr>
      </w:pPr>
      <w:r>
        <w:rPr>
          <w:rFonts w:ascii="Times New Roman" w:hAnsi="Times New Roman" w:cs="Times New Roman"/>
          <w:sz w:val="28"/>
          <w:szCs w:val="28"/>
        </w:rPr>
        <w:t xml:space="preserve">Supplementary Figure 4 </w:t>
      </w:r>
      <w:bookmarkStart w:id="6" w:name="_Hlk102167732"/>
      <w:r>
        <w:rPr>
          <w:rFonts w:ascii="Times New Roman" w:hAnsi="Times New Roman" w:cs="Times New Roman"/>
          <w:sz w:val="28"/>
          <w:szCs w:val="28"/>
        </w:rPr>
        <w:t>Multivariable analysis of factors associated with 30-day readmission to hospital in patients with genital malignancy-related ascites</w:t>
      </w:r>
      <w:bookmarkEnd w:id="6"/>
      <w:r>
        <w:rPr>
          <w:rFonts w:ascii="Times New Roman" w:hAnsi="Times New Roman" w:cs="Times New Roman"/>
          <w:sz w:val="28"/>
          <w:szCs w:val="28"/>
        </w:rPr>
        <w:t xml:space="preserve"> </w:t>
      </w:r>
      <w:r>
        <w:rPr>
          <w:rFonts w:ascii="Times New Roman" w:hAnsi="Times New Roman" w:cs="Times New Roman"/>
          <w:sz w:val="28"/>
          <w:szCs w:val="28"/>
          <w:vertAlign w:val="superscript"/>
        </w:rPr>
        <w:t>a</w:t>
      </w:r>
      <w:r>
        <w:rPr>
          <w:rFonts w:ascii="Times New Roman" w:hAnsi="Times New Roman" w:cs="Times New Roman"/>
          <w:sz w:val="28"/>
          <w:szCs w:val="28"/>
        </w:rPr>
        <w:t>.</w:t>
      </w:r>
    </w:p>
    <w:p w14:paraId="6A35BBC4">
      <w:pPr>
        <w:adjustRightInd w:val="0"/>
        <w:snapToGrid w:val="0"/>
        <w:rPr>
          <w:rFonts w:ascii="Times New Roman" w:hAnsi="Times New Roman" w:cs="Times New Roman"/>
          <w:sz w:val="28"/>
          <w:szCs w:val="28"/>
        </w:rPr>
      </w:pPr>
    </w:p>
    <w:p w14:paraId="19C5233B">
      <w:pPr>
        <w:adjustRightInd w:val="0"/>
        <w:snapToGrid w:val="0"/>
        <w:rPr>
          <w:rFonts w:ascii="Times New Roman" w:hAnsi="Times New Roman" w:cs="Times New Roman"/>
          <w:sz w:val="28"/>
          <w:szCs w:val="28"/>
        </w:rPr>
      </w:pPr>
      <w:r>
        <w:drawing>
          <wp:inline distT="0" distB="0" distL="0" distR="0">
            <wp:extent cx="6188710" cy="69088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188710" cy="6908800"/>
                    </a:xfrm>
                    <a:prstGeom prst="rect">
                      <a:avLst/>
                    </a:prstGeom>
                    <a:noFill/>
                    <a:ln>
                      <a:noFill/>
                    </a:ln>
                  </pic:spPr>
                </pic:pic>
              </a:graphicData>
            </a:graphic>
          </wp:inline>
        </w:drawing>
      </w:r>
    </w:p>
    <w:p w14:paraId="2178D2CA">
      <w:pPr>
        <w:adjustRightInd w:val="0"/>
        <w:snapToGrid w:val="0"/>
        <w:rPr>
          <w:rFonts w:ascii="Times New Roman" w:hAnsi="Times New Roman" w:cs="Times New Roman"/>
          <w:sz w:val="28"/>
          <w:szCs w:val="28"/>
        </w:rPr>
      </w:pPr>
    </w:p>
    <w:p w14:paraId="6657783E">
      <w:pPr>
        <w:adjustRightInd w:val="0"/>
        <w:snapToGrid w:val="0"/>
        <w:rPr>
          <w:rFonts w:ascii="Times New Roman" w:hAnsi="Times New Roman" w:cs="Times New Roman"/>
          <w:sz w:val="28"/>
          <w:szCs w:val="28"/>
        </w:rPr>
      </w:pPr>
      <w:r>
        <w:rPr>
          <w:rFonts w:ascii="Times New Roman" w:hAnsi="Times New Roman" w:cs="Times New Roman"/>
          <w:sz w:val="28"/>
          <w:szCs w:val="28"/>
          <w:vertAlign w:val="superscript"/>
        </w:rPr>
        <w:t xml:space="preserve">a </w:t>
      </w:r>
      <w:r>
        <w:rPr>
          <w:rFonts w:ascii="Times New Roman" w:hAnsi="Times New Roman" w:cs="Times New Roman"/>
          <w:sz w:val="28"/>
          <w:szCs w:val="28"/>
        </w:rPr>
        <w:t>The sensitivity analysis in the patients clearly diagnosed with genital malignancy-related ascites. Abbreviations: OR: Odds ratio; CI: confidence interval; Ref: reference.</w:t>
      </w:r>
    </w:p>
    <w:p w14:paraId="79909827">
      <w:pPr>
        <w:adjustRightInd w:val="0"/>
        <w:snapToGrid w:val="0"/>
        <w:rPr>
          <w:rFonts w:ascii="Times New Roman" w:hAnsi="Times New Roman" w:cs="Times New Roman"/>
          <w:sz w:val="28"/>
          <w:szCs w:val="28"/>
        </w:rPr>
        <w:sectPr>
          <w:pgSz w:w="11906" w:h="16838"/>
          <w:pgMar w:top="1440" w:right="1080" w:bottom="1440" w:left="1080" w:header="851" w:footer="992" w:gutter="0"/>
          <w:cols w:space="425" w:num="1"/>
          <w:docGrid w:type="lines" w:linePitch="312" w:charSpace="0"/>
        </w:sectPr>
      </w:pPr>
    </w:p>
    <w:p w14:paraId="40CCAC5F">
      <w:pPr>
        <w:adjustRightInd w:val="0"/>
        <w:snapToGrid w:val="0"/>
        <w:rPr>
          <w:rFonts w:ascii="Times New Roman" w:hAnsi="Times New Roman" w:cs="Times New Roman"/>
          <w:sz w:val="28"/>
          <w:szCs w:val="28"/>
        </w:rPr>
      </w:pPr>
      <w:r>
        <w:rPr>
          <w:rFonts w:ascii="Times New Roman" w:hAnsi="Times New Roman" w:cs="Times New Roman"/>
          <w:sz w:val="28"/>
          <w:szCs w:val="28"/>
        </w:rPr>
        <w:t xml:space="preserve">Supplement Table </w:t>
      </w:r>
      <w:r>
        <w:rPr>
          <w:rFonts w:hint="eastAsia" w:ascii="Times New Roman" w:hAnsi="Times New Roman" w:cs="Times New Roman"/>
          <w:sz w:val="28"/>
          <w:szCs w:val="28"/>
          <w:lang w:val="en-US" w:eastAsia="zh-CN"/>
        </w:rPr>
        <w:t>1</w:t>
      </w:r>
      <w:bookmarkStart w:id="7" w:name="_GoBack"/>
      <w:bookmarkEnd w:id="7"/>
      <w:r>
        <w:rPr>
          <w:rFonts w:ascii="Times New Roman" w:hAnsi="Times New Roman" w:cs="Times New Roman"/>
          <w:sz w:val="28"/>
          <w:szCs w:val="28"/>
        </w:rPr>
        <w:t xml:space="preserve"> The ICD-10 code in the analysis.</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10915"/>
      </w:tblGrid>
      <w:tr w14:paraId="4450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243EF6ED">
            <w:pPr>
              <w:adjustRightInd w:val="0"/>
              <w:snapToGrid w:val="0"/>
              <w:rPr>
                <w:rFonts w:ascii="Times New Roman" w:hAnsi="Times New Roman" w:cs="Times New Roman"/>
                <w:sz w:val="28"/>
                <w:szCs w:val="28"/>
              </w:rPr>
            </w:pPr>
            <w:r>
              <w:rPr>
                <w:rFonts w:ascii="Times New Roman" w:hAnsi="Times New Roman" w:cs="Times New Roman"/>
                <w:sz w:val="28"/>
                <w:szCs w:val="28"/>
              </w:rPr>
              <w:t>Disease</w:t>
            </w:r>
          </w:p>
        </w:tc>
        <w:tc>
          <w:tcPr>
            <w:tcW w:w="10915" w:type="dxa"/>
          </w:tcPr>
          <w:p w14:paraId="0F17CE2F">
            <w:pPr>
              <w:adjustRightInd w:val="0"/>
              <w:snapToGrid w:val="0"/>
              <w:rPr>
                <w:rFonts w:ascii="Times New Roman" w:hAnsi="Times New Roman" w:cs="Times New Roman"/>
                <w:sz w:val="28"/>
                <w:szCs w:val="28"/>
              </w:rPr>
            </w:pPr>
            <w:r>
              <w:rPr>
                <w:rFonts w:ascii="Times New Roman" w:hAnsi="Times New Roman" w:cs="Times New Roman"/>
                <w:sz w:val="28"/>
                <w:szCs w:val="28"/>
              </w:rPr>
              <w:t>code</w:t>
            </w:r>
          </w:p>
        </w:tc>
      </w:tr>
      <w:tr w14:paraId="6A3D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17211E67">
            <w:pPr>
              <w:adjustRightInd w:val="0"/>
              <w:snapToGrid w:val="0"/>
              <w:rPr>
                <w:rFonts w:ascii="Times New Roman" w:hAnsi="Times New Roman" w:cs="Times New Roman"/>
                <w:sz w:val="28"/>
                <w:szCs w:val="28"/>
              </w:rPr>
            </w:pPr>
            <w:r>
              <w:rPr>
                <w:rFonts w:ascii="Times New Roman" w:hAnsi="Times New Roman" w:cs="Times New Roman"/>
                <w:sz w:val="28"/>
                <w:szCs w:val="28"/>
              </w:rPr>
              <w:t>Malignant ascites</w:t>
            </w:r>
          </w:p>
        </w:tc>
        <w:tc>
          <w:tcPr>
            <w:tcW w:w="10915" w:type="dxa"/>
          </w:tcPr>
          <w:p w14:paraId="532973E3">
            <w:pPr>
              <w:adjustRightInd w:val="0"/>
              <w:snapToGrid w:val="0"/>
              <w:rPr>
                <w:rFonts w:ascii="Times New Roman" w:hAnsi="Times New Roman" w:cs="Times New Roman"/>
                <w:sz w:val="28"/>
                <w:szCs w:val="28"/>
              </w:rPr>
            </w:pPr>
            <w:r>
              <w:rPr>
                <w:rFonts w:ascii="Times New Roman" w:hAnsi="Times New Roman" w:cs="Times New Roman"/>
                <w:sz w:val="28"/>
                <w:szCs w:val="28"/>
              </w:rPr>
              <w:t>R180</w:t>
            </w:r>
          </w:p>
        </w:tc>
      </w:tr>
      <w:tr w14:paraId="7431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0EC154FF">
            <w:pPr>
              <w:adjustRightInd w:val="0"/>
              <w:snapToGrid w:val="0"/>
              <w:rPr>
                <w:rFonts w:ascii="Times New Roman" w:hAnsi="Times New Roman" w:cs="Times New Roman"/>
                <w:sz w:val="28"/>
                <w:szCs w:val="28"/>
              </w:rPr>
            </w:pPr>
            <w:r>
              <w:rPr>
                <w:rFonts w:ascii="Times New Roman" w:hAnsi="Times New Roman" w:cs="Times New Roman"/>
                <w:sz w:val="28"/>
                <w:szCs w:val="28"/>
              </w:rPr>
              <w:t>Other ascites</w:t>
            </w:r>
          </w:p>
        </w:tc>
        <w:tc>
          <w:tcPr>
            <w:tcW w:w="10915" w:type="dxa"/>
          </w:tcPr>
          <w:p w14:paraId="2932C772">
            <w:pPr>
              <w:adjustRightInd w:val="0"/>
              <w:snapToGrid w:val="0"/>
              <w:rPr>
                <w:rFonts w:ascii="Times New Roman" w:hAnsi="Times New Roman" w:cs="Times New Roman"/>
                <w:sz w:val="28"/>
                <w:szCs w:val="28"/>
              </w:rPr>
            </w:pPr>
            <w:r>
              <w:rPr>
                <w:rFonts w:ascii="Times New Roman" w:hAnsi="Times New Roman" w:cs="Times New Roman"/>
                <w:sz w:val="28"/>
                <w:szCs w:val="28"/>
              </w:rPr>
              <w:t>R188</w:t>
            </w:r>
          </w:p>
        </w:tc>
      </w:tr>
      <w:tr w14:paraId="6381B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3B0C7E67">
            <w:pPr>
              <w:adjustRightInd w:val="0"/>
              <w:snapToGrid w:val="0"/>
              <w:rPr>
                <w:rFonts w:ascii="Times New Roman" w:hAnsi="Times New Roman" w:cs="Times New Roman"/>
                <w:sz w:val="28"/>
                <w:szCs w:val="28"/>
              </w:rPr>
            </w:pPr>
            <w:r>
              <w:rPr>
                <w:rFonts w:ascii="Times New Roman" w:hAnsi="Times New Roman" w:cs="Times New Roman"/>
                <w:sz w:val="28"/>
                <w:szCs w:val="28"/>
              </w:rPr>
              <w:t>Liver and intrahepatic bile duct cancer</w:t>
            </w:r>
          </w:p>
        </w:tc>
        <w:tc>
          <w:tcPr>
            <w:tcW w:w="10915" w:type="dxa"/>
            <w:vAlign w:val="center"/>
          </w:tcPr>
          <w:p w14:paraId="7FC560CF">
            <w:pPr>
              <w:adjustRightInd w:val="0"/>
              <w:snapToGrid w:val="0"/>
              <w:rPr>
                <w:rFonts w:ascii="Times New Roman" w:hAnsi="Times New Roman" w:cs="Times New Roman"/>
                <w:sz w:val="28"/>
                <w:szCs w:val="28"/>
              </w:rPr>
            </w:pPr>
            <w:r>
              <w:rPr>
                <w:rFonts w:ascii="Times New Roman" w:hAnsi="Times New Roman" w:cs="Times New Roman"/>
                <w:sz w:val="28"/>
                <w:szCs w:val="28"/>
              </w:rPr>
              <w:t>C220, C221, C222, C223, C224, C227, C228</w:t>
            </w:r>
          </w:p>
          <w:p w14:paraId="0A7DE90C">
            <w:pPr>
              <w:adjustRightInd w:val="0"/>
              <w:snapToGrid w:val="0"/>
              <w:rPr>
                <w:rFonts w:ascii="Times New Roman" w:hAnsi="Times New Roman" w:cs="Times New Roman"/>
                <w:sz w:val="28"/>
                <w:szCs w:val="28"/>
              </w:rPr>
            </w:pPr>
          </w:p>
        </w:tc>
      </w:tr>
      <w:tr w14:paraId="460F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17749F22">
            <w:pPr>
              <w:adjustRightInd w:val="0"/>
              <w:snapToGrid w:val="0"/>
              <w:rPr>
                <w:rFonts w:ascii="Times New Roman" w:hAnsi="Times New Roman" w:cs="Times New Roman"/>
                <w:sz w:val="28"/>
                <w:szCs w:val="28"/>
              </w:rPr>
            </w:pPr>
            <w:r>
              <w:rPr>
                <w:rFonts w:ascii="Times New Roman" w:hAnsi="Times New Roman" w:cs="Times New Roman"/>
                <w:sz w:val="28"/>
                <w:szCs w:val="28"/>
              </w:rPr>
              <w:t>Pancreas cancer</w:t>
            </w:r>
          </w:p>
        </w:tc>
        <w:tc>
          <w:tcPr>
            <w:tcW w:w="10915" w:type="dxa"/>
            <w:vAlign w:val="center"/>
          </w:tcPr>
          <w:p w14:paraId="5A94AEF8">
            <w:pPr>
              <w:adjustRightInd w:val="0"/>
              <w:snapToGrid w:val="0"/>
              <w:rPr>
                <w:rFonts w:ascii="Times New Roman" w:hAnsi="Times New Roman" w:cs="Times New Roman"/>
                <w:sz w:val="28"/>
                <w:szCs w:val="28"/>
              </w:rPr>
            </w:pPr>
            <w:r>
              <w:rPr>
                <w:rFonts w:ascii="Times New Roman" w:hAnsi="Times New Roman" w:cs="Times New Roman"/>
                <w:sz w:val="28"/>
                <w:szCs w:val="28"/>
              </w:rPr>
              <w:t>C250, C251, C252, C253, C254, C257, C258, C259</w:t>
            </w:r>
          </w:p>
        </w:tc>
      </w:tr>
      <w:tr w14:paraId="76B0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360D70DE">
            <w:pPr>
              <w:adjustRightInd w:val="0"/>
              <w:snapToGrid w:val="0"/>
              <w:rPr>
                <w:rFonts w:ascii="Times New Roman" w:hAnsi="Times New Roman" w:cs="Times New Roman"/>
                <w:sz w:val="28"/>
                <w:szCs w:val="28"/>
              </w:rPr>
            </w:pPr>
            <w:r>
              <w:rPr>
                <w:rFonts w:ascii="Times New Roman" w:hAnsi="Times New Roman" w:cs="Times New Roman"/>
                <w:sz w:val="28"/>
                <w:szCs w:val="28"/>
              </w:rPr>
              <w:t>Colon and rectum cancer</w:t>
            </w:r>
          </w:p>
        </w:tc>
        <w:tc>
          <w:tcPr>
            <w:tcW w:w="10915" w:type="dxa"/>
          </w:tcPr>
          <w:p w14:paraId="7CE6589F">
            <w:pPr>
              <w:adjustRightInd w:val="0"/>
              <w:snapToGrid w:val="0"/>
              <w:rPr>
                <w:rFonts w:ascii="Times New Roman" w:hAnsi="Times New Roman" w:cs="Times New Roman"/>
                <w:sz w:val="28"/>
                <w:szCs w:val="28"/>
              </w:rPr>
            </w:pPr>
            <w:r>
              <w:rPr>
                <w:rFonts w:ascii="Times New Roman" w:hAnsi="Times New Roman" w:cs="Times New Roman"/>
                <w:sz w:val="28"/>
                <w:szCs w:val="28"/>
              </w:rPr>
              <w:t>C180, C182, C183, C184, C185, C186, C187, C188, C189</w:t>
            </w:r>
          </w:p>
        </w:tc>
      </w:tr>
      <w:tr w14:paraId="6ACA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69E2656F">
            <w:pPr>
              <w:adjustRightInd w:val="0"/>
              <w:snapToGrid w:val="0"/>
              <w:rPr>
                <w:rFonts w:ascii="Times New Roman" w:hAnsi="Times New Roman" w:cs="Times New Roman"/>
                <w:sz w:val="28"/>
                <w:szCs w:val="28"/>
              </w:rPr>
            </w:pPr>
            <w:r>
              <w:rPr>
                <w:rFonts w:ascii="Times New Roman" w:hAnsi="Times New Roman" w:cs="Times New Roman"/>
                <w:sz w:val="28"/>
                <w:szCs w:val="28"/>
              </w:rPr>
              <w:t>Other gastrointestinal cancer</w:t>
            </w:r>
          </w:p>
        </w:tc>
        <w:tc>
          <w:tcPr>
            <w:tcW w:w="10915" w:type="dxa"/>
          </w:tcPr>
          <w:p w14:paraId="4AF7EE1F">
            <w:pPr>
              <w:adjustRightInd w:val="0"/>
              <w:snapToGrid w:val="0"/>
              <w:rPr>
                <w:rFonts w:ascii="Times New Roman" w:hAnsi="Times New Roman" w:cs="Times New Roman"/>
                <w:sz w:val="28"/>
                <w:szCs w:val="28"/>
              </w:rPr>
            </w:pPr>
            <w:r>
              <w:rPr>
                <w:rFonts w:ascii="Times New Roman" w:hAnsi="Times New Roman" w:cs="Times New Roman"/>
                <w:sz w:val="28"/>
                <w:szCs w:val="28"/>
              </w:rPr>
              <w:t xml:space="preserve">C153, C154, C155, C158, C159, C160, C161, C162, C164, C165, C166, C168, C169, C170, C171, C172, C173, C178, C179, </w:t>
            </w:r>
            <w:r>
              <w:rPr>
                <w:rFonts w:ascii="Times New Roman" w:hAnsi="Times New Roman" w:eastAsia="等线" w:cs="Times New Roman"/>
                <w:color w:val="000000"/>
                <w:kern w:val="0"/>
                <w:sz w:val="28"/>
                <w:szCs w:val="28"/>
              </w:rPr>
              <w:t>C210, C211, C212, C218,C229, C23, C240, C241, C248, C249,C260, C261, C269, C480, C481, C482, C488, C49A0, C49A1, C49A2, C49A3, C49A4, C49A5, C49A9</w:t>
            </w:r>
          </w:p>
        </w:tc>
      </w:tr>
      <w:tr w14:paraId="052F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70FEC92F">
            <w:pPr>
              <w:adjustRightInd w:val="0"/>
              <w:snapToGrid w:val="0"/>
              <w:rPr>
                <w:rFonts w:ascii="Times New Roman" w:hAnsi="Times New Roman" w:cs="Times New Roman"/>
                <w:sz w:val="28"/>
                <w:szCs w:val="28"/>
              </w:rPr>
            </w:pPr>
            <w:r>
              <w:rPr>
                <w:rFonts w:ascii="Times New Roman" w:hAnsi="Times New Roman" w:cs="Times New Roman"/>
                <w:sz w:val="28"/>
                <w:szCs w:val="28"/>
              </w:rPr>
              <w:t>Ovarian cancer</w:t>
            </w:r>
          </w:p>
        </w:tc>
        <w:tc>
          <w:tcPr>
            <w:tcW w:w="10915" w:type="dxa"/>
            <w:vAlign w:val="center"/>
          </w:tcPr>
          <w:p w14:paraId="0BFB0923">
            <w:pPr>
              <w:adjustRightInd w:val="0"/>
              <w:snapToGrid w:val="0"/>
              <w:rPr>
                <w:rFonts w:ascii="Times New Roman" w:hAnsi="Times New Roman" w:cs="Times New Roman"/>
                <w:sz w:val="28"/>
                <w:szCs w:val="28"/>
              </w:rPr>
            </w:pPr>
            <w:r>
              <w:rPr>
                <w:rFonts w:ascii="Times New Roman" w:hAnsi="Times New Roman" w:eastAsia="等线" w:cs="Times New Roman"/>
                <w:color w:val="000000"/>
                <w:kern w:val="0"/>
                <w:sz w:val="28"/>
                <w:szCs w:val="28"/>
              </w:rPr>
              <w:t>C561, C562, C569</w:t>
            </w:r>
          </w:p>
        </w:tc>
      </w:tr>
      <w:tr w14:paraId="7AF1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4A13C822">
            <w:pPr>
              <w:adjustRightInd w:val="0"/>
              <w:snapToGrid w:val="0"/>
              <w:rPr>
                <w:rFonts w:ascii="Times New Roman" w:hAnsi="Times New Roman" w:cs="Times New Roman"/>
                <w:sz w:val="28"/>
                <w:szCs w:val="28"/>
              </w:rPr>
            </w:pPr>
            <w:r>
              <w:rPr>
                <w:rFonts w:ascii="Times New Roman" w:hAnsi="Times New Roman" w:cs="Times New Roman"/>
                <w:sz w:val="28"/>
                <w:szCs w:val="28"/>
              </w:rPr>
              <w:t>Corpus and uterus cancer</w:t>
            </w:r>
          </w:p>
        </w:tc>
        <w:tc>
          <w:tcPr>
            <w:tcW w:w="10915" w:type="dxa"/>
          </w:tcPr>
          <w:p w14:paraId="65EF8D39">
            <w:pPr>
              <w:adjustRightInd w:val="0"/>
              <w:snapToGrid w:val="0"/>
              <w:rPr>
                <w:rFonts w:ascii="Times New Roman" w:hAnsi="Times New Roman" w:cs="Times New Roman"/>
                <w:sz w:val="28"/>
                <w:szCs w:val="28"/>
              </w:rPr>
            </w:pPr>
            <w:r>
              <w:rPr>
                <w:rFonts w:ascii="Times New Roman" w:hAnsi="Times New Roman" w:cs="Times New Roman"/>
                <w:sz w:val="28"/>
                <w:szCs w:val="28"/>
              </w:rPr>
              <w:t>C530, C531, C538, C539,C540, C541, C542, C543, C548, C549,C55</w:t>
            </w:r>
          </w:p>
        </w:tc>
      </w:tr>
      <w:tr w14:paraId="0B5C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3088CD84">
            <w:pPr>
              <w:adjustRightInd w:val="0"/>
              <w:snapToGrid w:val="0"/>
              <w:rPr>
                <w:rFonts w:ascii="Times New Roman" w:hAnsi="Times New Roman" w:cs="Times New Roman"/>
                <w:sz w:val="28"/>
                <w:szCs w:val="28"/>
              </w:rPr>
            </w:pPr>
            <w:r>
              <w:rPr>
                <w:rFonts w:ascii="Times New Roman" w:hAnsi="Times New Roman" w:cs="Times New Roman"/>
                <w:sz w:val="28"/>
                <w:szCs w:val="28"/>
              </w:rPr>
              <w:t>Other female genital cancers</w:t>
            </w:r>
          </w:p>
        </w:tc>
        <w:tc>
          <w:tcPr>
            <w:tcW w:w="10915" w:type="dxa"/>
            <w:vAlign w:val="center"/>
          </w:tcPr>
          <w:p w14:paraId="2E0A08F3">
            <w:pPr>
              <w:adjustRightInd w:val="0"/>
              <w:snapToGrid w:val="0"/>
              <w:rPr>
                <w:rFonts w:ascii="Times New Roman" w:hAnsi="Times New Roman" w:cs="Times New Roman"/>
                <w:sz w:val="28"/>
                <w:szCs w:val="28"/>
              </w:rPr>
            </w:pPr>
            <w:r>
              <w:rPr>
                <w:rFonts w:ascii="Times New Roman" w:hAnsi="Times New Roman" w:eastAsia="等线" w:cs="Times New Roman"/>
                <w:color w:val="000000"/>
                <w:kern w:val="0"/>
                <w:sz w:val="28"/>
                <w:szCs w:val="28"/>
              </w:rPr>
              <w:t>C510, C511, C512, C518, C519, C52, C5700, C5701, C5702, C5710, C5711, C5712, C5720, C5721, C5722, C573, C574, C577, C578, C579, C58</w:t>
            </w:r>
          </w:p>
        </w:tc>
      </w:tr>
      <w:tr w14:paraId="7C40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1D1A77EB">
            <w:pPr>
              <w:adjustRightInd w:val="0"/>
              <w:snapToGrid w:val="0"/>
              <w:rPr>
                <w:rFonts w:ascii="Times New Roman" w:hAnsi="Times New Roman" w:cs="Times New Roman"/>
                <w:sz w:val="28"/>
                <w:szCs w:val="28"/>
              </w:rPr>
            </w:pPr>
            <w:r>
              <w:rPr>
                <w:rFonts w:ascii="Times New Roman" w:hAnsi="Times New Roman" w:cs="Times New Roman"/>
                <w:sz w:val="28"/>
                <w:szCs w:val="28"/>
              </w:rPr>
              <w:t>Male genital cancer</w:t>
            </w:r>
          </w:p>
        </w:tc>
        <w:tc>
          <w:tcPr>
            <w:tcW w:w="10915" w:type="dxa"/>
          </w:tcPr>
          <w:p w14:paraId="4560C4AF">
            <w:pPr>
              <w:adjustRightInd w:val="0"/>
              <w:snapToGrid w:val="0"/>
              <w:rPr>
                <w:rFonts w:ascii="Times New Roman" w:hAnsi="Times New Roman" w:cs="Times New Roman"/>
                <w:sz w:val="28"/>
                <w:szCs w:val="28"/>
              </w:rPr>
            </w:pPr>
            <w:r>
              <w:rPr>
                <w:rFonts w:ascii="Times New Roman" w:hAnsi="Times New Roman" w:cs="Times New Roman"/>
                <w:sz w:val="28"/>
                <w:szCs w:val="28"/>
              </w:rPr>
              <w:t xml:space="preserve">C61, </w:t>
            </w:r>
            <w:r>
              <w:rPr>
                <w:rFonts w:ascii="Times New Roman" w:hAnsi="Times New Roman" w:eastAsia="等线" w:cs="Times New Roman"/>
                <w:color w:val="000000"/>
                <w:kern w:val="0"/>
                <w:sz w:val="28"/>
                <w:szCs w:val="28"/>
              </w:rPr>
              <w:t>C6200, C6201, C6202, C6210, C6211, C6212, C6290, C6291, C6292, C600, C601, C602, C608, C609, C6300, C6301, C6302, C6310, C6311, C6312, C632, C637, C638</w:t>
            </w:r>
          </w:p>
        </w:tc>
      </w:tr>
      <w:tr w14:paraId="367A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46B67951">
            <w:pPr>
              <w:adjustRightInd w:val="0"/>
              <w:snapToGrid w:val="0"/>
              <w:rPr>
                <w:rFonts w:ascii="Times New Roman" w:hAnsi="Times New Roman" w:cs="Times New Roman"/>
                <w:sz w:val="28"/>
                <w:szCs w:val="28"/>
              </w:rPr>
            </w:pPr>
            <w:r>
              <w:rPr>
                <w:rFonts w:ascii="Times New Roman" w:hAnsi="Times New Roman" w:cs="Times New Roman"/>
                <w:sz w:val="28"/>
                <w:szCs w:val="28"/>
              </w:rPr>
              <w:t xml:space="preserve">Urinary cancer </w:t>
            </w:r>
          </w:p>
        </w:tc>
        <w:tc>
          <w:tcPr>
            <w:tcW w:w="10915" w:type="dxa"/>
          </w:tcPr>
          <w:p w14:paraId="62DDE007">
            <w:pPr>
              <w:adjustRightInd w:val="0"/>
              <w:snapToGrid w:val="0"/>
              <w:rPr>
                <w:rFonts w:ascii="Times New Roman" w:hAnsi="Times New Roman" w:cs="Times New Roman"/>
                <w:sz w:val="28"/>
                <w:szCs w:val="28"/>
              </w:rPr>
            </w:pPr>
            <w:r>
              <w:rPr>
                <w:rFonts w:ascii="Times New Roman" w:hAnsi="Times New Roman" w:eastAsia="等线" w:cs="Times New Roman"/>
                <w:color w:val="000000"/>
                <w:kern w:val="0"/>
                <w:sz w:val="28"/>
                <w:szCs w:val="28"/>
              </w:rPr>
              <w:t>C670, C671, C672, C673, C674, C675, C676, C677, C678, C679, C641, C642, C649, C651, C652, C659, C661, C662, C669, C680, C681, C688, C689</w:t>
            </w:r>
          </w:p>
        </w:tc>
      </w:tr>
      <w:tr w14:paraId="61D7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0FEB8A2D">
            <w:pPr>
              <w:adjustRightInd w:val="0"/>
              <w:snapToGrid w:val="0"/>
              <w:rPr>
                <w:rFonts w:ascii="Times New Roman" w:hAnsi="Times New Roman" w:cs="Times New Roman"/>
                <w:sz w:val="28"/>
                <w:szCs w:val="28"/>
              </w:rPr>
            </w:pPr>
            <w:r>
              <w:rPr>
                <w:rFonts w:ascii="Times New Roman" w:hAnsi="Times New Roman" w:cs="Times New Roman"/>
                <w:sz w:val="28"/>
                <w:szCs w:val="28"/>
              </w:rPr>
              <w:t>Hematologic cancer</w:t>
            </w:r>
          </w:p>
        </w:tc>
        <w:tc>
          <w:tcPr>
            <w:tcW w:w="10915" w:type="dxa"/>
            <w:vAlign w:val="center"/>
          </w:tcPr>
          <w:p w14:paraId="0C2E62A5">
            <w:pPr>
              <w:adjustRightInd w:val="0"/>
              <w:snapToGrid w:val="0"/>
              <w:rPr>
                <w:rFonts w:ascii="Times New Roman" w:hAnsi="Times New Roman" w:cs="Times New Roman"/>
                <w:sz w:val="28"/>
                <w:szCs w:val="28"/>
              </w:rPr>
            </w:pPr>
            <w:r>
              <w:rPr>
                <w:rFonts w:ascii="Times New Roman" w:hAnsi="Times New Roman" w:eastAsia="等线" w:cs="Times New Roman"/>
                <w:color w:val="000000"/>
                <w:kern w:val="0"/>
                <w:sz w:val="28"/>
                <w:szCs w:val="28"/>
              </w:rPr>
              <w:t>C8100, C8101, C8102, C8103, C8104, C8105, C8106, C8107, C8108, C8109, C8110, C8111, C8112, C8113, C8114, C8115, C8116, C8117, C8118, C8119, C8120, C8121, C8122, C8123, C8124, C8125, C8126, C8127, C8128, C8129, C8130, C8131, C8132, C8133, C8134, C8135, C8136, C8137, C8138, C8139, C8140, C8141, C8142, C8143, C8144, C8145, C8146, C8147, C8148, C8149, C8170, C8171, C8172, C8173, C8174, C8175, C8176, C8177, C8178, C8179, C8190, C8191, C8192, C8193, C8194, C8195, C8196, C8197, C8198, C8199, C8200, C8201, C8202, C8203, C8204, C8205, C8206, C8207, C8208, C8209, C8210, C8211, C8212, C8213, C8214, C8215, C8216, C8217, C8218, C8219, C8220, C8221, C8222, C8223, C8224, C8225, C8226, C8227, C8228, C8229, C8230, C8231, C8232, C8233, C8234, C8235, C8236, C8237, C8238, C8239, C8240, C8241, C8242, C8243, C8244, C8245, C8246, C8247, C8248, C8249, C8250, C8251, C8252, C8253, C8254, C8255, C8256, C8257, C8258, C8259, C8260, C8261, C8262, C8263, C8264, C8265, C8266, C8267, C8268, C8269, C8280, C8281, C8282, C8283, C8284, C8285, C8286, C8287, C8288, C8289, C8290, C8291, C8292, C8293, C8294, C8295, C8296, C8297, C8298, C8299, C8300, C8301, C8302, C8303, C8304, C8305, C8306, C8307, C8308, C8309, C8310, C8311, C8312, C8313, C8314, C8315, C8316, C8317, C8318, C8319, C8330, C8331, C8332, C8333, C8334, C8335, C8336, C8337, C8338, C8339, C8350, C8351, C8352, C8353, C8354, C8355, C8356, C8357, C8358, C8359, C8370, C8371, C8372, C8373, C8374, C8375, C8376, C8377, C8378, C8379, C8380, C8381, C8382, C8383, C8384, C8385, C8386, C8387, C8388, C8389, C8390, C8391, C8392, C8393, C8394, C8395, C8396, C8397, C8398, C8399, C8400, C8401, C8402, C8403, C8404, C8405, C8406, C8407, C8408, C8409, C8410, C8411, C8412, C8413, C8414, C8415, C8416, C8417, C8418, C8419, C8440, C8441, C8442, C8443, C8444, C8445, C8446, C8447, C8448, C8449, C8460, C8461, C8462, C8463, C8464, C8465, C8466, C8467, C8468, C8469, C8470, C8471, C8472, C8473, C8474, C8475, C8476, C8477, C8478, C8479, C8490, C8491, C8492, C8493, C8494, C8495, C8496, C8497, C8498, C8499, C84A0, C84A1, C84A2, C84A3, C84A4, C84A5, C84A6, C84A7, C84A8, C84A9, C84Z0, C84Z1, C84Z2, C84Z3, C84Z4, C84Z5, C84Z6, C84Z7, C84Z8, C84Z9,  C8510, C8511, C8512, C8513, C8514, C8515, C8516, C8517, C8518, C8519, C8520, C8521, C8522, C8523, C8524, C8525, C8526, C8527, C8528, C8529, C8580, C8581, C8582, C8583, C8584, C8585, C8586, C8587, C8588, C8589, C8590, C8591, C8592, C8593, C8594, C8595, C8596, C8597, C8598, C8599, C860, C861, C862, C863, C864, C865, C866, C880, C882, C883, C884, C888, C889, C9000, C9001, C9002, C9010, C9011, C9012, C9020, C9021, C9022, C9030, C9031, C9032, C9100, C9101, C9102, C9110, C9111, C9112, C9130, C9131, C9132, C9140, C9142, C9150, C9151, C9152, C9160, C9161, C9162, C9190, C9191, C9192, C91A0, C91A1, C91A2, C91Z0, C91Z1, C91Z2, C9200, C9201, C9202, C9210, C9211, C9212, C9220, C9221, C9222, C9230, C9231, C9232, C9240, C9241, C9242, C9250, C9251, C9260, C9261, C9262, C9290, C9291, C9292, C92A0, C92A1, C92Z0, C92Z1, C92Z2, C9300, C9301, C9302, C9310, C9311, C9312, C9330, C9331, C9332, C9390, C9391, C9392, C93Z0, C93Z1, C93Z2, C9400, C9401, C9402, C9420, C9421, C9422, C9430, C9431, C9432, C9440, C9401, C9402, C9420, C9421, C9422, C9430, C9431, C9432, C9440, C9441, C9442, C946, C9480, C9481, C9482, C9500, C9501, C9502, C9510, C9511, C9512, C9590, C9591, C9592, C960, C962, C9620, C9621, C9622, C9629, C964, C965, C966, C969, C96A, C96Z</w:t>
            </w:r>
          </w:p>
        </w:tc>
      </w:tr>
      <w:tr w14:paraId="62A3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785E59C4">
            <w:pPr>
              <w:adjustRightInd w:val="0"/>
              <w:snapToGrid w:val="0"/>
              <w:rPr>
                <w:rFonts w:ascii="Times New Roman" w:hAnsi="Times New Roman" w:cs="Times New Roman"/>
                <w:sz w:val="28"/>
                <w:szCs w:val="28"/>
                <w:highlight w:val="yellow"/>
              </w:rPr>
            </w:pPr>
            <w:r>
              <w:rPr>
                <w:rFonts w:ascii="Times New Roman" w:hAnsi="Times New Roman" w:cs="Times New Roman"/>
                <w:sz w:val="28"/>
                <w:szCs w:val="28"/>
              </w:rPr>
              <w:t>Other cancers</w:t>
            </w:r>
          </w:p>
        </w:tc>
        <w:tc>
          <w:tcPr>
            <w:tcW w:w="10915" w:type="dxa"/>
          </w:tcPr>
          <w:p w14:paraId="6AC65942">
            <w:pPr>
              <w:adjustRightInd w:val="0"/>
              <w:snapToGrid w:val="0"/>
              <w:rPr>
                <w:rFonts w:ascii="Times New Roman" w:hAnsi="Times New Roman" w:cs="Times New Roman"/>
                <w:sz w:val="28"/>
                <w:szCs w:val="28"/>
                <w:highlight w:val="yellow"/>
              </w:rPr>
            </w:pPr>
            <w:r>
              <w:rPr>
                <w:rFonts w:ascii="Times New Roman" w:hAnsi="Times New Roman" w:eastAsia="等线" w:cs="Times New Roman"/>
                <w:color w:val="000000"/>
                <w:kern w:val="0"/>
                <w:sz w:val="28"/>
                <w:szCs w:val="28"/>
              </w:rPr>
              <w:t xml:space="preserve">C33, C3400, C3401, C3402, C3410, C3411, C3412, C342, C3430, C3431, C3432, C3480, C3481, C3482, C3490, C3491, 3492, C384, C390, C399, </w:t>
            </w:r>
            <w:r>
              <w:rPr>
                <w:rFonts w:ascii="Times New Roman" w:hAnsi="Times New Roman" w:cs="Times New Roman"/>
                <w:sz w:val="28"/>
                <w:szCs w:val="28"/>
              </w:rPr>
              <w:t xml:space="preserve">C4000, C4001, C4002, C4010, C4011, C4012, C4020, C4021, C4022, C4030, C4031, C4032, C4080, C4081, C4082, C4090, C4091, C4092, C410, C411, C412, C413, C414, C419, C4A0, C4A10, C4A11, C4A111, C4A112, C4A12, C4A121, C4A122, C4120, C4A21, C4A22, C4A30 C4A31, C4A39, C4A4, C4A51, C4A52, C4A59, C4A60, C4A61, C4A62, C4A70, C4A71, C4A72, C4A8, C4A9, C430, C4310, C4311, C43111, C43112, C4312,  C43121, C43122, C4320, C4321, C4322, C4330, C4331, C4339, C434, C4351, C4352, C4359, C4360, C4361, C4362, C4370, C4371, C4372, C438, C439, C4400, C4401, C4402, C4409, C44101, C44102, C441022, C44109, C441091, C441092, C44111, C44112, C441121, C441122, C44119, C441191, C441192,  C44121, C44122, C441221, C441222, C44129, C441291, C441292, CC44131, C441321, C441322, C441391, C441392, C44191, C44192, C441921, C441922, C44199, C441991, C441992, C44201, C44202, C44209, C44211, C44212, C44219, C44221, C44222, C44229, C44291, C44292, C44299, C44300, C44301, C44309, C44310, C44311, C44319, C44320, C44321, C44329, C44390, C44391, C44399, C4440, C4441, C4442, C4449, C44500, C44501, C44509, C44510, C44511, C44519, C44520, C44521, C44529, C44590, C44591, C44599, C44602, C44609, C44611, C44612, C44622, C44629, C44691, C44692, C44699, C44701, C44702, C44709, C44711, C44719, C44721, C44722, C44729, C44791, C44792, C44799, C4480, C4481, C4482, C4489, C4490, C4491, C4492, C4499, </w:t>
            </w:r>
            <w:r>
              <w:rPr>
                <w:rFonts w:ascii="Times New Roman" w:hAnsi="Times New Roman" w:eastAsia="等线" w:cs="Times New Roman"/>
                <w:color w:val="000000"/>
                <w:kern w:val="0"/>
                <w:sz w:val="28"/>
                <w:szCs w:val="28"/>
              </w:rPr>
              <w:t xml:space="preserve">C50011, C50012, C50019, C50021, C50022, C50029, C50111, C50112, C50122, C50129, C50211, C50212, C50219, C50221, C50222, C50229, C50311, C50312, C50319, C50321, C50322, C50329, C50411, C50412, C50419, C50421, C50422, C50429, C50511, C50512, C50519, C50521, C50522, C50529, C50611, C50612, C50619, C50621, C50622, C50629, C50811, C50812, C50819, C50821, C50822, C50829, C50911, C50912, C50919, C50921, C50922, C50929, C6900，C6901, C6902, C6910, C6911, C6912, C6920, C6921, C6922, C6930, C6931, C6932, C6940, C6941, C6942, C6950, C6951, C6952, C6960, C6961, C6962, C6980, C6981, C6982, C6990, C6991, C6992, C700, C709, C710, C711, C712, C713, C714, C715, C716, C717, C718, C719, C720, C721, C7220, C7221, C7222, C7230, C7231, C7232, C7240, C7241, C7242, C7250, C7259, C729, C7A0, C7A010, C7A011, C7A012, C7A019, C7A020, C7A021, C7A022, C7A023, C7A024, C7A025, C7A026, C7A029, C7A090, C7A091, C7A092, C7A093, C7A094, C7A095, C7A096, C7A098, C784, C785, C786, C787, C7880, C7889, </w:t>
            </w:r>
            <w:r>
              <w:rPr>
                <w:rFonts w:ascii="Times New Roman" w:hAnsi="Times New Roman" w:cs="Times New Roman"/>
                <w:sz w:val="28"/>
                <w:szCs w:val="28"/>
              </w:rPr>
              <w:t xml:space="preserve">C770, C771, C772, C773, C774, C775, C778, C779, C73, C7400, C7401, C7402, C7410, C7411, C7412, C7490, C7491, C7492, C750, C751, C752, C753, C754, C755, C758, C759, C760, C761, C762, C763, C7640, C7641, C7642, C7650, C7651, C7652, C768, C490, C4910, C4911, C4922, C493, C494, C495, C496, C498, C499, C450, C451, C452, C457, C459, C460, C461, C462, C463, C464, C4650, C4651, C4652, C467, C469, C380, C381, C382, C383, C388, C784, C785, C786, C787, C7880, C7889, C7800, C7801, C7802, C781, C782, C7830, C7839, C7900, C7901, C7902, C7910, C7911, C7919, C792, C7931, C7932, C7940, C7949, C7951, C7952, </w:t>
            </w:r>
            <w:r>
              <w:rPr>
                <w:rFonts w:ascii="Times New Roman" w:hAnsi="Times New Roman" w:eastAsia="等线" w:cs="Times New Roman"/>
                <w:color w:val="000000"/>
                <w:kern w:val="0"/>
                <w:sz w:val="28"/>
                <w:szCs w:val="28"/>
              </w:rPr>
              <w:t xml:space="preserve">C7970, C7971, C7972, C7981, C7989, C799, </w:t>
            </w:r>
            <w:r>
              <w:rPr>
                <w:rFonts w:ascii="Times New Roman" w:hAnsi="Times New Roman" w:cs="Times New Roman"/>
                <w:sz w:val="28"/>
                <w:szCs w:val="28"/>
              </w:rPr>
              <w:t xml:space="preserve">C7960, C7961, C7962, C7982, C792, C7931, C7932, C7940, C7949, C7951, C7952, </w:t>
            </w:r>
            <w:r>
              <w:rPr>
                <w:rFonts w:ascii="Times New Roman" w:hAnsi="Times New Roman" w:eastAsia="等线" w:cs="Times New Roman"/>
                <w:color w:val="000000"/>
                <w:kern w:val="0"/>
                <w:sz w:val="28"/>
                <w:szCs w:val="28"/>
              </w:rPr>
              <w:t>C7970, C7971, C7972, C7981, C7989, C799</w:t>
            </w:r>
          </w:p>
        </w:tc>
      </w:tr>
      <w:tr w14:paraId="7A2B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2F151213">
            <w:pPr>
              <w:adjustRightInd w:val="0"/>
              <w:snapToGrid w:val="0"/>
              <w:rPr>
                <w:rFonts w:ascii="Times New Roman" w:hAnsi="Times New Roman" w:cs="Times New Roman"/>
                <w:sz w:val="28"/>
                <w:szCs w:val="28"/>
              </w:rPr>
            </w:pPr>
            <w:r>
              <w:rPr>
                <w:rFonts w:ascii="Times New Roman" w:hAnsi="Times New Roman" w:cs="Times New Roman"/>
                <w:sz w:val="28"/>
                <w:szCs w:val="28"/>
              </w:rPr>
              <w:t>Diagnostic peritoneal paracentesis</w:t>
            </w:r>
          </w:p>
        </w:tc>
        <w:tc>
          <w:tcPr>
            <w:tcW w:w="10915" w:type="dxa"/>
          </w:tcPr>
          <w:p w14:paraId="2569903F">
            <w:pPr>
              <w:adjustRightInd w:val="0"/>
              <w:snapToGrid w:val="0"/>
              <w:rPr>
                <w:rFonts w:ascii="Times New Roman" w:hAnsi="Times New Roman" w:cs="Times New Roman"/>
                <w:sz w:val="28"/>
                <w:szCs w:val="28"/>
              </w:rPr>
            </w:pPr>
            <w:r>
              <w:rPr>
                <w:rFonts w:ascii="Times New Roman" w:hAnsi="Times New Roman" w:cs="Times New Roman"/>
                <w:sz w:val="28"/>
                <w:szCs w:val="28"/>
              </w:rPr>
              <w:t>0W9G0ZX, 0W9G3ZX, 0W9G4ZX</w:t>
            </w:r>
          </w:p>
        </w:tc>
      </w:tr>
      <w:tr w14:paraId="4D7E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2F528DB3">
            <w:pPr>
              <w:adjustRightInd w:val="0"/>
              <w:snapToGrid w:val="0"/>
              <w:rPr>
                <w:rFonts w:ascii="Times New Roman" w:hAnsi="Times New Roman" w:cs="Times New Roman"/>
                <w:sz w:val="28"/>
                <w:szCs w:val="28"/>
              </w:rPr>
            </w:pPr>
            <w:r>
              <w:rPr>
                <w:rFonts w:ascii="Times New Roman" w:hAnsi="Times New Roman" w:cs="Times New Roman"/>
                <w:sz w:val="28"/>
                <w:szCs w:val="28"/>
              </w:rPr>
              <w:t>Peritoneal drainage</w:t>
            </w:r>
          </w:p>
        </w:tc>
        <w:tc>
          <w:tcPr>
            <w:tcW w:w="10915" w:type="dxa"/>
          </w:tcPr>
          <w:p w14:paraId="05E0BC13">
            <w:pPr>
              <w:adjustRightInd w:val="0"/>
              <w:snapToGrid w:val="0"/>
              <w:rPr>
                <w:rFonts w:ascii="Times New Roman" w:hAnsi="Times New Roman" w:cs="Times New Roman"/>
                <w:sz w:val="28"/>
                <w:szCs w:val="28"/>
              </w:rPr>
            </w:pPr>
            <w:r>
              <w:rPr>
                <w:rFonts w:ascii="Times New Roman" w:hAnsi="Times New Roman" w:cs="Times New Roman"/>
                <w:sz w:val="28"/>
                <w:szCs w:val="28"/>
              </w:rPr>
              <w:t>0W9G3ZZ, 0W9G4ZZ</w:t>
            </w:r>
          </w:p>
        </w:tc>
      </w:tr>
      <w:tr w14:paraId="10A4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32EAB0CE">
            <w:pPr>
              <w:adjustRightInd w:val="0"/>
              <w:snapToGrid w:val="0"/>
              <w:rPr>
                <w:rFonts w:ascii="Times New Roman" w:hAnsi="Times New Roman" w:cs="Times New Roman"/>
                <w:sz w:val="28"/>
                <w:szCs w:val="28"/>
              </w:rPr>
            </w:pPr>
            <w:r>
              <w:rPr>
                <w:rFonts w:ascii="Times New Roman" w:hAnsi="Times New Roman" w:cs="Times New Roman"/>
                <w:sz w:val="28"/>
                <w:szCs w:val="28"/>
              </w:rPr>
              <w:t>Peritoneal drainage with drainage devices</w:t>
            </w:r>
          </w:p>
        </w:tc>
        <w:tc>
          <w:tcPr>
            <w:tcW w:w="10915" w:type="dxa"/>
          </w:tcPr>
          <w:p w14:paraId="253C2A20">
            <w:pPr>
              <w:adjustRightInd w:val="0"/>
              <w:snapToGrid w:val="0"/>
              <w:rPr>
                <w:rFonts w:ascii="Times New Roman" w:hAnsi="Times New Roman" w:cs="Times New Roman"/>
                <w:sz w:val="28"/>
                <w:szCs w:val="28"/>
              </w:rPr>
            </w:pPr>
            <w:r>
              <w:rPr>
                <w:rFonts w:ascii="Times New Roman" w:hAnsi="Times New Roman" w:cs="Times New Roman"/>
                <w:sz w:val="28"/>
                <w:szCs w:val="28"/>
              </w:rPr>
              <w:t>0W9G30Z, 0W9G40Z</w:t>
            </w:r>
          </w:p>
        </w:tc>
      </w:tr>
      <w:tr w14:paraId="17DA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0C278B79">
            <w:pPr>
              <w:adjustRightInd w:val="0"/>
              <w:snapToGrid w:val="0"/>
              <w:rPr>
                <w:rFonts w:ascii="Times New Roman" w:hAnsi="Times New Roman" w:cs="Times New Roman"/>
                <w:sz w:val="28"/>
                <w:szCs w:val="28"/>
              </w:rPr>
            </w:pPr>
            <w:r>
              <w:rPr>
                <w:rFonts w:ascii="Times New Roman" w:hAnsi="Times New Roman" w:cs="Times New Roman"/>
                <w:sz w:val="28"/>
                <w:szCs w:val="28"/>
              </w:rPr>
              <w:t xml:space="preserve">Obesity </w:t>
            </w:r>
          </w:p>
        </w:tc>
        <w:tc>
          <w:tcPr>
            <w:tcW w:w="10915" w:type="dxa"/>
            <w:vAlign w:val="center"/>
          </w:tcPr>
          <w:p w14:paraId="426B84F8">
            <w:pPr>
              <w:adjustRightInd w:val="0"/>
              <w:snapToGrid w:val="0"/>
              <w:rPr>
                <w:rFonts w:ascii="Times New Roman" w:hAnsi="Times New Roman" w:cs="Times New Roman"/>
                <w:sz w:val="28"/>
                <w:szCs w:val="28"/>
              </w:rPr>
            </w:pPr>
            <w:r>
              <w:rPr>
                <w:rFonts w:ascii="Times New Roman" w:hAnsi="Times New Roman" w:cs="Times New Roman"/>
                <w:sz w:val="28"/>
                <w:szCs w:val="28"/>
              </w:rPr>
              <w:t>E6601, E6609, E661, E662, E663, E668, E669</w:t>
            </w:r>
          </w:p>
        </w:tc>
      </w:tr>
      <w:tr w14:paraId="5D08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393F8C3E">
            <w:pPr>
              <w:adjustRightInd w:val="0"/>
              <w:snapToGrid w:val="0"/>
              <w:rPr>
                <w:rFonts w:ascii="Times New Roman" w:hAnsi="Times New Roman" w:cs="Times New Roman"/>
                <w:sz w:val="28"/>
                <w:szCs w:val="28"/>
              </w:rPr>
            </w:pPr>
            <w:r>
              <w:rPr>
                <w:rFonts w:ascii="Times New Roman" w:hAnsi="Times New Roman" w:cs="Times New Roman"/>
                <w:sz w:val="28"/>
                <w:szCs w:val="28"/>
              </w:rPr>
              <w:t>Hypertension</w:t>
            </w:r>
          </w:p>
        </w:tc>
        <w:tc>
          <w:tcPr>
            <w:tcW w:w="10915" w:type="dxa"/>
            <w:vAlign w:val="center"/>
          </w:tcPr>
          <w:p w14:paraId="7D8D7A3D">
            <w:pPr>
              <w:adjustRightInd w:val="0"/>
              <w:snapToGrid w:val="0"/>
              <w:rPr>
                <w:rFonts w:ascii="Times New Roman" w:hAnsi="Times New Roman" w:cs="Times New Roman"/>
                <w:sz w:val="28"/>
                <w:szCs w:val="28"/>
              </w:rPr>
            </w:pPr>
            <w:r>
              <w:rPr>
                <w:rFonts w:ascii="Times New Roman" w:hAnsi="Times New Roman" w:cs="Times New Roman"/>
                <w:sz w:val="28"/>
                <w:szCs w:val="28"/>
              </w:rPr>
              <w:t>I10, I110, I119, I120, I129, I130, I1310, I1311, I132</w:t>
            </w:r>
          </w:p>
        </w:tc>
      </w:tr>
      <w:tr w14:paraId="78CE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44B51BCC">
            <w:pPr>
              <w:adjustRightInd w:val="0"/>
              <w:snapToGrid w:val="0"/>
              <w:rPr>
                <w:rFonts w:ascii="Times New Roman" w:hAnsi="Times New Roman" w:cs="Times New Roman"/>
                <w:sz w:val="28"/>
                <w:szCs w:val="28"/>
              </w:rPr>
            </w:pPr>
            <w:r>
              <w:rPr>
                <w:rFonts w:ascii="Times New Roman" w:hAnsi="Times New Roman" w:cs="Times New Roman"/>
                <w:sz w:val="28"/>
                <w:szCs w:val="28"/>
              </w:rPr>
              <w:t>Hyperlipemia</w:t>
            </w:r>
          </w:p>
        </w:tc>
        <w:tc>
          <w:tcPr>
            <w:tcW w:w="10915" w:type="dxa"/>
            <w:vAlign w:val="center"/>
          </w:tcPr>
          <w:p w14:paraId="4AA9E0FE">
            <w:pPr>
              <w:adjustRightInd w:val="0"/>
              <w:snapToGrid w:val="0"/>
              <w:rPr>
                <w:rFonts w:ascii="Times New Roman" w:hAnsi="Times New Roman" w:cs="Times New Roman"/>
                <w:sz w:val="28"/>
                <w:szCs w:val="28"/>
              </w:rPr>
            </w:pPr>
            <w:r>
              <w:rPr>
                <w:rFonts w:ascii="Times New Roman" w:hAnsi="Times New Roman" w:cs="Times New Roman"/>
                <w:sz w:val="28"/>
                <w:szCs w:val="28"/>
              </w:rPr>
              <w:t>E780, E7800, E7801, E781, E782, E783, E784, E7841, E7849, E785</w:t>
            </w:r>
          </w:p>
        </w:tc>
      </w:tr>
      <w:tr w14:paraId="4870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066D0F67">
            <w:pPr>
              <w:adjustRightInd w:val="0"/>
              <w:snapToGrid w:val="0"/>
              <w:rPr>
                <w:rFonts w:ascii="Times New Roman" w:hAnsi="Times New Roman" w:cs="Times New Roman"/>
                <w:sz w:val="28"/>
                <w:szCs w:val="28"/>
              </w:rPr>
            </w:pPr>
            <w:r>
              <w:rPr>
                <w:rFonts w:ascii="Times New Roman" w:hAnsi="Times New Roman" w:cs="Times New Roman"/>
                <w:sz w:val="28"/>
                <w:szCs w:val="28"/>
              </w:rPr>
              <w:t>Diabetes</w:t>
            </w:r>
          </w:p>
        </w:tc>
        <w:tc>
          <w:tcPr>
            <w:tcW w:w="10915" w:type="dxa"/>
            <w:vAlign w:val="center"/>
          </w:tcPr>
          <w:p w14:paraId="420CA770">
            <w:pPr>
              <w:adjustRightInd w:val="0"/>
              <w:snapToGrid w:val="0"/>
              <w:rPr>
                <w:rFonts w:ascii="Times New Roman" w:hAnsi="Times New Roman" w:cs="Times New Roman"/>
                <w:sz w:val="28"/>
                <w:szCs w:val="28"/>
              </w:rPr>
            </w:pPr>
            <w:r>
              <w:rPr>
                <w:rFonts w:ascii="Times New Roman" w:hAnsi="Times New Roman" w:cs="Times New Roman"/>
                <w:sz w:val="28"/>
                <w:szCs w:val="28"/>
              </w:rPr>
              <w:t>E0800, E0801, E0810, E0811, E0821, E0822, E0829, E08311, E08319, E08321, E083211-E083213, E083219, E08329, E083291-E083293, E083299,  E08331, E083311-E083313, E083319, E08339, E083391-E083393, E083399, E08341, E083411-E083413, E083419, E08349, E083491-E083493, E083499, E08351, E083511-E083513, E083519, E083521-E083523, E083529, E083531-E083533, E083539, E083541-E083543, E083549, E083551-E083553, E083559, E08359, E083591-E083593, E083599, E0836, E0837X1-E0837X3, E0837X9, E0839-E0844, E0849-E0852, E0859, E08610, E08618, E08620, E08621, E08622, E08628, E08630, E08638, E08641, E08649, E0865, E0869, E088, E089, E0900, E0901, E0910, E0911, E0921, E0922, E0929, E09311, E09319, E09321, E093211-E093213, E093219, E09329, E093291-E093293, E093299, E09331, E093311-E093313, E093319, E09339, E093391-E093393, E093399, E09341, E093411-E093413, E093419, E09349, E093491-E093493, E093499, E09351, E093511-E093513, E093519, E093521-E093523, E093529, E093531-E093533, E093539, E093541-E093543, E093549, E093551-E093553, E093559, E09359, E093591-E093593, E093599, E0936, E0937X1-E0937X3, E0937X9, E0939-E0944, E0949, E0951, E0952, E0959, E09610, E09618, E09620-E09622, E09628, E09630, E09638, E09641, E09649, E0965, E0969, E098, E099, E101, E1011, E1021, E1022, E1029, E10311, E10319, E10321, E103211-E103213, E103219, E10329, E103291-E103293, E103299, E10341, E103411-E103413, E103419, E10349, E103491-E103493, E103499, E10351, E103511-E103513, E103519, E103521-E103523, E103529, E103531-E103533, E103539, E103541-E103543, E103549, E103551-E103553, E103559, E10359, E103591-E103593, E103599, E1036, E1037X1-E1037X3, E1037X9, E1039-E1044, E1049, E1051, E1052, E1059, E10610, E10618, E10620, E10621, E10622, E10628, E10630, E10638, E10641, E10649, E1065, E1069, E108, E109, E1100, E1101, E1110, E1111, E1121, E1122, E1129, E11311, E11319, E11321, E113211-E113213, E113219, E11329, E113291-E113293, E113299, E11331, E113311-E113313, E113319, E11339, E113391-E113393, E113399, E11341, E113411-E113413, E113419, E11349, E113491-E113493, E113499, E11351, E113511-E113513, E113519, E113521-E113523, E113529, E113531-E113533, E113539, E113541-E113543, E113549, E113551-E113553, E113559, E11359, E113591-E113593, E113599, E1136, E1137X1-E1137X3, E1137X9, E1139-E1144, E1151, E1152, E1159, E11610, E11618, E11620-E11622, E11628, E11630, E11638, E11641, E11649, E1165, E1169, E118, E119, E1300, E1301, E1310, E1311, E1321, E1322, E1329, E13311, E13319, E13321, E133211-E133213, E133219, E13329, E133291-E133293, E133299, E13331, E133311-E133313, E133319, E13339, E133391-E133393, E133399, E13341, E133411-E133413, E133419,  E13349, E133491-E133493, E133499, E13351, E133511-E133513, E133519, E133521-E133523, E133529, E133531-E133533, E133539, E133541-E133543, E133549, E133551-E133553, E133559, E13359, E133591-E133593, E133599, E1336, E1337X1-E1337X3, E1337X9, E1339-E1344, E1349, E1351, E1352, E1359, E13610, E13618, E13620-E13622, E13628, E13630, E13638, E13641, E13649, E1365, E1369, E139</w:t>
            </w:r>
          </w:p>
        </w:tc>
      </w:tr>
      <w:tr w14:paraId="365B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1C206AB7">
            <w:pPr>
              <w:adjustRightInd w:val="0"/>
              <w:snapToGrid w:val="0"/>
              <w:rPr>
                <w:rFonts w:ascii="Times New Roman" w:hAnsi="Times New Roman" w:cs="Times New Roman"/>
                <w:sz w:val="28"/>
                <w:szCs w:val="28"/>
              </w:rPr>
            </w:pPr>
            <w:r>
              <w:rPr>
                <w:rFonts w:ascii="Times New Roman" w:hAnsi="Times New Roman" w:cs="Times New Roman"/>
                <w:sz w:val="28"/>
                <w:szCs w:val="28"/>
              </w:rPr>
              <w:t>Chronic kidney disease</w:t>
            </w:r>
          </w:p>
        </w:tc>
        <w:tc>
          <w:tcPr>
            <w:tcW w:w="10915" w:type="dxa"/>
            <w:vAlign w:val="center"/>
          </w:tcPr>
          <w:p w14:paraId="37D78CCF">
            <w:pPr>
              <w:adjustRightInd w:val="0"/>
              <w:snapToGrid w:val="0"/>
              <w:rPr>
                <w:rFonts w:ascii="Times New Roman" w:hAnsi="Times New Roman" w:cs="Times New Roman"/>
                <w:sz w:val="28"/>
                <w:szCs w:val="28"/>
              </w:rPr>
            </w:pPr>
            <w:r>
              <w:rPr>
                <w:rFonts w:ascii="Times New Roman" w:hAnsi="Times New Roman" w:cs="Times New Roman"/>
                <w:sz w:val="28"/>
                <w:szCs w:val="28"/>
              </w:rPr>
              <w:t>N181, N182, N183, N1830, N1831, N1832, N184, N185, N186, N189</w:t>
            </w:r>
          </w:p>
        </w:tc>
      </w:tr>
      <w:tr w14:paraId="2E12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1B068FB9">
            <w:pPr>
              <w:adjustRightInd w:val="0"/>
              <w:snapToGrid w:val="0"/>
              <w:rPr>
                <w:rFonts w:ascii="Times New Roman" w:hAnsi="Times New Roman" w:cs="Times New Roman"/>
                <w:sz w:val="28"/>
                <w:szCs w:val="28"/>
              </w:rPr>
            </w:pPr>
            <w:r>
              <w:rPr>
                <w:rFonts w:ascii="Times New Roman" w:hAnsi="Times New Roman" w:cs="Times New Roman"/>
                <w:sz w:val="28"/>
                <w:szCs w:val="28"/>
              </w:rPr>
              <w:t>Heart failure</w:t>
            </w:r>
          </w:p>
        </w:tc>
        <w:tc>
          <w:tcPr>
            <w:tcW w:w="10915" w:type="dxa"/>
            <w:vAlign w:val="center"/>
          </w:tcPr>
          <w:p w14:paraId="45F00C8F">
            <w:pPr>
              <w:adjustRightInd w:val="0"/>
              <w:snapToGrid w:val="0"/>
              <w:rPr>
                <w:rFonts w:ascii="Times New Roman" w:hAnsi="Times New Roman" w:cs="Times New Roman"/>
                <w:sz w:val="28"/>
                <w:szCs w:val="28"/>
              </w:rPr>
            </w:pPr>
            <w:r>
              <w:rPr>
                <w:rFonts w:ascii="Times New Roman" w:hAnsi="Times New Roman" w:cs="Times New Roman"/>
                <w:sz w:val="28"/>
                <w:szCs w:val="28"/>
              </w:rPr>
              <w:t>I1501, I15020, I15021, I15022, I15023, I15030, I15031, I15032, I15033, I15040, I15041, I15042, I15043, I150811, I150812, I150813, I150814, 15082, I5083, I5084, I5089, I509</w:t>
            </w:r>
          </w:p>
        </w:tc>
      </w:tr>
    </w:tbl>
    <w:p w14:paraId="7A0D98F9">
      <w:pPr>
        <w:adjustRightInd w:val="0"/>
        <w:snapToGrid w:val="0"/>
        <w:rPr>
          <w:rFonts w:ascii="Times New Roman" w:hAnsi="Times New Roman" w:cs="Times New Roman"/>
          <w:sz w:val="28"/>
          <w:szCs w:val="28"/>
        </w:rPr>
      </w:pPr>
    </w:p>
    <w:p w14:paraId="6806F382">
      <w:pPr>
        <w:adjustRightInd w:val="0"/>
        <w:snapToGrid w:val="0"/>
        <w:rPr>
          <w:rFonts w:ascii="Times New Roman" w:hAnsi="Times New Roman" w:cs="Times New Roman"/>
          <w:sz w:val="28"/>
          <w:szCs w:val="28"/>
        </w:rPr>
      </w:pPr>
    </w:p>
    <w:sectPr>
      <w:pgSz w:w="16838" w:h="11906" w:orient="landscape"/>
      <w:pgMar w:top="1080" w:right="1440" w:bottom="108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g5ODY2OTQ4YzgyMjgxYzk4ZGRiMjkxMWUxYmM3NzgifQ=="/>
  </w:docVars>
  <w:rsids>
    <w:rsidRoot w:val="002646C8"/>
    <w:rsid w:val="0001227A"/>
    <w:rsid w:val="00023DCE"/>
    <w:rsid w:val="00081BC2"/>
    <w:rsid w:val="000D3A5B"/>
    <w:rsid w:val="001626C3"/>
    <w:rsid w:val="00180711"/>
    <w:rsid w:val="001A0F03"/>
    <w:rsid w:val="001E455D"/>
    <w:rsid w:val="001F6FE5"/>
    <w:rsid w:val="0025410C"/>
    <w:rsid w:val="002646C8"/>
    <w:rsid w:val="00276BC1"/>
    <w:rsid w:val="002F5791"/>
    <w:rsid w:val="00300F7F"/>
    <w:rsid w:val="00381473"/>
    <w:rsid w:val="003E35B5"/>
    <w:rsid w:val="003E72F6"/>
    <w:rsid w:val="00462DB3"/>
    <w:rsid w:val="00504EC8"/>
    <w:rsid w:val="005C37E2"/>
    <w:rsid w:val="005E2EE0"/>
    <w:rsid w:val="00630202"/>
    <w:rsid w:val="00636895"/>
    <w:rsid w:val="006F3142"/>
    <w:rsid w:val="0072496C"/>
    <w:rsid w:val="00751B17"/>
    <w:rsid w:val="00781CBD"/>
    <w:rsid w:val="007A0F4E"/>
    <w:rsid w:val="007B0F9F"/>
    <w:rsid w:val="007E3053"/>
    <w:rsid w:val="007F37D1"/>
    <w:rsid w:val="00860D8A"/>
    <w:rsid w:val="008F3FAE"/>
    <w:rsid w:val="00925F05"/>
    <w:rsid w:val="0095034F"/>
    <w:rsid w:val="0097468D"/>
    <w:rsid w:val="00986623"/>
    <w:rsid w:val="009A7A74"/>
    <w:rsid w:val="009D2F6C"/>
    <w:rsid w:val="00A265D2"/>
    <w:rsid w:val="00AC6442"/>
    <w:rsid w:val="00BB42BC"/>
    <w:rsid w:val="00BC7FF6"/>
    <w:rsid w:val="00BE6A20"/>
    <w:rsid w:val="00BF4EA7"/>
    <w:rsid w:val="00C314A6"/>
    <w:rsid w:val="00C33CEE"/>
    <w:rsid w:val="00C4520F"/>
    <w:rsid w:val="00C84682"/>
    <w:rsid w:val="00C84CAD"/>
    <w:rsid w:val="00CB5E5F"/>
    <w:rsid w:val="00CC1205"/>
    <w:rsid w:val="00CE1FE6"/>
    <w:rsid w:val="00D02C4B"/>
    <w:rsid w:val="00D449E9"/>
    <w:rsid w:val="00D60B88"/>
    <w:rsid w:val="00D70FD3"/>
    <w:rsid w:val="00D84E0E"/>
    <w:rsid w:val="00DB5EE5"/>
    <w:rsid w:val="00DD0751"/>
    <w:rsid w:val="00DF6AD1"/>
    <w:rsid w:val="00E529B4"/>
    <w:rsid w:val="00E620EA"/>
    <w:rsid w:val="00F83CFA"/>
    <w:rsid w:val="1FF40688"/>
    <w:rsid w:val="21E1413A"/>
    <w:rsid w:val="2DCE2518"/>
    <w:rsid w:val="3F7B0026"/>
    <w:rsid w:val="59436686"/>
    <w:rsid w:val="726D5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autoRedefine/>
    <w:qFormat/>
    <w:uiPriority w:val="99"/>
    <w:rPr>
      <w:sz w:val="18"/>
      <w:szCs w:val="18"/>
    </w:rPr>
  </w:style>
  <w:style w:type="character" w:customStyle="1" w:styleId="8">
    <w:name w:val="页脚 字符"/>
    <w:basedOn w:val="6"/>
    <w:link w:val="2"/>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1764</Words>
  <Characters>11690</Characters>
  <Lines>95</Lines>
  <Paragraphs>26</Paragraphs>
  <TotalTime>14</TotalTime>
  <ScaleCrop>false</ScaleCrop>
  <LinksUpToDate>false</LinksUpToDate>
  <CharactersWithSpaces>13394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2022-04-07T13:16:00Z</dcterms:created>
  <dc:creator>刘 鲁娜</dc:creator>
  <cp:lastModifiedBy>asus</cp:lastModifiedBy>
  <dcterms:modified xsi:type="dcterms:W3CDTF">2024-08-10T09:07:22Z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7156A1D3DEA14905AE4BD0B14B930A31_13</vt:lpwstr>
  </property>
</Properties>
</file>