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2AA9" w14:textId="1A041948" w:rsidR="00EF4B94" w:rsidRPr="00817B92" w:rsidRDefault="00914C56" w:rsidP="00914C56">
      <w:pPr>
        <w:rPr>
          <w:rFonts w:eastAsia="Times New Roman"/>
          <w:b/>
          <w:sz w:val="20"/>
          <w:szCs w:val="20"/>
          <w:lang w:eastAsia="en-GB"/>
        </w:rPr>
      </w:pPr>
      <w:r w:rsidRPr="00817B92">
        <w:rPr>
          <w:rFonts w:eastAsia="Times New Roman"/>
          <w:b/>
          <w:sz w:val="20"/>
          <w:szCs w:val="20"/>
          <w:lang w:eastAsia="en-GB"/>
        </w:rPr>
        <w:t>STROBE-MR checklist of recommended items to address in reports of Mendelian randomization studies</w:t>
      </w:r>
      <w:r w:rsidR="009854A9" w:rsidRPr="00817B92">
        <w:rPr>
          <w:rFonts w:eastAsia="Times New Roman"/>
          <w:b/>
          <w:sz w:val="20"/>
          <w:szCs w:val="20"/>
          <w:lang w:eastAsia="en-GB"/>
        </w:rPr>
        <w:fldChar w:fldCharType="begin" w:fldLock="1"/>
      </w:r>
      <w:r w:rsidR="009854A9" w:rsidRPr="00817B92">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sidRPr="00817B92">
        <w:rPr>
          <w:rFonts w:eastAsia="Times New Roman"/>
          <w:b/>
          <w:sz w:val="20"/>
          <w:szCs w:val="20"/>
          <w:lang w:eastAsia="en-GB"/>
        </w:rPr>
        <w:fldChar w:fldCharType="separate"/>
      </w:r>
      <w:r w:rsidR="009854A9" w:rsidRPr="00817B92">
        <w:rPr>
          <w:rFonts w:eastAsia="Times New Roman"/>
          <w:noProof/>
          <w:sz w:val="20"/>
          <w:szCs w:val="20"/>
          <w:vertAlign w:val="superscript"/>
          <w:lang w:eastAsia="en-GB"/>
        </w:rPr>
        <w:t>1</w:t>
      </w:r>
      <w:r w:rsidR="009854A9" w:rsidRPr="00817B92">
        <w:rPr>
          <w:rFonts w:eastAsia="Times New Roman"/>
          <w:b/>
          <w:sz w:val="20"/>
          <w:szCs w:val="20"/>
          <w:lang w:eastAsia="en-GB"/>
        </w:rPr>
        <w:fldChar w:fldCharType="end"/>
      </w:r>
      <w:r w:rsidR="009854A9" w:rsidRPr="00817B92">
        <w:rPr>
          <w:rFonts w:eastAsia="Times New Roman"/>
          <w:b/>
          <w:sz w:val="20"/>
          <w:szCs w:val="20"/>
          <w:lang w:eastAsia="en-GB"/>
        </w:rPr>
        <w:t xml:space="preserve"> </w:t>
      </w:r>
      <w:r w:rsidR="00804498" w:rsidRPr="00817B92">
        <w:rPr>
          <w:rFonts w:eastAsia="Times New Roman"/>
          <w:b/>
          <w:sz w:val="20"/>
          <w:szCs w:val="20"/>
          <w:lang w:eastAsia="en-GB"/>
        </w:rPr>
        <w:fldChar w:fldCharType="begin" w:fldLock="1"/>
      </w:r>
      <w:r w:rsidR="009854A9" w:rsidRPr="00817B92">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sidRPr="00817B92">
        <w:rPr>
          <w:rFonts w:eastAsia="Times New Roman"/>
          <w:b/>
          <w:sz w:val="20"/>
          <w:szCs w:val="20"/>
          <w:lang w:eastAsia="en-GB"/>
        </w:rPr>
        <w:fldChar w:fldCharType="separate"/>
      </w:r>
      <w:r w:rsidR="009854A9" w:rsidRPr="00817B92">
        <w:rPr>
          <w:rFonts w:eastAsia="Times New Roman"/>
          <w:noProof/>
          <w:sz w:val="20"/>
          <w:szCs w:val="20"/>
          <w:vertAlign w:val="superscript"/>
          <w:lang w:eastAsia="en-GB"/>
        </w:rPr>
        <w:t>2</w:t>
      </w:r>
      <w:r w:rsidR="00804498" w:rsidRPr="00817B92">
        <w:rPr>
          <w:rFonts w:eastAsia="Times New Roman"/>
          <w:b/>
          <w:sz w:val="20"/>
          <w:szCs w:val="20"/>
          <w:lang w:eastAsia="en-GB"/>
        </w:rPr>
        <w:fldChar w:fldCharType="end"/>
      </w:r>
      <w:r w:rsidRPr="00817B92">
        <w:rPr>
          <w:rFonts w:eastAsia="Times New Roman"/>
          <w:b/>
          <w:sz w:val="20"/>
          <w:szCs w:val="20"/>
          <w:lang w:eastAsia="en-GB"/>
        </w:rPr>
        <w:t> </w:t>
      </w:r>
    </w:p>
    <w:p w14:paraId="3EE539AD" w14:textId="77777777" w:rsidR="005520ED" w:rsidRPr="00817B92" w:rsidRDefault="005520ED" w:rsidP="00914C56">
      <w:pPr>
        <w:rPr>
          <w:rFonts w:eastAsia="Times New Roman"/>
          <w:b/>
          <w:sz w:val="20"/>
          <w:szCs w:val="20"/>
          <w:lang w:eastAsia="en-GB"/>
        </w:rPr>
      </w:pPr>
    </w:p>
    <w:tbl>
      <w:tblPr>
        <w:tblW w:w="13743" w:type="dxa"/>
        <w:tblLook w:val="04A0" w:firstRow="1" w:lastRow="0" w:firstColumn="1" w:lastColumn="0" w:noHBand="0" w:noVBand="1"/>
      </w:tblPr>
      <w:tblGrid>
        <w:gridCol w:w="628"/>
        <w:gridCol w:w="1862"/>
        <w:gridCol w:w="5788"/>
        <w:gridCol w:w="5465"/>
      </w:tblGrid>
      <w:tr w:rsidR="00817B92" w:rsidRPr="00817B92" w14:paraId="68BC94E2" w14:textId="1CEFEAFD" w:rsidTr="00817B92">
        <w:tc>
          <w:tcPr>
            <w:tcW w:w="587" w:type="dxa"/>
            <w:tcBorders>
              <w:top w:val="single" w:sz="4" w:space="0" w:color="auto"/>
              <w:bottom w:val="single" w:sz="6" w:space="0" w:color="7F7F7F"/>
            </w:tcBorders>
            <w:shd w:val="clear" w:color="auto" w:fill="auto"/>
          </w:tcPr>
          <w:p w14:paraId="00DEF8A5" w14:textId="77777777" w:rsidR="00817B92" w:rsidRPr="00817B92" w:rsidRDefault="00817B92" w:rsidP="00426603">
            <w:pPr>
              <w:spacing w:beforeLines="40" w:before="96" w:afterLines="40" w:after="96" w:line="24" w:lineRule="atLeast"/>
              <w:rPr>
                <w:rFonts w:eastAsia="Cambria"/>
                <w:b/>
                <w:bCs/>
                <w:sz w:val="20"/>
                <w:szCs w:val="20"/>
                <w:lang w:val="en-GB" w:eastAsia="en-US"/>
              </w:rPr>
            </w:pPr>
            <w:r w:rsidRPr="00817B92">
              <w:rPr>
                <w:rFonts w:eastAsia="Cambria"/>
                <w:b/>
                <w:bCs/>
                <w:sz w:val="20"/>
                <w:szCs w:val="20"/>
                <w:lang w:val="en-GB" w:eastAsia="en-US"/>
              </w:rPr>
              <w:t>Item No.</w:t>
            </w:r>
          </w:p>
        </w:tc>
        <w:tc>
          <w:tcPr>
            <w:tcW w:w="1796" w:type="dxa"/>
            <w:tcBorders>
              <w:top w:val="single" w:sz="4" w:space="0" w:color="auto"/>
              <w:bottom w:val="single" w:sz="6" w:space="0" w:color="7F7F7F"/>
            </w:tcBorders>
            <w:shd w:val="clear" w:color="auto" w:fill="auto"/>
          </w:tcPr>
          <w:p w14:paraId="04F587D2" w14:textId="77777777" w:rsidR="00817B92" w:rsidRPr="00817B92" w:rsidRDefault="00817B92" w:rsidP="00426603">
            <w:pPr>
              <w:spacing w:beforeLines="40" w:before="96" w:afterLines="40" w:after="96" w:line="24" w:lineRule="atLeast"/>
              <w:rPr>
                <w:rFonts w:eastAsia="Cambria"/>
                <w:b/>
                <w:bCs/>
                <w:sz w:val="20"/>
                <w:szCs w:val="20"/>
                <w:lang w:val="en-GB" w:eastAsia="en-US"/>
              </w:rPr>
            </w:pPr>
            <w:r w:rsidRPr="00817B92">
              <w:rPr>
                <w:rFonts w:eastAsia="Cambria"/>
                <w:b/>
                <w:bCs/>
                <w:sz w:val="20"/>
                <w:szCs w:val="20"/>
                <w:lang w:val="en-GB" w:eastAsia="en-US"/>
              </w:rPr>
              <w:t>Section</w:t>
            </w:r>
          </w:p>
        </w:tc>
        <w:tc>
          <w:tcPr>
            <w:tcW w:w="5888" w:type="dxa"/>
            <w:tcBorders>
              <w:top w:val="single" w:sz="4" w:space="0" w:color="auto"/>
              <w:bottom w:val="single" w:sz="6" w:space="0" w:color="7F7F7F"/>
            </w:tcBorders>
            <w:shd w:val="clear" w:color="auto" w:fill="auto"/>
          </w:tcPr>
          <w:p w14:paraId="5A682768" w14:textId="77777777" w:rsidR="00817B92" w:rsidRPr="00817B92" w:rsidRDefault="00817B92" w:rsidP="00426603">
            <w:pPr>
              <w:spacing w:beforeLines="40" w:before="96" w:afterLines="40" w:after="96" w:line="24" w:lineRule="atLeast"/>
              <w:rPr>
                <w:rFonts w:eastAsia="Cambria"/>
                <w:b/>
                <w:bCs/>
                <w:sz w:val="20"/>
                <w:szCs w:val="20"/>
                <w:lang w:val="en-GB" w:eastAsia="en-US"/>
              </w:rPr>
            </w:pPr>
            <w:r w:rsidRPr="00817B92">
              <w:rPr>
                <w:rFonts w:eastAsia="Cambria"/>
                <w:b/>
                <w:bCs/>
                <w:sz w:val="20"/>
                <w:szCs w:val="20"/>
                <w:lang w:val="en-GB" w:eastAsia="en-US"/>
              </w:rPr>
              <w:t xml:space="preserve">Checklist item </w:t>
            </w:r>
          </w:p>
        </w:tc>
        <w:tc>
          <w:tcPr>
            <w:tcW w:w="5472" w:type="dxa"/>
            <w:tcBorders>
              <w:top w:val="single" w:sz="4" w:space="0" w:color="auto"/>
              <w:bottom w:val="single" w:sz="6" w:space="0" w:color="7F7F7F"/>
            </w:tcBorders>
          </w:tcPr>
          <w:p w14:paraId="3B169EDD" w14:textId="040F4512" w:rsidR="00817B92" w:rsidRPr="00817B92" w:rsidRDefault="00817B92" w:rsidP="00426603">
            <w:pPr>
              <w:spacing w:beforeLines="40" w:before="96" w:afterLines="40" w:after="96" w:line="24" w:lineRule="atLeast"/>
              <w:rPr>
                <w:rFonts w:eastAsia="Cambria"/>
                <w:b/>
                <w:bCs/>
                <w:sz w:val="20"/>
                <w:szCs w:val="20"/>
                <w:lang w:val="en-GB" w:eastAsia="en-US"/>
              </w:rPr>
            </w:pPr>
            <w:r w:rsidRPr="00817B92">
              <w:rPr>
                <w:rFonts w:eastAsia="Cambria"/>
                <w:b/>
                <w:bCs/>
                <w:sz w:val="20"/>
                <w:szCs w:val="20"/>
                <w:lang w:val="en-GB" w:eastAsia="en-US"/>
              </w:rPr>
              <w:t>Relevant text from manuscript</w:t>
            </w:r>
          </w:p>
        </w:tc>
      </w:tr>
      <w:tr w:rsidR="00817B92" w:rsidRPr="00817B92" w14:paraId="6D71F361" w14:textId="15A67F44" w:rsidTr="00817B92">
        <w:tc>
          <w:tcPr>
            <w:tcW w:w="587" w:type="dxa"/>
            <w:tcBorders>
              <w:top w:val="single" w:sz="6" w:space="0" w:color="7F7F7F"/>
              <w:bottom w:val="single" w:sz="6" w:space="0" w:color="7F7F7F"/>
            </w:tcBorders>
            <w:shd w:val="clear" w:color="auto" w:fill="EEEEEE"/>
          </w:tcPr>
          <w:p w14:paraId="25A8835C"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1</w:t>
            </w:r>
          </w:p>
        </w:tc>
        <w:tc>
          <w:tcPr>
            <w:tcW w:w="1796" w:type="dxa"/>
            <w:tcBorders>
              <w:top w:val="single" w:sz="6" w:space="0" w:color="7F7F7F"/>
              <w:bottom w:val="single" w:sz="6" w:space="0" w:color="7F7F7F"/>
            </w:tcBorders>
            <w:shd w:val="clear" w:color="auto" w:fill="EEEEEE"/>
          </w:tcPr>
          <w:p w14:paraId="4CC4316B"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TITLE and ABSTRACT</w:t>
            </w:r>
          </w:p>
        </w:tc>
        <w:tc>
          <w:tcPr>
            <w:tcW w:w="5888" w:type="dxa"/>
            <w:tcBorders>
              <w:top w:val="single" w:sz="6" w:space="0" w:color="7F7F7F"/>
              <w:bottom w:val="single" w:sz="6" w:space="0" w:color="7F7F7F"/>
            </w:tcBorders>
            <w:shd w:val="clear" w:color="auto" w:fill="EEEEEE"/>
          </w:tcPr>
          <w:p w14:paraId="1DA8BD46" w14:textId="22BBD1AD" w:rsidR="00817B92" w:rsidRPr="00817B92" w:rsidRDefault="00817B92" w:rsidP="006912BF">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Indicate Mendelian randomization (MR) as the study’s design in the title and/or the abstract if that is a main purpose of the study</w:t>
            </w:r>
          </w:p>
        </w:tc>
        <w:tc>
          <w:tcPr>
            <w:tcW w:w="5472" w:type="dxa"/>
            <w:tcBorders>
              <w:top w:val="single" w:sz="6" w:space="0" w:color="7F7F7F"/>
              <w:bottom w:val="single" w:sz="6" w:space="0" w:color="7F7F7F"/>
            </w:tcBorders>
            <w:shd w:val="clear" w:color="auto" w:fill="EEEEEE"/>
          </w:tcPr>
          <w:p w14:paraId="2F6D1FAF" w14:textId="7B8D9830"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Genetically Predicted the Causal Relationship Between Gut Microbiota and the Risk of Polymyositis/Dermatomyositis: A Mendelian Randomization Analysis</w:t>
            </w:r>
          </w:p>
        </w:tc>
      </w:tr>
      <w:tr w:rsidR="00817B92" w:rsidRPr="00817B92" w14:paraId="641E6A58" w14:textId="3A4EC1CE" w:rsidTr="00817B92">
        <w:tc>
          <w:tcPr>
            <w:tcW w:w="587" w:type="dxa"/>
            <w:tcBorders>
              <w:top w:val="single" w:sz="6" w:space="0" w:color="7F7F7F"/>
            </w:tcBorders>
            <w:shd w:val="clear" w:color="auto" w:fill="auto"/>
          </w:tcPr>
          <w:p w14:paraId="4792BEFB"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p>
        </w:tc>
        <w:tc>
          <w:tcPr>
            <w:tcW w:w="1796" w:type="dxa"/>
            <w:tcBorders>
              <w:top w:val="single" w:sz="6" w:space="0" w:color="7F7F7F"/>
            </w:tcBorders>
            <w:shd w:val="clear" w:color="auto" w:fill="auto"/>
          </w:tcPr>
          <w:p w14:paraId="63B58F01"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INTRODUCTION</w:t>
            </w:r>
          </w:p>
        </w:tc>
        <w:tc>
          <w:tcPr>
            <w:tcW w:w="5888" w:type="dxa"/>
            <w:tcBorders>
              <w:top w:val="single" w:sz="6" w:space="0" w:color="7F7F7F"/>
            </w:tcBorders>
            <w:shd w:val="clear" w:color="auto" w:fill="auto"/>
          </w:tcPr>
          <w:p w14:paraId="473C01D0"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tcBorders>
              <w:top w:val="single" w:sz="6" w:space="0" w:color="7F7F7F"/>
            </w:tcBorders>
          </w:tcPr>
          <w:p w14:paraId="7A6DC6E9" w14:textId="77777777" w:rsidR="00817B92" w:rsidRPr="00817B92" w:rsidRDefault="00817B92" w:rsidP="00426603">
            <w:pPr>
              <w:spacing w:beforeLines="40" w:before="96" w:afterLines="40" w:after="96" w:line="24" w:lineRule="atLeast"/>
              <w:rPr>
                <w:rFonts w:eastAsia="Cambria"/>
                <w:sz w:val="20"/>
                <w:szCs w:val="20"/>
                <w:lang w:val="en-GB" w:eastAsia="en-US"/>
              </w:rPr>
            </w:pPr>
          </w:p>
        </w:tc>
      </w:tr>
      <w:tr w:rsidR="00817B92" w:rsidRPr="00817B92" w14:paraId="7DB622D8" w14:textId="3921B7E8" w:rsidTr="00817B92">
        <w:tc>
          <w:tcPr>
            <w:tcW w:w="587" w:type="dxa"/>
            <w:shd w:val="clear" w:color="auto" w:fill="EEEEEE"/>
          </w:tcPr>
          <w:p w14:paraId="7DE28D61"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2</w:t>
            </w:r>
          </w:p>
        </w:tc>
        <w:tc>
          <w:tcPr>
            <w:tcW w:w="1796" w:type="dxa"/>
            <w:shd w:val="clear" w:color="auto" w:fill="EEEEEE"/>
          </w:tcPr>
          <w:p w14:paraId="7756B327"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Background</w:t>
            </w:r>
          </w:p>
        </w:tc>
        <w:tc>
          <w:tcPr>
            <w:tcW w:w="5888" w:type="dxa"/>
            <w:shd w:val="clear" w:color="auto" w:fill="EEEEEE"/>
          </w:tcPr>
          <w:p w14:paraId="5423D52E" w14:textId="5998ED56"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Explain the scientific background and rationale for the reported study. What is the exposure? Is a potential causal relationship between exposure and outcome plausible? Justify why MR is a helpful method to address the study question</w:t>
            </w:r>
          </w:p>
        </w:tc>
        <w:tc>
          <w:tcPr>
            <w:tcW w:w="5472" w:type="dxa"/>
            <w:shd w:val="clear" w:color="auto" w:fill="EEEEEE"/>
          </w:tcPr>
          <w:p w14:paraId="5D990A22" w14:textId="2BA2C6C8" w:rsidR="00817B92" w:rsidRPr="00817B92" w:rsidRDefault="00817B92" w:rsidP="00426603">
            <w:pPr>
              <w:spacing w:beforeLines="40" w:before="96" w:afterLines="40" w:after="96" w:line="24" w:lineRule="atLeast"/>
              <w:rPr>
                <w:rFonts w:eastAsiaTheme="minorEastAsia"/>
                <w:color w:val="2A2B2E"/>
                <w:sz w:val="20"/>
                <w:szCs w:val="20"/>
                <w:lang w:eastAsia="zh-CN"/>
              </w:rPr>
            </w:pPr>
            <w:r w:rsidRPr="00817B92">
              <w:rPr>
                <w:sz w:val="20"/>
                <w:szCs w:val="20"/>
              </w:rPr>
              <w:t xml:space="preserve">To address the need for causal inference and identify the primary influencing factors within the gut microbiome, we conducted a Mendelian randomization (MR) analysis. MR analysis was employed as a driving force for further research to meet the need for causal inference and to identify key factors influencing the gut microbiome. </w:t>
            </w:r>
            <w:r w:rsidRPr="00817B92">
              <w:rPr>
                <w:color w:val="2A2B2E"/>
                <w:sz w:val="20"/>
                <w:szCs w:val="20"/>
              </w:rPr>
              <w:t>By utilizing genetic instruments to minimize confounding factors, MR analysis enables the assessment of causal effects and aims to uncover the potential relationship between gut microbiota and Polymyositis (PM) and dermatomyositis (DM). This analysis furthers understanding of the role of gut flora in PM/DM by identifying relevant gut microbes to facilitate early disease screening, implementation of interventions, and personalized healthcare.</w:t>
            </w:r>
            <w:r w:rsidRPr="00817B92">
              <w:rPr>
                <w:rFonts w:eastAsiaTheme="minorEastAsia"/>
                <w:color w:val="2A2B2E"/>
                <w:sz w:val="20"/>
                <w:szCs w:val="20"/>
                <w:lang w:eastAsia="zh-CN"/>
              </w:rPr>
              <w:t xml:space="preserve"> </w:t>
            </w:r>
            <w:r w:rsidRPr="00817B92">
              <w:rPr>
                <w:color w:val="2A2B2E"/>
                <w:sz w:val="20"/>
                <w:szCs w:val="20"/>
              </w:rPr>
              <w:t>Previous observational studies have emphasized the link between reduced microbial diversity and DM, but a causal relationship has not been established. In addition, there is a dearth of research on the key gut microbiota that may impact the development of PM. This study aims to elucidate the specific gut microflora that</w:t>
            </w:r>
            <w:r w:rsidRPr="00817B92">
              <w:rPr>
                <w:rFonts w:eastAsiaTheme="minorEastAsia"/>
                <w:color w:val="2A2B2E"/>
                <w:sz w:val="20"/>
                <w:szCs w:val="20"/>
                <w:lang w:eastAsia="zh-CN"/>
              </w:rPr>
              <w:t xml:space="preserve"> </w:t>
            </w:r>
            <w:r w:rsidRPr="00817B92">
              <w:rPr>
                <w:color w:val="2A2B2E"/>
                <w:sz w:val="20"/>
                <w:szCs w:val="20"/>
              </w:rPr>
              <w:t>potentially contribute to the onset of PM/DM and assess their potential as novel targets for treatment.</w:t>
            </w:r>
          </w:p>
        </w:tc>
      </w:tr>
      <w:tr w:rsidR="00817B92" w:rsidRPr="00817B92" w14:paraId="7907A3D3" w14:textId="5AB948A7" w:rsidTr="00817B92">
        <w:tc>
          <w:tcPr>
            <w:tcW w:w="587" w:type="dxa"/>
            <w:tcBorders>
              <w:bottom w:val="single" w:sz="6" w:space="0" w:color="7F7F7F"/>
            </w:tcBorders>
            <w:shd w:val="clear" w:color="auto" w:fill="auto"/>
          </w:tcPr>
          <w:p w14:paraId="4F63B034"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3</w:t>
            </w:r>
          </w:p>
        </w:tc>
        <w:tc>
          <w:tcPr>
            <w:tcW w:w="1796" w:type="dxa"/>
            <w:tcBorders>
              <w:bottom w:val="single" w:sz="6" w:space="0" w:color="7F7F7F"/>
            </w:tcBorders>
            <w:shd w:val="clear" w:color="auto" w:fill="auto"/>
          </w:tcPr>
          <w:p w14:paraId="3E6B9EEC"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Objectives</w:t>
            </w:r>
          </w:p>
        </w:tc>
        <w:tc>
          <w:tcPr>
            <w:tcW w:w="5888" w:type="dxa"/>
            <w:tcBorders>
              <w:bottom w:val="single" w:sz="6" w:space="0" w:color="7F7F7F"/>
            </w:tcBorders>
            <w:shd w:val="clear" w:color="auto" w:fill="auto"/>
          </w:tcPr>
          <w:p w14:paraId="41BC8A04"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State specific objectives clearly, including pre-specified causal hypotheses (if any). State that MR is a method that, under specific assumptions, intends to estimate causal effects</w:t>
            </w:r>
          </w:p>
        </w:tc>
        <w:tc>
          <w:tcPr>
            <w:tcW w:w="5472" w:type="dxa"/>
            <w:tcBorders>
              <w:bottom w:val="single" w:sz="6" w:space="0" w:color="7F7F7F"/>
            </w:tcBorders>
          </w:tcPr>
          <w:p w14:paraId="11250836" w14:textId="41DA75EF" w:rsidR="00817B92" w:rsidRPr="00817B92" w:rsidRDefault="00817B92" w:rsidP="00617DDB">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MR analysis enables the assessment of causal effects and aims to uncover the potential relationship between gut microbiota and Polymyositis (PM) and dermatomyositis (DM).</w:t>
            </w:r>
          </w:p>
        </w:tc>
      </w:tr>
      <w:tr w:rsidR="00817B92" w:rsidRPr="00817B92" w14:paraId="59599383" w14:textId="2880B554" w:rsidTr="00817B92">
        <w:tc>
          <w:tcPr>
            <w:tcW w:w="587" w:type="dxa"/>
            <w:tcBorders>
              <w:top w:val="single" w:sz="6" w:space="0" w:color="7F7F7F"/>
            </w:tcBorders>
            <w:shd w:val="clear" w:color="auto" w:fill="EEEEEE"/>
          </w:tcPr>
          <w:p w14:paraId="3524D6D4"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p>
        </w:tc>
        <w:tc>
          <w:tcPr>
            <w:tcW w:w="1796" w:type="dxa"/>
            <w:tcBorders>
              <w:top w:val="single" w:sz="6" w:space="0" w:color="7F7F7F"/>
            </w:tcBorders>
            <w:shd w:val="clear" w:color="auto" w:fill="EEEEEE"/>
          </w:tcPr>
          <w:p w14:paraId="6152628C"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METHODS</w:t>
            </w:r>
          </w:p>
        </w:tc>
        <w:tc>
          <w:tcPr>
            <w:tcW w:w="5888" w:type="dxa"/>
            <w:tcBorders>
              <w:top w:val="single" w:sz="6" w:space="0" w:color="7F7F7F"/>
            </w:tcBorders>
            <w:shd w:val="clear" w:color="auto" w:fill="EEEEEE"/>
          </w:tcPr>
          <w:p w14:paraId="309B8567"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tcBorders>
              <w:top w:val="single" w:sz="6" w:space="0" w:color="7F7F7F"/>
            </w:tcBorders>
            <w:shd w:val="clear" w:color="auto" w:fill="EEEEEE"/>
          </w:tcPr>
          <w:p w14:paraId="6CB9315A" w14:textId="77777777" w:rsidR="00817B92" w:rsidRPr="00817B92" w:rsidRDefault="00817B92" w:rsidP="00426603">
            <w:pPr>
              <w:spacing w:beforeLines="40" w:before="96" w:afterLines="40" w:after="96" w:line="24" w:lineRule="atLeast"/>
              <w:rPr>
                <w:rFonts w:eastAsia="Cambria"/>
                <w:sz w:val="20"/>
                <w:szCs w:val="20"/>
                <w:lang w:val="en-GB" w:eastAsia="en-US"/>
              </w:rPr>
            </w:pPr>
          </w:p>
        </w:tc>
      </w:tr>
      <w:tr w:rsidR="00817B92" w:rsidRPr="00817B92" w14:paraId="6440155E" w14:textId="16610A1F" w:rsidTr="00817B92">
        <w:tc>
          <w:tcPr>
            <w:tcW w:w="587" w:type="dxa"/>
            <w:shd w:val="clear" w:color="auto" w:fill="auto"/>
          </w:tcPr>
          <w:p w14:paraId="5C7CF349"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4</w:t>
            </w:r>
          </w:p>
        </w:tc>
        <w:tc>
          <w:tcPr>
            <w:tcW w:w="1796" w:type="dxa"/>
            <w:shd w:val="clear" w:color="auto" w:fill="auto"/>
          </w:tcPr>
          <w:p w14:paraId="408E2A89"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Study design and data sources</w:t>
            </w:r>
          </w:p>
        </w:tc>
        <w:tc>
          <w:tcPr>
            <w:tcW w:w="5888" w:type="dxa"/>
            <w:shd w:val="clear" w:color="auto" w:fill="auto"/>
          </w:tcPr>
          <w:p w14:paraId="29029CA4"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 xml:space="preserve">Present key elements of the study design early in the article. Consider including a table listing sources of data for all phases </w:t>
            </w:r>
            <w:r w:rsidRPr="00817B92">
              <w:rPr>
                <w:rFonts w:eastAsia="Times New Roman"/>
                <w:sz w:val="20"/>
                <w:szCs w:val="20"/>
                <w:lang w:val="en-GB" w:eastAsia="en-GB"/>
              </w:rPr>
              <w:lastRenderedPageBreak/>
              <w:t>of the study. For each data source contributing to the analysis, describe the following: </w:t>
            </w:r>
          </w:p>
        </w:tc>
        <w:tc>
          <w:tcPr>
            <w:tcW w:w="5472" w:type="dxa"/>
          </w:tcPr>
          <w:p w14:paraId="4F3AC435" w14:textId="77777777" w:rsidR="00817B92" w:rsidRPr="00817B92" w:rsidRDefault="00817B92" w:rsidP="00426603">
            <w:pPr>
              <w:spacing w:beforeLines="40" w:before="96" w:afterLines="40" w:after="96" w:line="24" w:lineRule="atLeast"/>
              <w:rPr>
                <w:rFonts w:eastAsiaTheme="minorEastAsia"/>
                <w:sz w:val="20"/>
                <w:szCs w:val="20"/>
                <w:lang w:eastAsia="zh-CN"/>
              </w:rPr>
            </w:pPr>
            <w:r w:rsidRPr="00817B92">
              <w:rPr>
                <w:rFonts w:eastAsia="Cambria"/>
                <w:color w:val="212121"/>
                <w:sz w:val="20"/>
                <w:szCs w:val="20"/>
                <w:shd w:val="clear" w:color="auto" w:fill="FFFFFF"/>
              </w:rPr>
              <w:lastRenderedPageBreak/>
              <w:t>This study</w:t>
            </w:r>
            <w:r w:rsidRPr="00817B92">
              <w:rPr>
                <w:sz w:val="20"/>
                <w:szCs w:val="20"/>
              </w:rPr>
              <w:t xml:space="preserve"> employs</w:t>
            </w:r>
            <w:r w:rsidRPr="00817B92">
              <w:rPr>
                <w:rFonts w:eastAsia="Cambria"/>
                <w:color w:val="212121"/>
                <w:sz w:val="20"/>
                <w:szCs w:val="20"/>
                <w:shd w:val="clear" w:color="auto" w:fill="FFFFFF"/>
              </w:rPr>
              <w:t xml:space="preserve"> a two-sample Mendelian randomization (MR) analysis</w:t>
            </w:r>
            <w:r w:rsidRPr="00817B92">
              <w:rPr>
                <w:sz w:val="20"/>
                <w:szCs w:val="20"/>
              </w:rPr>
              <w:t>, utilizing summary statistics from</w:t>
            </w:r>
            <w:r w:rsidRPr="00817B92">
              <w:rPr>
                <w:rFonts w:eastAsia="Cambria"/>
                <w:color w:val="212121"/>
                <w:sz w:val="20"/>
                <w:szCs w:val="20"/>
                <w:shd w:val="clear" w:color="auto" w:fill="FFFFFF"/>
              </w:rPr>
              <w:t xml:space="preserve"> Genome </w:t>
            </w:r>
            <w:r w:rsidRPr="00817B92">
              <w:rPr>
                <w:rFonts w:eastAsia="Cambria"/>
                <w:color w:val="212121"/>
                <w:sz w:val="20"/>
                <w:szCs w:val="20"/>
                <w:shd w:val="clear" w:color="auto" w:fill="FFFFFF"/>
              </w:rPr>
              <w:lastRenderedPageBreak/>
              <w:t>Wide Association Studies (GWAS), to explore the</w:t>
            </w:r>
            <w:r w:rsidRPr="00817B92">
              <w:rPr>
                <w:sz w:val="20"/>
                <w:szCs w:val="20"/>
              </w:rPr>
              <w:t xml:space="preserve"> potential</w:t>
            </w:r>
            <w:r w:rsidRPr="00817B92">
              <w:rPr>
                <w:rFonts w:eastAsia="Cambria"/>
                <w:color w:val="212121"/>
                <w:sz w:val="20"/>
                <w:szCs w:val="20"/>
                <w:shd w:val="clear" w:color="auto" w:fill="FFFFFF"/>
              </w:rPr>
              <w:t xml:space="preserve"> causal effect of gut microbiota on PM and DM.</w:t>
            </w:r>
            <w:r w:rsidRPr="00817B92">
              <w:rPr>
                <w:rFonts w:eastAsia="SimSun"/>
                <w:color w:val="212121"/>
                <w:sz w:val="20"/>
                <w:szCs w:val="20"/>
                <w:shd w:val="clear" w:color="auto" w:fill="FFFFFF"/>
              </w:rPr>
              <w:t xml:space="preserve"> </w:t>
            </w:r>
            <w:bookmarkStart w:id="0" w:name="_Hlk147776585"/>
            <w:r w:rsidRPr="00817B92">
              <w:rPr>
                <w:rFonts w:eastAsia="Cambria"/>
                <w:color w:val="212121"/>
                <w:sz w:val="20"/>
                <w:szCs w:val="20"/>
                <w:shd w:val="clear" w:color="auto" w:fill="FFFFFF"/>
              </w:rPr>
              <w:t>Single nucleotide polymorphisms</w:t>
            </w:r>
            <w:bookmarkEnd w:id="0"/>
            <w:r w:rsidRPr="00817B92">
              <w:rPr>
                <w:rFonts w:eastAsia="Cambria"/>
                <w:color w:val="212121"/>
                <w:sz w:val="20"/>
                <w:szCs w:val="20"/>
                <w:shd w:val="clear" w:color="auto" w:fill="FFFFFF"/>
              </w:rPr>
              <w:t xml:space="preserve"> (</w:t>
            </w:r>
            <w:bookmarkStart w:id="1" w:name="_Hlk147776572"/>
            <w:r w:rsidRPr="00817B92">
              <w:rPr>
                <w:rFonts w:eastAsia="Cambria"/>
                <w:color w:val="212121"/>
                <w:sz w:val="20"/>
                <w:szCs w:val="20"/>
                <w:shd w:val="clear" w:color="auto" w:fill="FFFFFF"/>
              </w:rPr>
              <w:t>SNPs</w:t>
            </w:r>
            <w:bookmarkEnd w:id="1"/>
            <w:r w:rsidRPr="00817B92">
              <w:rPr>
                <w:rFonts w:eastAsia="Cambria"/>
                <w:color w:val="212121"/>
                <w:sz w:val="20"/>
                <w:szCs w:val="20"/>
                <w:shd w:val="clear" w:color="auto" w:fill="FFFFFF"/>
              </w:rPr>
              <w:t xml:space="preserve">) significantly associated with the gut microbiota were selected as </w:t>
            </w:r>
            <w:bookmarkStart w:id="2" w:name="_Hlk147776631"/>
            <w:r w:rsidRPr="00817B92">
              <w:rPr>
                <w:rFonts w:eastAsia="Cambria"/>
                <w:color w:val="212121"/>
                <w:sz w:val="20"/>
                <w:szCs w:val="20"/>
                <w:shd w:val="clear" w:color="auto" w:fill="FFFFFF"/>
              </w:rPr>
              <w:t>instrumental variables</w:t>
            </w:r>
            <w:bookmarkEnd w:id="2"/>
            <w:r w:rsidRPr="00817B92">
              <w:rPr>
                <w:rFonts w:eastAsia="Cambria"/>
                <w:color w:val="212121"/>
                <w:sz w:val="20"/>
                <w:szCs w:val="20"/>
                <w:shd w:val="clear" w:color="auto" w:fill="FFFFFF"/>
              </w:rPr>
              <w:t xml:space="preserve"> (</w:t>
            </w:r>
            <w:bookmarkStart w:id="3" w:name="_Hlk147776622"/>
            <w:r w:rsidRPr="00817B92">
              <w:rPr>
                <w:rFonts w:eastAsia="Cambria"/>
                <w:color w:val="212121"/>
                <w:sz w:val="20"/>
                <w:szCs w:val="20"/>
                <w:shd w:val="clear" w:color="auto" w:fill="FFFFFF"/>
              </w:rPr>
              <w:t>IVs</w:t>
            </w:r>
            <w:bookmarkEnd w:id="3"/>
            <w:r w:rsidRPr="00817B92">
              <w:rPr>
                <w:rFonts w:eastAsia="Cambria"/>
                <w:color w:val="212121"/>
                <w:sz w:val="20"/>
                <w:szCs w:val="20"/>
                <w:shd w:val="clear" w:color="auto" w:fill="FFFFFF"/>
              </w:rPr>
              <w:t>), and three assumptions were made to ensure accuracy</w:t>
            </w:r>
            <w:r w:rsidRPr="00817B92">
              <w:rPr>
                <w:rFonts w:eastAsia="SimSun"/>
                <w:color w:val="212121"/>
                <w:sz w:val="20"/>
                <w:szCs w:val="20"/>
                <w:shd w:val="clear" w:color="auto" w:fill="FFFFFF"/>
              </w:rPr>
              <w:t>. First, the genetic variants selected as IVs should be significantly associated with gut microbiota. Second, IVs should not be associated with any confounding factors. Third, IVs should affect the risk of PM and DM only through gut microbiota.</w:t>
            </w:r>
            <w:r w:rsidRPr="00817B92">
              <w:rPr>
                <w:sz w:val="20"/>
                <w:szCs w:val="20"/>
              </w:rPr>
              <w:t xml:space="preserve"> A series of sensitivity analyses were then conducted for significant associations.</w:t>
            </w:r>
          </w:p>
          <w:p w14:paraId="4574B4B3" w14:textId="57F382EA" w:rsidR="00817B92" w:rsidRPr="00817B92" w:rsidRDefault="00817B92" w:rsidP="00F00987">
            <w:pPr>
              <w:rPr>
                <w:rFonts w:eastAsia="Cambria"/>
                <w:color w:val="212121"/>
                <w:sz w:val="20"/>
                <w:szCs w:val="20"/>
                <w:shd w:val="clear" w:color="auto" w:fill="FFFFFF"/>
              </w:rPr>
            </w:pPr>
            <w:r w:rsidRPr="00817B92">
              <w:rPr>
                <w:rFonts w:eastAsia="Cambria"/>
                <w:color w:val="212121"/>
                <w:sz w:val="20"/>
                <w:szCs w:val="20"/>
                <w:shd w:val="clear" w:color="auto" w:fill="FFFFFF"/>
              </w:rPr>
              <w:t>Summary statistics of the gut microbiota were obtained from a large-scale multi-ethnic GWAS meta-analysis, involving 183</w:t>
            </w:r>
            <w:r w:rsidRPr="00817B92">
              <w:rPr>
                <w:color w:val="212121"/>
                <w:sz w:val="20"/>
                <w:szCs w:val="20"/>
                <w:shd w:val="clear" w:color="auto" w:fill="FFFFFF"/>
              </w:rPr>
              <w:t>40</w:t>
            </w:r>
            <w:r w:rsidRPr="00817B92">
              <w:rPr>
                <w:rFonts w:eastAsia="Cambria"/>
                <w:color w:val="212121"/>
                <w:sz w:val="20"/>
                <w:szCs w:val="20"/>
                <w:shd w:val="clear" w:color="auto" w:fill="FFFFFF"/>
              </w:rPr>
              <w:t xml:space="preserve"> individuals from 24 cohorts, most of which were of European ancestry. Genus-level taxa were analyzed, with a total of 131 genera showing an average abundance greater than 1%. However, 12 of these genera were unknown, leaving 119 genus-level taxa included in this study. Covariate adjustments were made for gender, age, technical covariates, and genetic principal components using Spearman correlation analysis.</w:t>
            </w:r>
          </w:p>
          <w:p w14:paraId="23CE0AC6" w14:textId="46726E18" w:rsidR="00817B92" w:rsidRPr="00817B92" w:rsidRDefault="00817B92" w:rsidP="00F00987">
            <w:pPr>
              <w:rPr>
                <w:rFonts w:eastAsiaTheme="minorEastAsia"/>
                <w:color w:val="212121"/>
                <w:sz w:val="20"/>
                <w:szCs w:val="20"/>
                <w:shd w:val="clear" w:color="auto" w:fill="FFFFFF"/>
                <w:lang w:eastAsia="zh-CN"/>
              </w:rPr>
            </w:pPr>
            <w:r w:rsidRPr="00817B92">
              <w:rPr>
                <w:rFonts w:eastAsia="Cambria"/>
                <w:color w:val="212121"/>
                <w:sz w:val="20"/>
                <w:szCs w:val="20"/>
                <w:shd w:val="clear" w:color="auto" w:fill="FFFFFF"/>
              </w:rPr>
              <w:t>The outcome datasets were extracted from the large publicly available GWAS analysis.</w:t>
            </w:r>
            <w:r w:rsidRPr="00817B92">
              <w:rPr>
                <w:color w:val="212121"/>
                <w:sz w:val="20"/>
                <w:szCs w:val="20"/>
                <w:shd w:val="clear" w:color="auto" w:fill="FFFFFF"/>
              </w:rPr>
              <w:t xml:space="preserve"> </w:t>
            </w:r>
            <w:r w:rsidRPr="00817B92">
              <w:rPr>
                <w:rFonts w:eastAsia="Cambria"/>
                <w:color w:val="212121"/>
                <w:sz w:val="20"/>
                <w:szCs w:val="20"/>
                <w:shd w:val="clear" w:color="auto" w:fill="FFFFFF"/>
              </w:rPr>
              <w:t>Summary data for DM were obtained from a GWAS study of European ancestry, including 208 cases and 213,145 controls. For polymyositis (PM), the study included 119 cases and 213,145 controls.</w:t>
            </w:r>
          </w:p>
        </w:tc>
      </w:tr>
      <w:tr w:rsidR="00817B92" w:rsidRPr="00817B92" w14:paraId="47D5AE21" w14:textId="3CA8D4AF" w:rsidTr="00817B92">
        <w:tc>
          <w:tcPr>
            <w:tcW w:w="587" w:type="dxa"/>
            <w:shd w:val="clear" w:color="auto" w:fill="EEEEEE"/>
          </w:tcPr>
          <w:p w14:paraId="0980B688"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29E72ACB"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a)</w:t>
            </w:r>
          </w:p>
        </w:tc>
        <w:tc>
          <w:tcPr>
            <w:tcW w:w="5888" w:type="dxa"/>
            <w:shd w:val="clear" w:color="auto" w:fill="EEEEEE"/>
          </w:tcPr>
          <w:p w14:paraId="246167BE"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shd w:val="clear" w:color="auto" w:fill="FFFFFF"/>
                <w:lang w:val="en-GB" w:eastAsia="en-GB"/>
              </w:rPr>
              <w:t xml:space="preserve">Setting: </w:t>
            </w:r>
            <w:r w:rsidRPr="00817B92">
              <w:rPr>
                <w:rFonts w:eastAsia="Times New Roman"/>
                <w:sz w:val="20"/>
                <w:szCs w:val="20"/>
                <w:lang w:val="en-GB" w:eastAsia="en-GB"/>
              </w:rPr>
              <w:t xml:space="preserve">Describe the study design and the underlying population, if possible. </w:t>
            </w:r>
            <w:r w:rsidRPr="00817B92">
              <w:rPr>
                <w:rFonts w:eastAsia="Times New Roman"/>
                <w:sz w:val="20"/>
                <w:szCs w:val="20"/>
                <w:shd w:val="clear" w:color="auto" w:fill="FFFFFF"/>
                <w:lang w:val="en-GB" w:eastAsia="en-GB"/>
              </w:rPr>
              <w:t xml:space="preserve">Describe the setting, locations, and relevant dates, including periods </w:t>
            </w:r>
            <w:r w:rsidRPr="00817B92">
              <w:rPr>
                <w:rFonts w:eastAsia="Times New Roman"/>
                <w:color w:val="000000"/>
                <w:sz w:val="20"/>
                <w:szCs w:val="20"/>
                <w:shd w:val="clear" w:color="auto" w:fill="FFFFFF"/>
                <w:lang w:val="en-GB" w:eastAsia="en-GB"/>
              </w:rPr>
              <w:t>of recruitment, exposure, follow-up, and data collection, when available.</w:t>
            </w:r>
          </w:p>
        </w:tc>
        <w:tc>
          <w:tcPr>
            <w:tcW w:w="5472" w:type="dxa"/>
            <w:shd w:val="clear" w:color="auto" w:fill="EEEEEE"/>
          </w:tcPr>
          <w:p w14:paraId="33F4171D" w14:textId="5176634F" w:rsidR="00817B92" w:rsidRPr="00817B92" w:rsidRDefault="00817B92" w:rsidP="00817B92">
            <w:pPr>
              <w:widowControl w:val="0"/>
              <w:spacing w:line="240" w:lineRule="auto"/>
              <w:jc w:val="both"/>
              <w:rPr>
                <w:rFonts w:eastAsia="DengXian"/>
                <w:kern w:val="2"/>
                <w:sz w:val="20"/>
                <w:szCs w:val="20"/>
                <w:lang w:val="en-US" w:eastAsia="zh-CN"/>
              </w:rPr>
            </w:pPr>
            <w:r w:rsidRPr="00817B92">
              <w:rPr>
                <w:rFonts w:eastAsia="DengXian"/>
                <w:kern w:val="2"/>
                <w:sz w:val="20"/>
                <w:szCs w:val="20"/>
                <w:lang w:val="en-US" w:eastAsia="zh-CN"/>
              </w:rPr>
              <w:t>Prior to the MR analysis, a rigorous screening process was conducted to ensure the reliability of the SNPs and meet the assumptions of MR analysis. The IVs were selected based on SNPs associated with gut microbiota at a genome-wide significance level (p&lt;1 × 10</w:t>
            </w:r>
            <w:r w:rsidRPr="00817B92">
              <w:rPr>
                <w:rFonts w:eastAsia="DengXian"/>
                <w:kern w:val="2"/>
                <w:sz w:val="20"/>
                <w:szCs w:val="20"/>
                <w:vertAlign w:val="superscript"/>
                <w:lang w:val="en-US" w:eastAsia="zh-CN"/>
              </w:rPr>
              <w:t>-5</w:t>
            </w:r>
            <w:r w:rsidRPr="00817B92">
              <w:rPr>
                <w:rFonts w:eastAsia="DengXian"/>
                <w:kern w:val="2"/>
                <w:sz w:val="20"/>
                <w:szCs w:val="20"/>
                <w:lang w:val="en-US" w:eastAsia="zh-CN"/>
              </w:rPr>
              <w:t xml:space="preserve">). A linkage disequilibrium (LD) aggregation threshold of r2 &lt; 0.001 was applied to remove correlated and dependent SNPs to ensure independence and validity. To assess potential confounding effects, the selected SNPs were evaluated for associations with other phenotypes using the publicly available </w:t>
            </w:r>
            <w:proofErr w:type="spellStart"/>
            <w:r w:rsidRPr="00817B92">
              <w:rPr>
                <w:rFonts w:eastAsia="DengXian"/>
                <w:kern w:val="2"/>
                <w:sz w:val="20"/>
                <w:szCs w:val="20"/>
                <w:lang w:val="en-US" w:eastAsia="zh-CN"/>
              </w:rPr>
              <w:t>PhenoScanner</w:t>
            </w:r>
            <w:proofErr w:type="spellEnd"/>
            <w:r w:rsidRPr="00817B92">
              <w:rPr>
                <w:rFonts w:eastAsia="DengXian"/>
                <w:kern w:val="2"/>
                <w:sz w:val="20"/>
                <w:szCs w:val="20"/>
                <w:lang w:val="en-US" w:eastAsia="zh-CN"/>
              </w:rPr>
              <w:t xml:space="preserve"> V2 (http://www.phenoscanner. medschl.cam.ac.uk). SNPs related to any potential confounders were removed at genome-wide significance. Additionally, only SNPs with consistent effect alleles between the exposure and outcome GWAS datasets were included, while those absent in the </w:t>
            </w:r>
            <w:r w:rsidRPr="00817B92">
              <w:rPr>
                <w:rFonts w:eastAsia="DengXian"/>
                <w:kern w:val="2"/>
                <w:sz w:val="20"/>
                <w:szCs w:val="20"/>
                <w:lang w:val="en-US" w:eastAsia="zh-CN"/>
              </w:rPr>
              <w:lastRenderedPageBreak/>
              <w:t>outcome GWAS were removed. In addition, to eliminate the bias of weak IVs, we calculated the F-statistic for SNPs using the following formula: F = r2(n-k-1)/[k(1-r2)]. the value of the F-statistic indicates the strength of the IV, and F-statistic &gt; 10 is a strong IV.</w:t>
            </w:r>
          </w:p>
        </w:tc>
      </w:tr>
      <w:tr w:rsidR="00817B92" w:rsidRPr="00817B92" w14:paraId="376A6F82" w14:textId="43693FDC" w:rsidTr="00817B92">
        <w:tc>
          <w:tcPr>
            <w:tcW w:w="587" w:type="dxa"/>
            <w:shd w:val="clear" w:color="auto" w:fill="auto"/>
          </w:tcPr>
          <w:p w14:paraId="6B85F41D"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0CF2EB5C"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b)</w:t>
            </w:r>
          </w:p>
        </w:tc>
        <w:tc>
          <w:tcPr>
            <w:tcW w:w="5888" w:type="dxa"/>
            <w:shd w:val="clear" w:color="auto" w:fill="auto"/>
          </w:tcPr>
          <w:p w14:paraId="5E3BCE69" w14:textId="77777777" w:rsidR="00817B92" w:rsidRPr="00817B92" w:rsidRDefault="00817B92" w:rsidP="00426603">
            <w:pPr>
              <w:spacing w:beforeLines="40" w:before="96" w:afterLines="40" w:after="96" w:line="24" w:lineRule="atLeast"/>
              <w:textAlignment w:val="baseline"/>
              <w:rPr>
                <w:rFonts w:eastAsia="Cambria"/>
                <w:sz w:val="20"/>
                <w:szCs w:val="20"/>
                <w:lang w:val="en-GB" w:eastAsia="en-US"/>
              </w:rPr>
            </w:pPr>
            <w:r w:rsidRPr="00817B92">
              <w:rPr>
                <w:rFonts w:eastAsia="Times New Roman"/>
                <w:sz w:val="20"/>
                <w:szCs w:val="20"/>
                <w:shd w:val="clear" w:color="auto" w:fill="FFFFFF"/>
                <w:lang w:val="en-GB" w:eastAsia="en-GB"/>
              </w:rPr>
              <w:t xml:space="preserve">Participants: Give the eligibility criteria, and the sources and methods of selection of participants. </w:t>
            </w:r>
            <w:r w:rsidRPr="00817B92">
              <w:rPr>
                <w:rFonts w:eastAsia="Times New Roman"/>
                <w:color w:val="000000"/>
                <w:sz w:val="20"/>
                <w:szCs w:val="20"/>
              </w:rPr>
              <w:t>Report the sample size, and whether any power or sample size calculations were carried out prior to the main analysis</w:t>
            </w:r>
            <w:r w:rsidRPr="00817B92">
              <w:rPr>
                <w:rFonts w:eastAsia="Times New Roman"/>
                <w:sz w:val="20"/>
                <w:szCs w:val="20"/>
                <w:lang w:val="en-GB" w:eastAsia="en-GB"/>
              </w:rPr>
              <w:t> </w:t>
            </w:r>
          </w:p>
        </w:tc>
        <w:tc>
          <w:tcPr>
            <w:tcW w:w="5472" w:type="dxa"/>
          </w:tcPr>
          <w:p w14:paraId="5E46B807" w14:textId="77777777" w:rsidR="00817B92" w:rsidRPr="00817B92" w:rsidRDefault="00817B92" w:rsidP="000C6160">
            <w:pPr>
              <w:spacing w:beforeLines="40" w:before="96" w:afterLines="40" w:after="96" w:line="24" w:lineRule="atLeast"/>
              <w:textAlignment w:val="baseline"/>
              <w:rPr>
                <w:rFonts w:eastAsiaTheme="minorEastAsia"/>
                <w:sz w:val="20"/>
                <w:szCs w:val="20"/>
                <w:shd w:val="clear" w:color="auto" w:fill="FFFFFF"/>
                <w:lang w:val="en-GB" w:eastAsia="zh-CN"/>
              </w:rPr>
            </w:pPr>
            <w:r w:rsidRPr="00817B92">
              <w:rPr>
                <w:rFonts w:eastAsia="Times New Roman"/>
                <w:sz w:val="20"/>
                <w:szCs w:val="20"/>
                <w:shd w:val="clear" w:color="auto" w:fill="FFFFFF"/>
                <w:lang w:val="en-GB" w:eastAsia="en-GB"/>
              </w:rPr>
              <w:t xml:space="preserve">Genus-level taxa were </w:t>
            </w:r>
            <w:proofErr w:type="spellStart"/>
            <w:r w:rsidRPr="00817B92">
              <w:rPr>
                <w:rFonts w:eastAsia="Times New Roman"/>
                <w:sz w:val="20"/>
                <w:szCs w:val="20"/>
                <w:shd w:val="clear" w:color="auto" w:fill="FFFFFF"/>
                <w:lang w:val="en-GB" w:eastAsia="en-GB"/>
              </w:rPr>
              <w:t>analyzed</w:t>
            </w:r>
            <w:proofErr w:type="spellEnd"/>
            <w:r w:rsidRPr="00817B92">
              <w:rPr>
                <w:rFonts w:eastAsia="Times New Roman"/>
                <w:sz w:val="20"/>
                <w:szCs w:val="20"/>
                <w:shd w:val="clear" w:color="auto" w:fill="FFFFFF"/>
                <w:lang w:val="en-GB" w:eastAsia="en-GB"/>
              </w:rPr>
              <w:t>, with a total of 131 genera showing an average abundance greater than 1%. However, 12 of these genera were unknown, leaving 119 genus-level taxa included in this study. Covariate adjustments were made for gender, age, technical covariates, and genetic principal components using Spearman correlation analysis.</w:t>
            </w:r>
          </w:p>
          <w:p w14:paraId="37C3B4C3" w14:textId="2DE1F2CF" w:rsidR="00817B92" w:rsidRPr="00817B92" w:rsidRDefault="00817B92" w:rsidP="000C6160">
            <w:pPr>
              <w:spacing w:beforeLines="40" w:before="96" w:afterLines="40" w:after="96" w:line="24" w:lineRule="atLeast"/>
              <w:textAlignment w:val="baseline"/>
              <w:rPr>
                <w:rFonts w:eastAsiaTheme="minorEastAsia"/>
                <w:sz w:val="20"/>
                <w:szCs w:val="20"/>
                <w:shd w:val="clear" w:color="auto" w:fill="FFFFFF"/>
                <w:lang w:val="en-GB" w:eastAsia="zh-CN"/>
              </w:rPr>
            </w:pPr>
            <w:r w:rsidRPr="00817B92">
              <w:rPr>
                <w:rFonts w:eastAsiaTheme="minorEastAsia"/>
                <w:sz w:val="20"/>
                <w:szCs w:val="20"/>
                <w:shd w:val="clear" w:color="auto" w:fill="FFFFFF"/>
                <w:lang w:val="en-GB" w:eastAsia="zh-CN"/>
              </w:rPr>
              <w:t>Summary data for DM were obtained from a GW AS study of European ancestry, including 208 cases and 213,145 controls. For polymyositis (PM), the study included 119 cases and 213,145 controls.</w:t>
            </w:r>
          </w:p>
        </w:tc>
      </w:tr>
      <w:tr w:rsidR="00817B92" w:rsidRPr="00817B92" w14:paraId="04B065C7" w14:textId="72F11B68" w:rsidTr="00817B92">
        <w:tc>
          <w:tcPr>
            <w:tcW w:w="587" w:type="dxa"/>
            <w:shd w:val="clear" w:color="auto" w:fill="EEEEEE"/>
          </w:tcPr>
          <w:p w14:paraId="09448E25"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260DD299"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c)</w:t>
            </w:r>
          </w:p>
        </w:tc>
        <w:tc>
          <w:tcPr>
            <w:tcW w:w="5888" w:type="dxa"/>
            <w:shd w:val="clear" w:color="auto" w:fill="EEEEEE"/>
          </w:tcPr>
          <w:p w14:paraId="7B54F10C"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Describe measurement, quality control and selection of genetic variants</w:t>
            </w:r>
          </w:p>
        </w:tc>
        <w:tc>
          <w:tcPr>
            <w:tcW w:w="5472" w:type="dxa"/>
            <w:shd w:val="clear" w:color="auto" w:fill="EEEEEE"/>
          </w:tcPr>
          <w:p w14:paraId="26B556E6" w14:textId="01C829E7" w:rsidR="00817B92" w:rsidRPr="00817B92" w:rsidRDefault="00817B92" w:rsidP="00426603">
            <w:pPr>
              <w:spacing w:beforeLines="40" w:before="96" w:afterLines="40" w:after="96" w:line="24" w:lineRule="atLeast"/>
              <w:rPr>
                <w:rFonts w:eastAsiaTheme="minorEastAsia"/>
                <w:sz w:val="20"/>
                <w:szCs w:val="20"/>
                <w:lang w:val="en-US" w:eastAsia="zh-CN"/>
              </w:rPr>
            </w:pPr>
            <w:bookmarkStart w:id="4" w:name="OLE_LINK3"/>
            <w:r w:rsidRPr="00817B92">
              <w:rPr>
                <w:rFonts w:eastAsia="Times New Roman"/>
                <w:sz w:val="20"/>
                <w:szCs w:val="20"/>
                <w:lang w:val="en-US" w:eastAsia="en-GB"/>
              </w:rPr>
              <w:t>Prior to the MR analysis, a rigorous screening process was conducted to ensure the reliability of the SNPs and meet the assumptions of MR analysis. The IVs were selected based on SNPs associated with gut microbiota at a genome-wide significance level (p&lt;1 × 10</w:t>
            </w:r>
            <w:r w:rsidRPr="00817B92">
              <w:rPr>
                <w:rFonts w:eastAsia="Times New Roman"/>
                <w:sz w:val="20"/>
                <w:szCs w:val="20"/>
                <w:vertAlign w:val="superscript"/>
                <w:lang w:val="en-US" w:eastAsia="en-GB"/>
              </w:rPr>
              <w:t>-5</w:t>
            </w:r>
            <w:r w:rsidRPr="00817B92">
              <w:rPr>
                <w:rFonts w:eastAsia="Times New Roman"/>
                <w:sz w:val="20"/>
                <w:szCs w:val="20"/>
                <w:lang w:val="en-US" w:eastAsia="en-GB"/>
              </w:rPr>
              <w:t xml:space="preserve">). A linkage disequilibrium (LD) aggregation threshold of r2 &lt; 0.001 was applied to remove correlated and dependent SNPs to ensure independence and validity. To assess potential confounding effects, the selected SNPs were evaluated for associations with other phenotypes using the publicly available </w:t>
            </w:r>
            <w:proofErr w:type="spellStart"/>
            <w:r w:rsidRPr="00817B92">
              <w:rPr>
                <w:rFonts w:eastAsia="Times New Roman"/>
                <w:sz w:val="20"/>
                <w:szCs w:val="20"/>
                <w:lang w:val="en-US" w:eastAsia="en-GB"/>
              </w:rPr>
              <w:t>PhenoScanner</w:t>
            </w:r>
            <w:proofErr w:type="spellEnd"/>
            <w:r w:rsidRPr="00817B92">
              <w:rPr>
                <w:rFonts w:eastAsia="Times New Roman"/>
                <w:sz w:val="20"/>
                <w:szCs w:val="20"/>
                <w:lang w:val="en-US" w:eastAsia="en-GB"/>
              </w:rPr>
              <w:t xml:space="preserve"> V2 (http://www.phenoscanner. medschl.cam.ac.uk). SNPs related to any potential confounders were removed at genome-wide significance. Additionally, only SNPs with consistent effect alleles between the exposure and outcome GWAS datasets were included, while those absent in the outcome GWAS were removed. In addition, to eliminate the bias of weak IVs, we calculated the F-statistic for SNPs using the following formula: F = r2(n-k-1)/[k(1-r2)]. the value of the F-statistic indicates the strength of the IV, and F-statistic &gt; 10 is a strong IV.</w:t>
            </w:r>
            <w:bookmarkEnd w:id="4"/>
          </w:p>
        </w:tc>
      </w:tr>
      <w:tr w:rsidR="00817B92" w:rsidRPr="00817B92" w14:paraId="215DDE8E" w14:textId="5C8C984B" w:rsidTr="00817B92">
        <w:tc>
          <w:tcPr>
            <w:tcW w:w="587" w:type="dxa"/>
            <w:shd w:val="clear" w:color="auto" w:fill="auto"/>
          </w:tcPr>
          <w:p w14:paraId="7E3D460D"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0FB55ADC"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d)</w:t>
            </w:r>
          </w:p>
        </w:tc>
        <w:tc>
          <w:tcPr>
            <w:tcW w:w="5888" w:type="dxa"/>
            <w:shd w:val="clear" w:color="auto" w:fill="auto"/>
          </w:tcPr>
          <w:p w14:paraId="3B6B6065" w14:textId="77777777" w:rsidR="00817B92" w:rsidRPr="00817B92" w:rsidRDefault="00817B92" w:rsidP="00426603">
            <w:pPr>
              <w:spacing w:beforeLines="40" w:before="96" w:afterLines="40" w:after="96" w:line="24" w:lineRule="atLeast"/>
              <w:textAlignment w:val="baseline"/>
              <w:rPr>
                <w:rFonts w:eastAsia="Cambria"/>
                <w:sz w:val="20"/>
                <w:szCs w:val="20"/>
                <w:lang w:val="en-GB" w:eastAsia="en-US"/>
              </w:rPr>
            </w:pPr>
            <w:r w:rsidRPr="00817B92">
              <w:rPr>
                <w:rFonts w:eastAsia="Times New Roman"/>
                <w:sz w:val="20"/>
                <w:szCs w:val="20"/>
                <w:shd w:val="clear" w:color="auto" w:fill="FFFFFF"/>
                <w:lang w:val="en-GB" w:eastAsia="en-GB"/>
              </w:rPr>
              <w:t>For each exposure, outcome, and other relevant variables, describe methods of assessment and diagnostic criteria for diseases</w:t>
            </w:r>
          </w:p>
        </w:tc>
        <w:tc>
          <w:tcPr>
            <w:tcW w:w="5472" w:type="dxa"/>
          </w:tcPr>
          <w:p w14:paraId="18BB4B57" w14:textId="0610A882" w:rsidR="00817B92" w:rsidRPr="00817B92" w:rsidRDefault="00817B92" w:rsidP="00305E54">
            <w:pPr>
              <w:spacing w:beforeLines="40" w:before="96" w:afterLines="40" w:after="96" w:line="24" w:lineRule="atLeast"/>
              <w:textAlignment w:val="baseline"/>
              <w:rPr>
                <w:rFonts w:eastAsia="Times New Roman"/>
                <w:sz w:val="20"/>
                <w:szCs w:val="20"/>
                <w:shd w:val="clear" w:color="auto" w:fill="FFFFFF"/>
                <w:lang w:val="en-GB" w:eastAsia="en-GB"/>
              </w:rPr>
            </w:pPr>
            <w:r w:rsidRPr="00817B92">
              <w:rPr>
                <w:rFonts w:eastAsia="Times New Roman"/>
                <w:sz w:val="20"/>
                <w:szCs w:val="20"/>
                <w:shd w:val="clear" w:color="auto" w:fill="FFFFFF"/>
                <w:lang w:val="en-GB" w:eastAsia="en-GB"/>
              </w:rPr>
              <w:t xml:space="preserve">To assess potential confounding effects, the selected SNPs were evaluated for associations with other phenotypes using the publicly available </w:t>
            </w:r>
            <w:proofErr w:type="spellStart"/>
            <w:r w:rsidRPr="00817B92">
              <w:rPr>
                <w:rFonts w:eastAsia="Times New Roman"/>
                <w:sz w:val="20"/>
                <w:szCs w:val="20"/>
                <w:shd w:val="clear" w:color="auto" w:fill="FFFFFF"/>
                <w:lang w:val="en-GB" w:eastAsia="en-GB"/>
              </w:rPr>
              <w:t>PhenoScanner</w:t>
            </w:r>
            <w:proofErr w:type="spellEnd"/>
            <w:r w:rsidRPr="00817B92">
              <w:rPr>
                <w:rFonts w:eastAsia="Times New Roman"/>
                <w:sz w:val="20"/>
                <w:szCs w:val="20"/>
                <w:shd w:val="clear" w:color="auto" w:fill="FFFFFF"/>
                <w:lang w:val="en-GB" w:eastAsia="en-GB"/>
              </w:rPr>
              <w:t xml:space="preserve"> V2 (http://www.phenoscanner. medschl.cam.ac.uk)[19]. SNPs </w:t>
            </w:r>
            <w:r w:rsidRPr="00817B92">
              <w:rPr>
                <w:rFonts w:eastAsia="Times New Roman"/>
                <w:sz w:val="20"/>
                <w:szCs w:val="20"/>
                <w:shd w:val="clear" w:color="auto" w:fill="FFFFFF"/>
                <w:lang w:val="en-GB" w:eastAsia="en-GB"/>
              </w:rPr>
              <w:lastRenderedPageBreak/>
              <w:t>related to any potential confounders were removed at genome-wide significance. Additionally, only SNPs with consistent effect alleles between the exposure and outcome GWAS datasets were included, while those absent in the outcome GWAS were removed.</w:t>
            </w:r>
          </w:p>
        </w:tc>
      </w:tr>
      <w:tr w:rsidR="00817B92" w:rsidRPr="00817B92" w14:paraId="69A6C8B1" w14:textId="39D94CE4" w:rsidTr="00817B92">
        <w:tc>
          <w:tcPr>
            <w:tcW w:w="587" w:type="dxa"/>
            <w:shd w:val="clear" w:color="auto" w:fill="EEEEEE"/>
          </w:tcPr>
          <w:p w14:paraId="292FBB97"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273C46B4"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e)</w:t>
            </w:r>
          </w:p>
        </w:tc>
        <w:tc>
          <w:tcPr>
            <w:tcW w:w="5888" w:type="dxa"/>
            <w:shd w:val="clear" w:color="auto" w:fill="EEEEEE"/>
          </w:tcPr>
          <w:p w14:paraId="4E713FBB" w14:textId="77777777" w:rsidR="00817B92" w:rsidRPr="00817B92" w:rsidRDefault="00817B92" w:rsidP="00426603">
            <w:pPr>
              <w:spacing w:beforeLines="40" w:before="96" w:afterLines="40" w:after="96" w:line="24" w:lineRule="atLeast"/>
              <w:textAlignment w:val="baseline"/>
              <w:rPr>
                <w:rFonts w:eastAsia="Cambria"/>
                <w:sz w:val="20"/>
                <w:szCs w:val="20"/>
                <w:lang w:val="en-GB" w:eastAsia="en-US"/>
              </w:rPr>
            </w:pPr>
            <w:r w:rsidRPr="00817B92">
              <w:rPr>
                <w:rFonts w:eastAsia="Times New Roman"/>
                <w:sz w:val="20"/>
                <w:szCs w:val="20"/>
                <w:shd w:val="clear" w:color="auto" w:fill="FFFFFF"/>
                <w:lang w:val="en-GB" w:eastAsia="en-GB"/>
              </w:rPr>
              <w:t>Provide details of ethics committee approval and participant informed consent, if relevant</w:t>
            </w:r>
          </w:p>
        </w:tc>
        <w:tc>
          <w:tcPr>
            <w:tcW w:w="5472" w:type="dxa"/>
            <w:shd w:val="clear" w:color="auto" w:fill="EEEEEE"/>
          </w:tcPr>
          <w:p w14:paraId="6067A95B" w14:textId="464C3A66" w:rsidR="00817B92" w:rsidRPr="00817B92" w:rsidRDefault="00817B92" w:rsidP="00426603">
            <w:pPr>
              <w:spacing w:beforeLines="40" w:before="96" w:afterLines="40" w:after="96" w:line="24" w:lineRule="atLeast"/>
              <w:textAlignment w:val="baseline"/>
              <w:rPr>
                <w:rFonts w:eastAsiaTheme="minorEastAsia"/>
                <w:sz w:val="20"/>
                <w:szCs w:val="20"/>
                <w:shd w:val="clear" w:color="auto" w:fill="FFFFFF"/>
                <w:lang w:val="en-GB" w:eastAsia="zh-CN"/>
              </w:rPr>
            </w:pPr>
            <w:r w:rsidRPr="00817B92">
              <w:rPr>
                <w:rFonts w:eastAsia="Times New Roman"/>
                <w:sz w:val="20"/>
                <w:szCs w:val="20"/>
                <w:shd w:val="clear" w:color="auto" w:fill="FFFFFF"/>
                <w:lang w:val="en-GB" w:eastAsia="en-GB"/>
              </w:rPr>
              <w:t>Summary statistics of the gut microbiota were obtained from a large-scale multi-ethnic GWAS meta-analysis, involving 18340 individuals from 24 cohorts, most of which were of European ancestry</w:t>
            </w:r>
            <w:r w:rsidRPr="00817B92">
              <w:rPr>
                <w:rFonts w:eastAsiaTheme="minorEastAsia"/>
                <w:sz w:val="20"/>
                <w:szCs w:val="20"/>
                <w:shd w:val="clear" w:color="auto" w:fill="FFFFFF"/>
                <w:lang w:val="en-GB" w:eastAsia="zh-CN"/>
              </w:rPr>
              <w:t>.</w:t>
            </w:r>
          </w:p>
        </w:tc>
      </w:tr>
      <w:tr w:rsidR="00817B92" w:rsidRPr="00817B92" w14:paraId="23EA53EC" w14:textId="1D3E4E77" w:rsidTr="00817B92">
        <w:tc>
          <w:tcPr>
            <w:tcW w:w="587" w:type="dxa"/>
            <w:shd w:val="clear" w:color="auto" w:fill="auto"/>
          </w:tcPr>
          <w:p w14:paraId="3E6E0D63"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5</w:t>
            </w:r>
          </w:p>
        </w:tc>
        <w:tc>
          <w:tcPr>
            <w:tcW w:w="1796" w:type="dxa"/>
            <w:shd w:val="clear" w:color="auto" w:fill="auto"/>
          </w:tcPr>
          <w:p w14:paraId="1F0455B3"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Assumptions</w:t>
            </w:r>
          </w:p>
          <w:p w14:paraId="0458797D" w14:textId="77777777" w:rsidR="00817B92" w:rsidRPr="00817B92" w:rsidRDefault="00817B92" w:rsidP="00426603">
            <w:pPr>
              <w:spacing w:beforeLines="40" w:before="96" w:afterLines="40" w:after="96" w:line="24" w:lineRule="atLeast"/>
              <w:jc w:val="center"/>
              <w:rPr>
                <w:rFonts w:eastAsia="Cambria"/>
                <w:sz w:val="20"/>
                <w:szCs w:val="20"/>
                <w:lang w:val="en-GB" w:eastAsia="en-US"/>
              </w:rPr>
            </w:pPr>
          </w:p>
        </w:tc>
        <w:tc>
          <w:tcPr>
            <w:tcW w:w="5888" w:type="dxa"/>
            <w:shd w:val="clear" w:color="auto" w:fill="auto"/>
          </w:tcPr>
          <w:p w14:paraId="5139727F"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Explicitly state the three core IV assumptions for the main analysis (relevance, independence and exclusion restriction) as well assumptions for any additional or sensitivity analysis</w:t>
            </w:r>
          </w:p>
        </w:tc>
        <w:tc>
          <w:tcPr>
            <w:tcW w:w="5472" w:type="dxa"/>
          </w:tcPr>
          <w:p w14:paraId="5B749D69" w14:textId="1C13A314" w:rsidR="00817B92" w:rsidRPr="00817B92" w:rsidRDefault="00817B92" w:rsidP="00305E54">
            <w:pPr>
              <w:spacing w:beforeLines="40" w:before="96" w:afterLines="40" w:after="96" w:line="24" w:lineRule="atLeast"/>
              <w:rPr>
                <w:rFonts w:eastAsia="Times New Roman"/>
                <w:sz w:val="20"/>
                <w:szCs w:val="20"/>
                <w:lang w:val="en-US" w:eastAsia="en-GB"/>
              </w:rPr>
            </w:pPr>
            <w:r w:rsidRPr="00817B92">
              <w:rPr>
                <w:rFonts w:eastAsia="Times New Roman"/>
                <w:sz w:val="20"/>
                <w:szCs w:val="20"/>
                <w:lang w:val="en-US" w:eastAsia="en-GB"/>
              </w:rPr>
              <w:t xml:space="preserve">This study employs a two-sample Mendelian randomization (MR) analysis, utilizing summary statistics from Genome Wide Association Studies (GWAS), to explore the potential causal effect of gut microbiota on PM and DM. Single nucleotide polymorphisms (SNPs) significantly associated with the gut microbiota were selected as instrumental variables (IVs), and three assumptions were made to ensure accuracy. First, the genetic variants selected as IVs should be significantly associated with gut microbiota. Second, IVs should not be associated with any confounding factors. Third, IVs should affect the risk of PM and DM only through gut microbiota. A series of sensitivity analyses were then conducted for significant associations. The overall flowchart of the study is presented in </w:t>
            </w:r>
            <w:r w:rsidRPr="00817B92">
              <w:rPr>
                <w:rFonts w:eastAsia="Times New Roman"/>
                <w:b/>
                <w:bCs/>
                <w:sz w:val="20"/>
                <w:szCs w:val="20"/>
                <w:lang w:val="en-US" w:eastAsia="en-GB"/>
              </w:rPr>
              <w:t>Figure1</w:t>
            </w:r>
            <w:r w:rsidRPr="00817B92">
              <w:rPr>
                <w:rFonts w:eastAsia="Times New Roman"/>
                <w:sz w:val="20"/>
                <w:szCs w:val="20"/>
                <w:lang w:val="en-US" w:eastAsia="en-GB"/>
              </w:rPr>
              <w:t>.</w:t>
            </w:r>
            <w:r w:rsidRPr="00817B92">
              <w:rPr>
                <w:rFonts w:eastAsia="Times New Roman"/>
                <w:noProof/>
                <w:sz w:val="20"/>
                <w:szCs w:val="20"/>
                <w:lang w:val="en-US" w:eastAsia="en-GB"/>
              </w:rPr>
              <w:drawing>
                <wp:inline distT="0" distB="0" distL="0" distR="0" wp14:anchorId="3863E89E" wp14:editId="677B5F69">
                  <wp:extent cx="3151113" cy="2174810"/>
                  <wp:effectExtent l="0" t="0" r="0" b="0"/>
                  <wp:docPr id="1664877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77115"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1113" cy="2174810"/>
                          </a:xfrm>
                          <a:prstGeom prst="rect">
                            <a:avLst/>
                          </a:prstGeom>
                        </pic:spPr>
                      </pic:pic>
                    </a:graphicData>
                  </a:graphic>
                </wp:inline>
              </w:drawing>
            </w:r>
          </w:p>
          <w:p w14:paraId="7A54DE1B" w14:textId="77777777" w:rsidR="00817B92" w:rsidRPr="00817B92" w:rsidRDefault="00817B92" w:rsidP="00426603">
            <w:pPr>
              <w:spacing w:beforeLines="40" w:before="96" w:afterLines="40" w:after="96" w:line="24" w:lineRule="atLeast"/>
              <w:rPr>
                <w:rFonts w:eastAsia="Times New Roman"/>
                <w:sz w:val="20"/>
                <w:szCs w:val="20"/>
                <w:lang w:val="en-US" w:eastAsia="en-GB"/>
              </w:rPr>
            </w:pPr>
          </w:p>
        </w:tc>
      </w:tr>
      <w:tr w:rsidR="00817B92" w:rsidRPr="00817B92" w14:paraId="6209F8C8" w14:textId="78A53B40" w:rsidTr="00817B92">
        <w:tc>
          <w:tcPr>
            <w:tcW w:w="587" w:type="dxa"/>
            <w:shd w:val="clear" w:color="auto" w:fill="EEEEEE"/>
          </w:tcPr>
          <w:p w14:paraId="6FA239C8"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lastRenderedPageBreak/>
              <w:t>6</w:t>
            </w:r>
          </w:p>
        </w:tc>
        <w:tc>
          <w:tcPr>
            <w:tcW w:w="1796" w:type="dxa"/>
            <w:shd w:val="clear" w:color="auto" w:fill="EEEEEE"/>
          </w:tcPr>
          <w:p w14:paraId="3D8F9E93"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Statistical methods: main analysis</w:t>
            </w:r>
          </w:p>
        </w:tc>
        <w:tc>
          <w:tcPr>
            <w:tcW w:w="5888" w:type="dxa"/>
            <w:shd w:val="clear" w:color="auto" w:fill="EEEEEE"/>
          </w:tcPr>
          <w:p w14:paraId="49C33D0D"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Describe statistical methods and statistics used</w:t>
            </w:r>
          </w:p>
        </w:tc>
        <w:tc>
          <w:tcPr>
            <w:tcW w:w="5472" w:type="dxa"/>
            <w:shd w:val="clear" w:color="auto" w:fill="EEEEEE"/>
          </w:tcPr>
          <w:p w14:paraId="75DF0C4B" w14:textId="42F89935" w:rsidR="00817B92" w:rsidRPr="00817B92" w:rsidRDefault="00817B92" w:rsidP="00355876">
            <w:pPr>
              <w:spacing w:beforeLines="40" w:before="96" w:afterLines="40" w:after="96" w:line="24" w:lineRule="atLeast"/>
              <w:rPr>
                <w:rFonts w:eastAsiaTheme="minorEastAsia"/>
                <w:sz w:val="20"/>
                <w:szCs w:val="20"/>
                <w:lang w:val="en-GB" w:eastAsia="zh-CN"/>
              </w:rPr>
            </w:pPr>
            <w:r w:rsidRPr="00817B92">
              <w:rPr>
                <w:rFonts w:eastAsia="Times New Roman"/>
                <w:sz w:val="20"/>
                <w:szCs w:val="20"/>
                <w:lang w:val="en-GB" w:eastAsia="en-GB"/>
              </w:rPr>
              <w:t xml:space="preserve">To assess the causal relationship between gut microflora and outcomes, MR analysis was conducted using three methods: inverse variance weighting (IVW), MR-Egger regression, and weighted median (WME). These methods have been extensively described in previous studies. IVW analysis </w:t>
            </w:r>
            <w:proofErr w:type="spellStart"/>
            <w:r w:rsidRPr="00817B92">
              <w:rPr>
                <w:rFonts w:eastAsia="Times New Roman"/>
                <w:sz w:val="20"/>
                <w:szCs w:val="20"/>
                <w:lang w:val="en-GB" w:eastAsia="en-GB"/>
              </w:rPr>
              <w:t>wasconsidered</w:t>
            </w:r>
            <w:proofErr w:type="spellEnd"/>
            <w:r w:rsidRPr="00817B92">
              <w:rPr>
                <w:rFonts w:eastAsia="Times New Roman"/>
                <w:sz w:val="20"/>
                <w:szCs w:val="20"/>
                <w:lang w:val="en-GB" w:eastAsia="en-GB"/>
              </w:rPr>
              <w:t xml:space="preserve"> the most reliable method for estimating the causal relationship between exposure and outcome while being sensitive to pleiotropy. MR-Egger regression and WME were further applied as complementary analyses. MR-Egger regression helps detect potential bias in meta-analyses and assesses bias in polymorphism. WME provides consistent effect estimates in MR analyses even though up to half of the information comes from invalid IVs.</w:t>
            </w:r>
          </w:p>
        </w:tc>
      </w:tr>
      <w:tr w:rsidR="00817B92" w:rsidRPr="00817B92" w14:paraId="4346E621" w14:textId="11B8B572" w:rsidTr="00817B92">
        <w:tc>
          <w:tcPr>
            <w:tcW w:w="587" w:type="dxa"/>
            <w:shd w:val="clear" w:color="auto" w:fill="auto"/>
          </w:tcPr>
          <w:p w14:paraId="339A016D"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3635743C"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a)</w:t>
            </w:r>
          </w:p>
        </w:tc>
        <w:tc>
          <w:tcPr>
            <w:tcW w:w="5888" w:type="dxa"/>
            <w:shd w:val="clear" w:color="auto" w:fill="auto"/>
          </w:tcPr>
          <w:p w14:paraId="3BB90022"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Describe how quantitative variables were handled in the analyses (i.e., scale, units, model)</w:t>
            </w:r>
          </w:p>
        </w:tc>
        <w:tc>
          <w:tcPr>
            <w:tcW w:w="5472" w:type="dxa"/>
          </w:tcPr>
          <w:p w14:paraId="76159846" w14:textId="561A61F7" w:rsidR="00817B92" w:rsidRPr="00817B92" w:rsidRDefault="00817B92" w:rsidP="001455CA">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To assess the causal relationship between gut microflora and outcomes, MR analysis was conducted using three methods: inverse variance weighting (IVW), MR-Egger regression, and weighted median (WME). These methods have been extensively described in previous studies.</w:t>
            </w:r>
          </w:p>
        </w:tc>
      </w:tr>
      <w:tr w:rsidR="00817B92" w:rsidRPr="00817B92" w14:paraId="642A4D4B" w14:textId="4880F3BA" w:rsidTr="00817B92">
        <w:tc>
          <w:tcPr>
            <w:tcW w:w="587" w:type="dxa"/>
            <w:shd w:val="clear" w:color="auto" w:fill="EEEEEE"/>
          </w:tcPr>
          <w:p w14:paraId="11F7484C"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569D49F3"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b)</w:t>
            </w:r>
          </w:p>
        </w:tc>
        <w:tc>
          <w:tcPr>
            <w:tcW w:w="5888" w:type="dxa"/>
            <w:shd w:val="clear" w:color="auto" w:fill="EEEEEE"/>
          </w:tcPr>
          <w:p w14:paraId="6B2ACDE9"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Describe how genetic variants were handled in the analyses and, if applicable, how their weights were selected</w:t>
            </w:r>
          </w:p>
        </w:tc>
        <w:tc>
          <w:tcPr>
            <w:tcW w:w="5472" w:type="dxa"/>
            <w:shd w:val="clear" w:color="auto" w:fill="EEEEEE"/>
          </w:tcPr>
          <w:p w14:paraId="1612F89F" w14:textId="51810462" w:rsidR="00817B92" w:rsidRPr="00817B92" w:rsidRDefault="00817B92" w:rsidP="000C6265">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 xml:space="preserve">As shown in Table 1 and Fig 3, we observed a certain genus-level taxa of gut microbiota have causal effects on the risk of PM and DM. Specifically, a higher genetically predicted level of </w:t>
            </w:r>
            <w:proofErr w:type="spellStart"/>
            <w:r w:rsidRPr="00817B92">
              <w:rPr>
                <w:rFonts w:eastAsia="Times New Roman"/>
                <w:sz w:val="20"/>
                <w:szCs w:val="20"/>
                <w:lang w:val="en-GB" w:eastAsia="en-GB"/>
              </w:rPr>
              <w:t>Alloprevotella</w:t>
            </w:r>
            <w:proofErr w:type="spellEnd"/>
            <w:r w:rsidRPr="00817B92">
              <w:rPr>
                <w:rFonts w:eastAsia="Times New Roman"/>
                <w:sz w:val="20"/>
                <w:szCs w:val="20"/>
                <w:lang w:val="en-GB" w:eastAsia="en-GB"/>
              </w:rPr>
              <w:t xml:space="preserve"> (OR: 2.626, 95% CI: 1.095-6.298, P=0.031) and </w:t>
            </w:r>
            <w:proofErr w:type="spellStart"/>
            <w:r w:rsidRPr="00817B92">
              <w:rPr>
                <w:rFonts w:eastAsia="Times New Roman"/>
                <w:sz w:val="20"/>
                <w:szCs w:val="20"/>
                <w:lang w:val="en-GB" w:eastAsia="en-GB"/>
              </w:rPr>
              <w:t>Ruminococcaceae</w:t>
            </w:r>
            <w:proofErr w:type="spellEnd"/>
            <w:r w:rsidRPr="00817B92">
              <w:rPr>
                <w:rFonts w:eastAsia="Times New Roman"/>
                <w:sz w:val="20"/>
                <w:szCs w:val="20"/>
                <w:lang w:val="en-GB" w:eastAsia="en-GB"/>
              </w:rPr>
              <w:t xml:space="preserve"> UCG003 (OR: 4.219, 95% CI: 1.227-14.511, P=0.022) was associated with an increased risk of PM, while </w:t>
            </w:r>
            <w:proofErr w:type="spellStart"/>
            <w:r w:rsidRPr="00817B92">
              <w:rPr>
                <w:rFonts w:eastAsia="Times New Roman"/>
                <w:sz w:val="20"/>
                <w:szCs w:val="20"/>
                <w:lang w:val="en-GB" w:eastAsia="en-GB"/>
              </w:rPr>
              <w:t>Dialister</w:t>
            </w:r>
            <w:proofErr w:type="spellEnd"/>
            <w:r w:rsidRPr="00817B92">
              <w:rPr>
                <w:rFonts w:eastAsia="Times New Roman"/>
                <w:sz w:val="20"/>
                <w:szCs w:val="20"/>
                <w:lang w:val="en-GB" w:eastAsia="en-GB"/>
              </w:rPr>
              <w:t xml:space="preserve"> was found to be related to a lower risk of PM (OR:0.273, 95% CI:0.077-0.974, P=0.045). For DM, genus </w:t>
            </w:r>
            <w:proofErr w:type="spellStart"/>
            <w:r w:rsidRPr="00817B92">
              <w:rPr>
                <w:rFonts w:eastAsia="Times New Roman"/>
                <w:sz w:val="20"/>
                <w:szCs w:val="20"/>
                <w:lang w:val="en-GB" w:eastAsia="en-GB"/>
              </w:rPr>
              <w:t>Anaerotruncus</w:t>
            </w:r>
            <w:proofErr w:type="spellEnd"/>
            <w:r w:rsidRPr="00817B92">
              <w:rPr>
                <w:rFonts w:eastAsia="Times New Roman"/>
                <w:sz w:val="20"/>
                <w:szCs w:val="20"/>
                <w:lang w:val="en-GB" w:eastAsia="en-GB"/>
              </w:rPr>
              <w:t xml:space="preserve"> showed a negative correlation with DM (OR: 0.314, 95%CI: 0.112-0.882, P=0.028), indicating a lower risk of DM, while </w:t>
            </w:r>
            <w:proofErr w:type="spellStart"/>
            <w:r w:rsidRPr="00817B92">
              <w:rPr>
                <w:rFonts w:eastAsia="Times New Roman"/>
                <w:sz w:val="20"/>
                <w:szCs w:val="20"/>
                <w:lang w:val="en-GB" w:eastAsia="en-GB"/>
              </w:rPr>
              <w:t>Ruminococcaceae</w:t>
            </w:r>
            <w:proofErr w:type="spellEnd"/>
            <w:r w:rsidRPr="00817B92">
              <w:rPr>
                <w:rFonts w:eastAsia="Times New Roman"/>
                <w:sz w:val="20"/>
                <w:szCs w:val="20"/>
                <w:lang w:val="en-GB" w:eastAsia="en-GB"/>
              </w:rPr>
              <w:t xml:space="preserve"> UCG002 (OR:2.439, 95% CI:1.173-5.071, P=0.017) and </w:t>
            </w:r>
            <w:proofErr w:type="spellStart"/>
            <w:r w:rsidRPr="00817B92">
              <w:rPr>
                <w:rFonts w:eastAsia="Times New Roman"/>
                <w:sz w:val="20"/>
                <w:szCs w:val="20"/>
                <w:lang w:val="en-GB" w:eastAsia="en-GB"/>
              </w:rPr>
              <w:t>Sutterella</w:t>
            </w:r>
            <w:proofErr w:type="spellEnd"/>
            <w:r w:rsidRPr="00817B92">
              <w:rPr>
                <w:rFonts w:eastAsia="Times New Roman"/>
                <w:sz w:val="20"/>
                <w:szCs w:val="20"/>
                <w:lang w:val="en-GB" w:eastAsia="en-GB"/>
              </w:rPr>
              <w:t xml:space="preserve"> (OR:3.392, 95% CI:1.302-8.839, P=0.012) were associated with an increased risk of DM. Detailed information on the specific SNPs used in the analysis is provided in the Supplement materials.</w:t>
            </w:r>
          </w:p>
        </w:tc>
      </w:tr>
      <w:tr w:rsidR="00817B92" w:rsidRPr="00817B92" w14:paraId="70378831" w14:textId="0868B0A4" w:rsidTr="00817B92">
        <w:tc>
          <w:tcPr>
            <w:tcW w:w="587" w:type="dxa"/>
            <w:shd w:val="clear" w:color="auto" w:fill="auto"/>
          </w:tcPr>
          <w:p w14:paraId="45E41495"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59F665E7"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c)</w:t>
            </w:r>
          </w:p>
        </w:tc>
        <w:tc>
          <w:tcPr>
            <w:tcW w:w="5888" w:type="dxa"/>
            <w:shd w:val="clear" w:color="auto" w:fill="auto"/>
          </w:tcPr>
          <w:p w14:paraId="5CB03D96"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5472" w:type="dxa"/>
          </w:tcPr>
          <w:p w14:paraId="474D9D20" w14:textId="77777777" w:rsidR="00817B92" w:rsidRPr="00817B92" w:rsidRDefault="00817B92" w:rsidP="000202B9">
            <w:pPr>
              <w:spacing w:beforeLines="40" w:before="96" w:afterLines="40" w:after="96" w:line="24" w:lineRule="atLeast"/>
              <w:rPr>
                <w:rFonts w:eastAsiaTheme="minorEastAsia"/>
                <w:sz w:val="20"/>
                <w:szCs w:val="20"/>
                <w:lang w:val="en-GB" w:eastAsia="zh-CN"/>
              </w:rPr>
            </w:pPr>
            <w:r w:rsidRPr="00817B92">
              <w:rPr>
                <w:rFonts w:eastAsia="Times New Roman"/>
                <w:sz w:val="20"/>
                <w:szCs w:val="20"/>
                <w:lang w:val="en-GB" w:eastAsia="en-GB"/>
              </w:rPr>
              <w:t>To ensure the robustness of the results, a series of sensitivity analyses were performed. Cochran's Q statistics were used to assess heterogeneity among IVs, concluding no heterogeneity when P&gt;0.05</w:t>
            </w:r>
            <w:r w:rsidRPr="00817B92">
              <w:rPr>
                <w:rFonts w:eastAsiaTheme="minorEastAsia"/>
                <w:sz w:val="20"/>
                <w:szCs w:val="20"/>
                <w:lang w:val="en-GB" w:eastAsia="zh-CN"/>
              </w:rPr>
              <w:t>.</w:t>
            </w:r>
          </w:p>
          <w:p w14:paraId="334D44EB" w14:textId="43E9BCD4" w:rsidR="00817B92" w:rsidRPr="00817B92" w:rsidRDefault="00817B92" w:rsidP="000202B9">
            <w:pPr>
              <w:spacing w:beforeLines="40" w:before="96" w:afterLines="40" w:after="96" w:line="24" w:lineRule="atLeast"/>
              <w:rPr>
                <w:rFonts w:eastAsiaTheme="minorEastAsia"/>
                <w:sz w:val="20"/>
                <w:szCs w:val="20"/>
                <w:lang w:val="en-GB" w:eastAsia="zh-CN"/>
              </w:rPr>
            </w:pPr>
            <w:r w:rsidRPr="00817B92">
              <w:rPr>
                <w:rFonts w:eastAsiaTheme="minorEastAsia"/>
                <w:sz w:val="20"/>
                <w:szCs w:val="20"/>
                <w:lang w:val="en-GB" w:eastAsia="zh-CN"/>
              </w:rPr>
              <w:lastRenderedPageBreak/>
              <w:t>Detailed information on the specific SNPs used in the analysis is provided in the Supplement materials.</w:t>
            </w:r>
          </w:p>
        </w:tc>
      </w:tr>
      <w:tr w:rsidR="00817B92" w:rsidRPr="00817B92" w14:paraId="0D8F3A7E" w14:textId="14623463" w:rsidTr="00817B92">
        <w:tc>
          <w:tcPr>
            <w:tcW w:w="587" w:type="dxa"/>
            <w:shd w:val="clear" w:color="auto" w:fill="EEEEEE"/>
          </w:tcPr>
          <w:p w14:paraId="1D70C4CD"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0A3AAFD6"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d)</w:t>
            </w:r>
          </w:p>
        </w:tc>
        <w:tc>
          <w:tcPr>
            <w:tcW w:w="5888" w:type="dxa"/>
            <w:shd w:val="clear" w:color="auto" w:fill="EEEEEE"/>
          </w:tcPr>
          <w:p w14:paraId="08786389"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Explain how missing data were addressed</w:t>
            </w:r>
          </w:p>
        </w:tc>
        <w:tc>
          <w:tcPr>
            <w:tcW w:w="5472" w:type="dxa"/>
            <w:shd w:val="clear" w:color="auto" w:fill="EEEEEE"/>
          </w:tcPr>
          <w:p w14:paraId="16808665" w14:textId="3811AC7A" w:rsidR="00817B92" w:rsidRPr="00817B92" w:rsidRDefault="00817B92" w:rsidP="00426603">
            <w:pPr>
              <w:spacing w:beforeLines="40" w:before="96" w:afterLines="40" w:after="96" w:line="24" w:lineRule="atLeast"/>
              <w:rPr>
                <w:rFonts w:eastAsiaTheme="minorEastAsia"/>
                <w:sz w:val="20"/>
                <w:szCs w:val="20"/>
                <w:lang w:val="en-GB" w:eastAsia="zh-CN"/>
              </w:rPr>
            </w:pPr>
            <w:r w:rsidRPr="00817B92">
              <w:rPr>
                <w:rFonts w:eastAsiaTheme="minorEastAsia"/>
                <w:sz w:val="20"/>
                <w:szCs w:val="20"/>
                <w:lang w:val="en-GB" w:eastAsia="zh-CN"/>
              </w:rPr>
              <w:t xml:space="preserve">Don not </w:t>
            </w:r>
            <w:r w:rsidRPr="00817B92">
              <w:rPr>
                <w:rFonts w:eastAsia="Times New Roman"/>
                <w:sz w:val="20"/>
                <w:szCs w:val="20"/>
                <w:lang w:val="en-GB" w:eastAsia="en-GB"/>
              </w:rPr>
              <w:t>miss data</w:t>
            </w:r>
          </w:p>
        </w:tc>
      </w:tr>
      <w:tr w:rsidR="00817B92" w:rsidRPr="00817B92" w14:paraId="77F037B8" w14:textId="6696FA54" w:rsidTr="00817B92">
        <w:tc>
          <w:tcPr>
            <w:tcW w:w="587" w:type="dxa"/>
            <w:shd w:val="clear" w:color="auto" w:fill="auto"/>
          </w:tcPr>
          <w:p w14:paraId="4AC39E55" w14:textId="77777777" w:rsidR="00817B92" w:rsidRPr="00817B92" w:rsidRDefault="00817B92" w:rsidP="004962FB">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4D9E0350" w14:textId="77777777" w:rsidR="00817B92" w:rsidRPr="00817B92" w:rsidRDefault="00817B92" w:rsidP="004962FB">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e)</w:t>
            </w:r>
          </w:p>
        </w:tc>
        <w:tc>
          <w:tcPr>
            <w:tcW w:w="5888" w:type="dxa"/>
            <w:shd w:val="clear" w:color="auto" w:fill="auto"/>
          </w:tcPr>
          <w:p w14:paraId="41F1E523" w14:textId="77777777" w:rsidR="00817B92" w:rsidRPr="00817B92" w:rsidRDefault="00817B92" w:rsidP="004962FB">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If applicable, indicate how multiple testing was addressed</w:t>
            </w:r>
          </w:p>
        </w:tc>
        <w:tc>
          <w:tcPr>
            <w:tcW w:w="5472" w:type="dxa"/>
          </w:tcPr>
          <w:p w14:paraId="490E44D4" w14:textId="0115CCB9" w:rsidR="00817B92" w:rsidRPr="00817B92" w:rsidRDefault="00817B92" w:rsidP="004962FB">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US" w:eastAsia="en-GB"/>
              </w:rPr>
              <w:t xml:space="preserve">To assess potential confounding effects, the selected SNPs were evaluated for associations with other phenotypes using the publicly available </w:t>
            </w:r>
            <w:proofErr w:type="spellStart"/>
            <w:r w:rsidRPr="00817B92">
              <w:rPr>
                <w:rFonts w:eastAsia="Times New Roman"/>
                <w:sz w:val="20"/>
                <w:szCs w:val="20"/>
                <w:lang w:val="en-US" w:eastAsia="en-GB"/>
              </w:rPr>
              <w:t>PhenoScanner</w:t>
            </w:r>
            <w:proofErr w:type="spellEnd"/>
            <w:r w:rsidRPr="00817B92">
              <w:rPr>
                <w:rFonts w:eastAsia="Times New Roman"/>
                <w:sz w:val="20"/>
                <w:szCs w:val="20"/>
                <w:lang w:val="en-US" w:eastAsia="en-GB"/>
              </w:rPr>
              <w:t xml:space="preserve"> V2 (http://www.phenoscanner. medschl.cam.ac.uk). SNPs related to any potential confounders were removed at genome-wide significance. Additionally, only SNPs with consistent effect alleles between the exposure and outcome GWAS datasets were included, while those absent in the outcome GWAS were removed. In addition, to eliminate the bias of weak IVs, we calculated the F-statistic for SNPs using the following formula: F = r2(n-k-1)/[k(1-r2)]. the value of the F-statistic indicates the strength of the IV, and F-statistic &gt; 10 is a strong IV.</w:t>
            </w:r>
          </w:p>
        </w:tc>
      </w:tr>
      <w:tr w:rsidR="00817B92" w:rsidRPr="00817B92" w14:paraId="585043CE" w14:textId="4922F612" w:rsidTr="00817B92">
        <w:tc>
          <w:tcPr>
            <w:tcW w:w="587" w:type="dxa"/>
            <w:shd w:val="clear" w:color="auto" w:fill="EEEEEE"/>
          </w:tcPr>
          <w:p w14:paraId="55967D09"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7</w:t>
            </w:r>
          </w:p>
        </w:tc>
        <w:tc>
          <w:tcPr>
            <w:tcW w:w="1796" w:type="dxa"/>
            <w:shd w:val="clear" w:color="auto" w:fill="EEEEEE"/>
          </w:tcPr>
          <w:p w14:paraId="0947B164"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Assessment of assumptions</w:t>
            </w:r>
          </w:p>
        </w:tc>
        <w:tc>
          <w:tcPr>
            <w:tcW w:w="5888" w:type="dxa"/>
            <w:shd w:val="clear" w:color="auto" w:fill="EEEEEE"/>
          </w:tcPr>
          <w:p w14:paraId="1E6D0B1E" w14:textId="77777777" w:rsidR="00817B92" w:rsidRPr="00817B92" w:rsidRDefault="00817B92" w:rsidP="00426603">
            <w:pPr>
              <w:tabs>
                <w:tab w:val="left" w:pos="1620"/>
              </w:tabs>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Describe any methods or prior knowledge used to assess the assumptions or justify their validity</w:t>
            </w:r>
            <w:r w:rsidRPr="00817B92">
              <w:rPr>
                <w:rFonts w:eastAsia="Cambria"/>
                <w:sz w:val="20"/>
                <w:szCs w:val="20"/>
                <w:lang w:val="en-GB" w:eastAsia="en-US"/>
              </w:rPr>
              <w:tab/>
            </w:r>
          </w:p>
        </w:tc>
        <w:tc>
          <w:tcPr>
            <w:tcW w:w="5472" w:type="dxa"/>
            <w:shd w:val="clear" w:color="auto" w:fill="EEEEEE"/>
          </w:tcPr>
          <w:p w14:paraId="3779475F" w14:textId="50ED1B8D" w:rsidR="00817B92" w:rsidRPr="00817B92" w:rsidRDefault="00817B92" w:rsidP="004962FB">
            <w:pPr>
              <w:tabs>
                <w:tab w:val="left" w:pos="1620"/>
              </w:tabs>
              <w:spacing w:beforeLines="40" w:before="96" w:afterLines="40" w:after="96" w:line="24" w:lineRule="atLeast"/>
              <w:rPr>
                <w:rFonts w:eastAsia="Times New Roman"/>
                <w:sz w:val="20"/>
                <w:szCs w:val="20"/>
                <w:lang w:val="en-US" w:eastAsia="en-GB"/>
              </w:rPr>
            </w:pPr>
            <w:r w:rsidRPr="00817B92">
              <w:rPr>
                <w:rFonts w:eastAsia="Times New Roman"/>
                <w:sz w:val="20"/>
                <w:szCs w:val="20"/>
                <w:lang w:val="en-US" w:eastAsia="en-GB"/>
              </w:rPr>
              <w:t>To assess the causal relationship between gut microflora and outcomes, MR analysis was conducted using three methods: inverse variance weighting (IVW), MR-Egger regression, and weighted median (WME). These methods have been extensively described in previous studies. IVW analysis was considered the most reliable method for estimating the causal relationship between exposure and outcome while being sensitive to pleiotropy. MR-Egger regression and WME were further applied as complementary analyses. MR-Egger regression helps detect potential bias in meta-analyses and assesses bias in polymorphism. WME provides consistent effect estimates in MR analyses even though up to half of the information comes from invalid IVs.</w:t>
            </w:r>
          </w:p>
          <w:p w14:paraId="5D46DB2B" w14:textId="77777777" w:rsidR="00817B92" w:rsidRPr="00817B92" w:rsidRDefault="00817B92" w:rsidP="00426603">
            <w:pPr>
              <w:tabs>
                <w:tab w:val="left" w:pos="1620"/>
              </w:tabs>
              <w:spacing w:beforeLines="40" w:before="96" w:afterLines="40" w:after="96" w:line="24" w:lineRule="atLeast"/>
              <w:rPr>
                <w:rFonts w:eastAsia="Times New Roman"/>
                <w:sz w:val="20"/>
                <w:szCs w:val="20"/>
                <w:lang w:val="en-US" w:eastAsia="en-GB"/>
              </w:rPr>
            </w:pPr>
          </w:p>
        </w:tc>
      </w:tr>
      <w:tr w:rsidR="00817B92" w:rsidRPr="00817B92" w14:paraId="383932D9" w14:textId="2C1AFE56" w:rsidTr="00817B92">
        <w:tc>
          <w:tcPr>
            <w:tcW w:w="587" w:type="dxa"/>
            <w:shd w:val="clear" w:color="auto" w:fill="auto"/>
          </w:tcPr>
          <w:p w14:paraId="1A4621BC"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8</w:t>
            </w:r>
          </w:p>
        </w:tc>
        <w:tc>
          <w:tcPr>
            <w:tcW w:w="1796" w:type="dxa"/>
            <w:shd w:val="clear" w:color="auto" w:fill="auto"/>
          </w:tcPr>
          <w:p w14:paraId="0F88F25B"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Sensitivity analyses and additional analyses</w:t>
            </w:r>
          </w:p>
        </w:tc>
        <w:tc>
          <w:tcPr>
            <w:tcW w:w="5888" w:type="dxa"/>
            <w:shd w:val="clear" w:color="auto" w:fill="auto"/>
          </w:tcPr>
          <w:p w14:paraId="13C6445C"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5472" w:type="dxa"/>
          </w:tcPr>
          <w:p w14:paraId="229BFDFD" w14:textId="2E21F384" w:rsidR="00817B92" w:rsidRPr="00817B92" w:rsidRDefault="00817B92" w:rsidP="00426603">
            <w:pPr>
              <w:spacing w:beforeLines="40" w:before="96" w:afterLines="40" w:after="96" w:line="24" w:lineRule="atLeast"/>
              <w:rPr>
                <w:rFonts w:eastAsiaTheme="minorEastAsia"/>
                <w:sz w:val="20"/>
                <w:szCs w:val="20"/>
                <w:lang w:val="en-US" w:eastAsia="zh-CN"/>
              </w:rPr>
            </w:pPr>
            <w:r w:rsidRPr="00817B92">
              <w:rPr>
                <w:rFonts w:eastAsia="Times New Roman"/>
                <w:sz w:val="20"/>
                <w:szCs w:val="20"/>
                <w:lang w:val="en-US" w:eastAsia="en-GB"/>
              </w:rPr>
              <w:t xml:space="preserve">To ensure the robustness of the results, a series of sensitivity analyses were performed. Cochran's Q statistics were used to assess heterogeneity among IVs, concluding no heterogeneity when P&gt;0.05. Horizontal polytropic was tested using MR-Egger regression, examining the intercept term to evaluate its impact on the MR analysis results. Leave-one-out analysis was used to determine if any of the SNPs were driving the causal estimates. Finally, the MR Pleiotropy Residual Sum and Outlier (MR-PRESSO) test </w:t>
            </w:r>
            <w:r w:rsidRPr="00817B92">
              <w:rPr>
                <w:rFonts w:eastAsia="Times New Roman"/>
                <w:sz w:val="20"/>
                <w:szCs w:val="20"/>
                <w:lang w:val="en-US" w:eastAsia="en-GB"/>
              </w:rPr>
              <w:lastRenderedPageBreak/>
              <w:t>was employed to identify and correct for outliers in the IVW linear regression, eliminating SNPs associated with heterogeneity.</w:t>
            </w:r>
          </w:p>
        </w:tc>
      </w:tr>
      <w:tr w:rsidR="00817B92" w:rsidRPr="00817B92" w14:paraId="55C7A410" w14:textId="0BAB653A" w:rsidTr="00817B92">
        <w:tc>
          <w:tcPr>
            <w:tcW w:w="587" w:type="dxa"/>
            <w:shd w:val="clear" w:color="auto" w:fill="EEEEEE"/>
          </w:tcPr>
          <w:p w14:paraId="056075DE"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lastRenderedPageBreak/>
              <w:t>9</w:t>
            </w:r>
          </w:p>
        </w:tc>
        <w:tc>
          <w:tcPr>
            <w:tcW w:w="1796" w:type="dxa"/>
            <w:shd w:val="clear" w:color="auto" w:fill="EEEEEE"/>
          </w:tcPr>
          <w:p w14:paraId="6096809E"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Software and pre-registration</w:t>
            </w:r>
          </w:p>
        </w:tc>
        <w:tc>
          <w:tcPr>
            <w:tcW w:w="5888" w:type="dxa"/>
            <w:shd w:val="clear" w:color="auto" w:fill="EEEEEE"/>
          </w:tcPr>
          <w:p w14:paraId="08D1055E"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shd w:val="clear" w:color="auto" w:fill="EEEEEE"/>
          </w:tcPr>
          <w:p w14:paraId="495710C0" w14:textId="4FC83CFC" w:rsidR="00817B92" w:rsidRPr="00817B92" w:rsidRDefault="00817B92" w:rsidP="00686BA0">
            <w:pPr>
              <w:spacing w:beforeLines="40" w:before="96" w:afterLines="40" w:after="96" w:line="24" w:lineRule="atLeast"/>
              <w:rPr>
                <w:rFonts w:eastAsia="Cambria"/>
                <w:sz w:val="20"/>
                <w:szCs w:val="20"/>
                <w:lang w:val="en-GB" w:eastAsia="en-US"/>
              </w:rPr>
            </w:pPr>
          </w:p>
        </w:tc>
      </w:tr>
      <w:tr w:rsidR="00817B92" w:rsidRPr="00817B92" w14:paraId="5EA9EBD1" w14:textId="4D05FA5B" w:rsidTr="00817B92">
        <w:tc>
          <w:tcPr>
            <w:tcW w:w="587" w:type="dxa"/>
            <w:shd w:val="clear" w:color="auto" w:fill="auto"/>
          </w:tcPr>
          <w:p w14:paraId="66EDED80" w14:textId="77777777" w:rsidR="00817B92" w:rsidRPr="00817B92" w:rsidRDefault="00817B92" w:rsidP="00686BA0">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50BD32B9" w14:textId="77777777" w:rsidR="00817B92" w:rsidRPr="00817B92" w:rsidRDefault="00817B92" w:rsidP="00686BA0">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a)</w:t>
            </w:r>
          </w:p>
        </w:tc>
        <w:tc>
          <w:tcPr>
            <w:tcW w:w="5888" w:type="dxa"/>
            <w:shd w:val="clear" w:color="auto" w:fill="auto"/>
          </w:tcPr>
          <w:p w14:paraId="054FBA47" w14:textId="77777777" w:rsidR="00817B92" w:rsidRPr="00817B92" w:rsidRDefault="00817B92" w:rsidP="00686BA0">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Name statistical software and package(s), including version and settings used </w:t>
            </w:r>
          </w:p>
        </w:tc>
        <w:tc>
          <w:tcPr>
            <w:tcW w:w="5472" w:type="dxa"/>
          </w:tcPr>
          <w:p w14:paraId="012EC83A" w14:textId="77777777" w:rsidR="00817B92" w:rsidRPr="00817B92" w:rsidRDefault="00817B92" w:rsidP="00686BA0">
            <w:pPr>
              <w:spacing w:beforeLines="40" w:before="96" w:afterLines="40" w:after="96" w:line="24" w:lineRule="atLeast"/>
              <w:rPr>
                <w:rFonts w:eastAsia="Cambria"/>
                <w:sz w:val="20"/>
                <w:szCs w:val="20"/>
                <w:lang w:val="en-GB" w:eastAsia="en-US"/>
              </w:rPr>
            </w:pPr>
            <w:r w:rsidRPr="00817B92">
              <w:rPr>
                <w:rFonts w:eastAsia="Cambria"/>
                <w:sz w:val="20"/>
                <w:szCs w:val="20"/>
                <w:lang w:val="en-GB" w:eastAsia="en-US"/>
              </w:rPr>
              <w:t xml:space="preserve">To assess potential confounding effects, the selected SNPs were evaluated for associations with other phenotypes using the publicly available </w:t>
            </w:r>
            <w:proofErr w:type="spellStart"/>
            <w:r w:rsidRPr="00817B92">
              <w:rPr>
                <w:rFonts w:eastAsia="Cambria"/>
                <w:sz w:val="20"/>
                <w:szCs w:val="20"/>
                <w:lang w:val="en-GB" w:eastAsia="en-US"/>
              </w:rPr>
              <w:t>PhenoScanner</w:t>
            </w:r>
            <w:proofErr w:type="spellEnd"/>
            <w:r w:rsidRPr="00817B92">
              <w:rPr>
                <w:rFonts w:eastAsia="Cambria"/>
                <w:sz w:val="20"/>
                <w:szCs w:val="20"/>
                <w:lang w:val="en-GB" w:eastAsia="en-US"/>
              </w:rPr>
              <w:t xml:space="preserve"> V2 (http://www.phenoscanner. </w:t>
            </w:r>
          </w:p>
          <w:p w14:paraId="79626260" w14:textId="7AC3F6E3" w:rsidR="00817B92" w:rsidRPr="00817B92" w:rsidRDefault="00817B92" w:rsidP="00686BA0">
            <w:pPr>
              <w:spacing w:beforeLines="40" w:before="96" w:afterLines="40" w:after="96" w:line="24" w:lineRule="atLeast"/>
              <w:rPr>
                <w:rFonts w:eastAsia="Times New Roman"/>
                <w:sz w:val="20"/>
                <w:szCs w:val="20"/>
                <w:lang w:val="en-GB" w:eastAsia="en-GB"/>
              </w:rPr>
            </w:pPr>
            <w:r w:rsidRPr="00817B92">
              <w:rPr>
                <w:rFonts w:eastAsia="Cambria"/>
                <w:sz w:val="20"/>
                <w:szCs w:val="20"/>
                <w:lang w:val="en-GB" w:eastAsia="en-US"/>
              </w:rPr>
              <w:t>medschl.cam.ac.uk)</w:t>
            </w:r>
          </w:p>
        </w:tc>
      </w:tr>
      <w:tr w:rsidR="00817B92" w:rsidRPr="00817B92" w14:paraId="6A631D93" w14:textId="2BD5AA8E" w:rsidTr="00817B92">
        <w:tc>
          <w:tcPr>
            <w:tcW w:w="587" w:type="dxa"/>
            <w:tcBorders>
              <w:bottom w:val="single" w:sz="6" w:space="0" w:color="7F7F7F"/>
            </w:tcBorders>
            <w:shd w:val="clear" w:color="auto" w:fill="EEEEEE"/>
          </w:tcPr>
          <w:p w14:paraId="37C88958"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tcBorders>
              <w:bottom w:val="single" w:sz="6" w:space="0" w:color="7F7F7F"/>
            </w:tcBorders>
            <w:shd w:val="clear" w:color="auto" w:fill="EEEEEE"/>
          </w:tcPr>
          <w:p w14:paraId="2349B556"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b)</w:t>
            </w:r>
          </w:p>
        </w:tc>
        <w:tc>
          <w:tcPr>
            <w:tcW w:w="5888" w:type="dxa"/>
            <w:tcBorders>
              <w:bottom w:val="single" w:sz="6" w:space="0" w:color="7F7F7F"/>
            </w:tcBorders>
            <w:shd w:val="clear" w:color="auto" w:fill="EEEEEE"/>
          </w:tcPr>
          <w:p w14:paraId="5DBE58D7"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State whether the study protocol and details were pre-registered (as well as when and where)</w:t>
            </w:r>
          </w:p>
        </w:tc>
        <w:tc>
          <w:tcPr>
            <w:tcW w:w="5472" w:type="dxa"/>
            <w:tcBorders>
              <w:bottom w:val="single" w:sz="6" w:space="0" w:color="7F7F7F"/>
            </w:tcBorders>
            <w:shd w:val="clear" w:color="auto" w:fill="EEEEEE"/>
          </w:tcPr>
          <w:p w14:paraId="3EFCD231" w14:textId="6BC1051B" w:rsidR="00817B92" w:rsidRPr="00817B92" w:rsidRDefault="00817B92" w:rsidP="00426603">
            <w:pPr>
              <w:spacing w:beforeLines="40" w:before="96" w:afterLines="40" w:after="96" w:line="24" w:lineRule="atLeast"/>
              <w:rPr>
                <w:rFonts w:eastAsiaTheme="minorEastAsia"/>
                <w:sz w:val="20"/>
                <w:szCs w:val="20"/>
                <w:lang w:val="en-GB" w:eastAsia="zh-CN"/>
              </w:rPr>
            </w:pPr>
            <w:r w:rsidRPr="00817B92">
              <w:rPr>
                <w:rFonts w:eastAsia="Times New Roman"/>
                <w:sz w:val="20"/>
                <w:szCs w:val="20"/>
                <w:lang w:val="en-GB" w:eastAsia="en-GB"/>
              </w:rPr>
              <w:t>No pre-registration involved</w:t>
            </w:r>
            <w:r w:rsidRPr="00817B92">
              <w:rPr>
                <w:rFonts w:eastAsiaTheme="minorEastAsia"/>
                <w:sz w:val="20"/>
                <w:szCs w:val="20"/>
                <w:lang w:val="en-GB" w:eastAsia="zh-CN"/>
              </w:rPr>
              <w:t>.</w:t>
            </w:r>
          </w:p>
        </w:tc>
      </w:tr>
      <w:tr w:rsidR="00817B92" w:rsidRPr="00817B92" w14:paraId="040F15E5" w14:textId="3B11C618" w:rsidTr="00817B92">
        <w:tc>
          <w:tcPr>
            <w:tcW w:w="587" w:type="dxa"/>
            <w:tcBorders>
              <w:top w:val="single" w:sz="6" w:space="0" w:color="7F7F7F"/>
            </w:tcBorders>
            <w:shd w:val="clear" w:color="auto" w:fill="auto"/>
          </w:tcPr>
          <w:p w14:paraId="777278B3"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p>
        </w:tc>
        <w:tc>
          <w:tcPr>
            <w:tcW w:w="1796" w:type="dxa"/>
            <w:tcBorders>
              <w:top w:val="single" w:sz="6" w:space="0" w:color="7F7F7F"/>
            </w:tcBorders>
            <w:shd w:val="clear" w:color="auto" w:fill="auto"/>
          </w:tcPr>
          <w:p w14:paraId="7D8D653B"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RESULTS</w:t>
            </w:r>
          </w:p>
        </w:tc>
        <w:tc>
          <w:tcPr>
            <w:tcW w:w="5888" w:type="dxa"/>
            <w:tcBorders>
              <w:top w:val="single" w:sz="6" w:space="0" w:color="7F7F7F"/>
            </w:tcBorders>
            <w:shd w:val="clear" w:color="auto" w:fill="auto"/>
          </w:tcPr>
          <w:p w14:paraId="34719287"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tcBorders>
              <w:top w:val="single" w:sz="6" w:space="0" w:color="7F7F7F"/>
            </w:tcBorders>
          </w:tcPr>
          <w:p w14:paraId="33E956D1" w14:textId="77777777" w:rsidR="00817B92" w:rsidRPr="00817B92" w:rsidRDefault="00817B92" w:rsidP="00426603">
            <w:pPr>
              <w:spacing w:beforeLines="40" w:before="96" w:afterLines="40" w:after="96" w:line="24" w:lineRule="atLeast"/>
              <w:rPr>
                <w:rFonts w:eastAsia="Cambria"/>
                <w:sz w:val="20"/>
                <w:szCs w:val="20"/>
                <w:lang w:val="en-GB" w:eastAsia="en-US"/>
              </w:rPr>
            </w:pPr>
          </w:p>
        </w:tc>
      </w:tr>
      <w:tr w:rsidR="00817B92" w:rsidRPr="00817B92" w14:paraId="67F47EED" w14:textId="4A481C08" w:rsidTr="00817B92">
        <w:tc>
          <w:tcPr>
            <w:tcW w:w="587" w:type="dxa"/>
            <w:shd w:val="clear" w:color="auto" w:fill="EEEEEE"/>
          </w:tcPr>
          <w:p w14:paraId="51C7A54B"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10</w:t>
            </w:r>
          </w:p>
        </w:tc>
        <w:tc>
          <w:tcPr>
            <w:tcW w:w="1796" w:type="dxa"/>
            <w:shd w:val="clear" w:color="auto" w:fill="EEEEEE"/>
          </w:tcPr>
          <w:p w14:paraId="731D0370"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Descriptive data</w:t>
            </w:r>
          </w:p>
        </w:tc>
        <w:tc>
          <w:tcPr>
            <w:tcW w:w="5888" w:type="dxa"/>
            <w:shd w:val="clear" w:color="auto" w:fill="EEEEEE"/>
          </w:tcPr>
          <w:p w14:paraId="3B19CDAF"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shd w:val="clear" w:color="auto" w:fill="EEEEEE"/>
          </w:tcPr>
          <w:p w14:paraId="4B684E79" w14:textId="77777777" w:rsidR="00817B92" w:rsidRPr="00817B92" w:rsidRDefault="00817B92" w:rsidP="00426603">
            <w:pPr>
              <w:spacing w:beforeLines="40" w:before="96" w:afterLines="40" w:after="96" w:line="24" w:lineRule="atLeast"/>
              <w:rPr>
                <w:rFonts w:eastAsia="Cambria"/>
                <w:sz w:val="20"/>
                <w:szCs w:val="20"/>
                <w:lang w:val="en-GB" w:eastAsia="en-US"/>
              </w:rPr>
            </w:pPr>
          </w:p>
        </w:tc>
      </w:tr>
      <w:tr w:rsidR="00817B92" w:rsidRPr="00817B92" w14:paraId="6CA228D1" w14:textId="316B6A36" w:rsidTr="00817B92">
        <w:tc>
          <w:tcPr>
            <w:tcW w:w="587" w:type="dxa"/>
            <w:shd w:val="clear" w:color="auto" w:fill="auto"/>
          </w:tcPr>
          <w:p w14:paraId="29B62776"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4C1499C8"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a)</w:t>
            </w:r>
          </w:p>
        </w:tc>
        <w:tc>
          <w:tcPr>
            <w:tcW w:w="5888" w:type="dxa"/>
            <w:shd w:val="clear" w:color="auto" w:fill="auto"/>
          </w:tcPr>
          <w:p w14:paraId="4D5C652C" w14:textId="6B5065AC"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Report the numbers of individuals at each stage of included studies and reasons for exclusion. Consider use of a flow diagram</w:t>
            </w:r>
          </w:p>
        </w:tc>
        <w:tc>
          <w:tcPr>
            <w:tcW w:w="5472" w:type="dxa"/>
          </w:tcPr>
          <w:p w14:paraId="766A5272" w14:textId="11450F46" w:rsidR="00817B92" w:rsidRPr="00817B92" w:rsidRDefault="00817B92" w:rsidP="000C6265">
            <w:pPr>
              <w:rPr>
                <w:rFonts w:eastAsia="Cambria"/>
                <w:color w:val="212121"/>
                <w:sz w:val="20"/>
                <w:szCs w:val="20"/>
                <w:shd w:val="clear" w:color="auto" w:fill="FFFFFF"/>
              </w:rPr>
            </w:pPr>
            <w:r w:rsidRPr="00817B92">
              <w:rPr>
                <w:rFonts w:eastAsia="Cambria"/>
                <w:color w:val="212121"/>
                <w:sz w:val="20"/>
                <w:szCs w:val="20"/>
                <w:shd w:val="clear" w:color="auto" w:fill="FFFFFF"/>
              </w:rPr>
              <w:t>Summary statistics of the gut microbiota were obtained from a large-scale multi-ethnic GWAS meta-analysis, involving 183</w:t>
            </w:r>
            <w:r w:rsidRPr="00817B92">
              <w:rPr>
                <w:color w:val="212121"/>
                <w:sz w:val="20"/>
                <w:szCs w:val="20"/>
                <w:shd w:val="clear" w:color="auto" w:fill="FFFFFF"/>
              </w:rPr>
              <w:t>40</w:t>
            </w:r>
            <w:r w:rsidRPr="00817B92">
              <w:rPr>
                <w:rFonts w:eastAsia="Cambria"/>
                <w:color w:val="212121"/>
                <w:sz w:val="20"/>
                <w:szCs w:val="20"/>
                <w:shd w:val="clear" w:color="auto" w:fill="FFFFFF"/>
              </w:rPr>
              <w:t xml:space="preserve"> individuals from 24 cohorts, most of which were of European ancestry. Genus-level taxa were analyzed, with a total of 131 genera showing an average abundance greater than 1%. However, 12 of these genera were unknown, leaving 119 genus-level taxa included in this study. Covariate adjustments were made for gender, age, technical covariates, and genetic principal components using Spearman correlation analysis.</w:t>
            </w:r>
          </w:p>
          <w:p w14:paraId="00D65497" w14:textId="6787D16A" w:rsidR="00817B92" w:rsidRPr="00817B92" w:rsidRDefault="00817B92" w:rsidP="00E37476">
            <w:pPr>
              <w:rPr>
                <w:rFonts w:eastAsiaTheme="minorEastAsia"/>
                <w:color w:val="212121"/>
                <w:sz w:val="20"/>
                <w:szCs w:val="20"/>
                <w:shd w:val="clear" w:color="auto" w:fill="FFFFFF"/>
                <w:lang w:eastAsia="zh-CN"/>
              </w:rPr>
            </w:pPr>
            <w:r w:rsidRPr="00817B92">
              <w:rPr>
                <w:rFonts w:eastAsia="Cambria"/>
                <w:color w:val="212121"/>
                <w:sz w:val="20"/>
                <w:szCs w:val="20"/>
                <w:shd w:val="clear" w:color="auto" w:fill="FFFFFF"/>
              </w:rPr>
              <w:t>The outcome datasets were extracted from the large publicly available GWAS analysis.</w:t>
            </w:r>
            <w:r w:rsidRPr="00817B92">
              <w:rPr>
                <w:color w:val="212121"/>
                <w:sz w:val="20"/>
                <w:szCs w:val="20"/>
                <w:shd w:val="clear" w:color="auto" w:fill="FFFFFF"/>
              </w:rPr>
              <w:t xml:space="preserve"> </w:t>
            </w:r>
            <w:r w:rsidRPr="00817B92">
              <w:rPr>
                <w:rFonts w:eastAsia="Cambria"/>
                <w:color w:val="212121"/>
                <w:sz w:val="20"/>
                <w:szCs w:val="20"/>
                <w:shd w:val="clear" w:color="auto" w:fill="FFFFFF"/>
              </w:rPr>
              <w:t>Summary data for DM were obtained from a GWAS study of European ancestry, including 208 cases and 213,145 controls. For polymyositis (PM), the study included 119 cases and 213,145 controls.</w:t>
            </w:r>
          </w:p>
        </w:tc>
      </w:tr>
      <w:tr w:rsidR="00817B92" w:rsidRPr="00817B92" w14:paraId="0765C344" w14:textId="3B2EDCCF" w:rsidTr="00817B92">
        <w:tc>
          <w:tcPr>
            <w:tcW w:w="587" w:type="dxa"/>
            <w:shd w:val="clear" w:color="auto" w:fill="EEEEEE"/>
          </w:tcPr>
          <w:p w14:paraId="2404BFFB"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6545C2F1"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b)</w:t>
            </w:r>
          </w:p>
        </w:tc>
        <w:tc>
          <w:tcPr>
            <w:tcW w:w="5888" w:type="dxa"/>
            <w:shd w:val="clear" w:color="auto" w:fill="EEEEEE"/>
          </w:tcPr>
          <w:p w14:paraId="405491AF" w14:textId="3F437E24" w:rsidR="00817B92" w:rsidRPr="00817B92" w:rsidRDefault="00817B92" w:rsidP="009E033F">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Report summary statistics for phenotypic exposure(s), outcome(s), and other relevant variables (e.g. means, SDs, proportions)</w:t>
            </w:r>
          </w:p>
        </w:tc>
        <w:tc>
          <w:tcPr>
            <w:tcW w:w="5472" w:type="dxa"/>
            <w:shd w:val="clear" w:color="auto" w:fill="EEEEEE"/>
          </w:tcPr>
          <w:p w14:paraId="7F70972F" w14:textId="77777777" w:rsidR="00817B92" w:rsidRPr="00817B92" w:rsidRDefault="00817B92" w:rsidP="00D4551F">
            <w:pPr>
              <w:spacing w:beforeLines="40" w:before="96" w:afterLines="40" w:after="96" w:line="24" w:lineRule="atLeast"/>
              <w:rPr>
                <w:rFonts w:eastAsia="Times New Roman"/>
                <w:sz w:val="20"/>
                <w:szCs w:val="20"/>
                <w:lang w:val="en-US" w:eastAsia="en-GB"/>
              </w:rPr>
            </w:pPr>
            <w:r w:rsidRPr="00817B92">
              <w:rPr>
                <w:rFonts w:eastAsia="Times New Roman"/>
                <w:b/>
                <w:bCs/>
                <w:sz w:val="20"/>
                <w:szCs w:val="20"/>
                <w:lang w:val="en-US" w:eastAsia="en-GB"/>
              </w:rPr>
              <w:t>Table 1</w:t>
            </w:r>
            <w:r w:rsidRPr="00817B92">
              <w:rPr>
                <w:rFonts w:eastAsia="Times New Roman"/>
                <w:sz w:val="20"/>
                <w:szCs w:val="20"/>
                <w:lang w:val="en-US" w:eastAsia="en-GB"/>
              </w:rPr>
              <w:t xml:space="preserve"> Significant MR analysis results in the discovery of Gut Microbiota</w:t>
            </w:r>
          </w:p>
          <w:p w14:paraId="0FD9D468" w14:textId="36522B0D" w:rsidR="00817B92" w:rsidRPr="00817B92" w:rsidRDefault="00817B92" w:rsidP="00B66A94">
            <w:pPr>
              <w:spacing w:beforeLines="40" w:before="96" w:afterLines="40" w:after="96" w:line="24" w:lineRule="atLeast"/>
              <w:rPr>
                <w:rFonts w:eastAsiaTheme="minorEastAsia"/>
                <w:sz w:val="20"/>
                <w:szCs w:val="20"/>
                <w:lang w:val="en-US" w:eastAsia="zh-CN"/>
              </w:rPr>
            </w:pPr>
            <w:r w:rsidRPr="00817B92">
              <w:rPr>
                <w:rFonts w:eastAsia="Times New Roman"/>
                <w:b/>
                <w:bCs/>
                <w:sz w:val="20"/>
                <w:szCs w:val="20"/>
                <w:lang w:val="en-US" w:eastAsia="en-GB"/>
              </w:rPr>
              <w:t xml:space="preserve">Table </w:t>
            </w:r>
            <w:r w:rsidRPr="00817B92">
              <w:rPr>
                <w:rFonts w:eastAsiaTheme="minorEastAsia"/>
                <w:b/>
                <w:bCs/>
                <w:sz w:val="20"/>
                <w:szCs w:val="20"/>
                <w:lang w:val="en-US" w:eastAsia="zh-CN"/>
              </w:rPr>
              <w:t>3</w:t>
            </w:r>
            <w:r w:rsidRPr="00817B92">
              <w:rPr>
                <w:rFonts w:eastAsia="Times New Roman"/>
                <w:sz w:val="20"/>
                <w:szCs w:val="20"/>
                <w:lang w:val="en-US" w:eastAsia="en-GB"/>
              </w:rPr>
              <w:t xml:space="preserve"> Correlation of heterogeneity and pleiotropy tests for polymyositis and dermatomyositis with genetic predictors of Gut Microbiota</w:t>
            </w:r>
          </w:p>
        </w:tc>
      </w:tr>
      <w:tr w:rsidR="00817B92" w:rsidRPr="00817B92" w14:paraId="48F10342" w14:textId="398F2C24" w:rsidTr="00817B92">
        <w:tc>
          <w:tcPr>
            <w:tcW w:w="587" w:type="dxa"/>
            <w:shd w:val="clear" w:color="auto" w:fill="auto"/>
          </w:tcPr>
          <w:p w14:paraId="6600AF43"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435099F2"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c)</w:t>
            </w:r>
          </w:p>
        </w:tc>
        <w:tc>
          <w:tcPr>
            <w:tcW w:w="5888" w:type="dxa"/>
            <w:shd w:val="clear" w:color="auto" w:fill="auto"/>
          </w:tcPr>
          <w:p w14:paraId="062EB561"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If the data sources include meta-analyses of previous studies, provide the assessments of heterogeneity across these studies</w:t>
            </w:r>
          </w:p>
        </w:tc>
        <w:tc>
          <w:tcPr>
            <w:tcW w:w="5472" w:type="dxa"/>
          </w:tcPr>
          <w:p w14:paraId="449D40FD" w14:textId="7E5454B1" w:rsidR="00817B92" w:rsidRPr="00817B92" w:rsidRDefault="00817B92" w:rsidP="00B66A94">
            <w:pPr>
              <w:spacing w:beforeLines="40" w:before="96" w:afterLines="40" w:after="96" w:line="24" w:lineRule="atLeast"/>
              <w:rPr>
                <w:rFonts w:eastAsiaTheme="minorEastAsia"/>
                <w:sz w:val="20"/>
                <w:szCs w:val="20"/>
                <w:lang w:val="en-GB" w:eastAsia="zh-CN"/>
              </w:rPr>
            </w:pPr>
            <w:r w:rsidRPr="00817B92">
              <w:rPr>
                <w:rFonts w:eastAsiaTheme="minorEastAsia"/>
                <w:sz w:val="20"/>
                <w:szCs w:val="20"/>
                <w:lang w:val="en-GB" w:eastAsia="zh-CN"/>
              </w:rPr>
              <w:t>no</w:t>
            </w:r>
          </w:p>
        </w:tc>
      </w:tr>
      <w:tr w:rsidR="00817B92" w:rsidRPr="00817B92" w14:paraId="51930A8C" w14:textId="221D5A9E" w:rsidTr="00817B92">
        <w:tc>
          <w:tcPr>
            <w:tcW w:w="587" w:type="dxa"/>
            <w:shd w:val="clear" w:color="auto" w:fill="EEEEEE"/>
          </w:tcPr>
          <w:p w14:paraId="6116DD95"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453F7877"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d)</w:t>
            </w:r>
          </w:p>
        </w:tc>
        <w:tc>
          <w:tcPr>
            <w:tcW w:w="5888" w:type="dxa"/>
            <w:shd w:val="clear" w:color="auto" w:fill="EEEEEE"/>
          </w:tcPr>
          <w:p w14:paraId="2EFD572E" w14:textId="5230C0F8"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 xml:space="preserve">For </w:t>
            </w:r>
            <w:r w:rsidRPr="00817B92">
              <w:rPr>
                <w:rFonts w:eastAsia="Times New Roman"/>
                <w:iCs/>
                <w:sz w:val="20"/>
                <w:szCs w:val="20"/>
                <w:lang w:val="en-GB" w:eastAsia="en-GB"/>
              </w:rPr>
              <w:t>two-sample</w:t>
            </w:r>
            <w:r w:rsidRPr="00817B92">
              <w:rPr>
                <w:rFonts w:eastAsia="Times New Roman"/>
                <w:sz w:val="20"/>
                <w:szCs w:val="20"/>
                <w:lang w:val="en-GB" w:eastAsia="en-GB"/>
              </w:rPr>
              <w:t xml:space="preserve"> MR:</w:t>
            </w:r>
          </w:p>
          <w:p w14:paraId="48065368"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 xml:space="preserve">   i.  Provide justification of the similarity of the genetic variant-exposure associations between the exposure and outcome samples</w:t>
            </w:r>
          </w:p>
          <w:p w14:paraId="35BA9280"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 xml:space="preserve">   ii.  Provide information on the number of individuals who overlap between the exposure and outcome studies</w:t>
            </w:r>
          </w:p>
        </w:tc>
        <w:tc>
          <w:tcPr>
            <w:tcW w:w="5472" w:type="dxa"/>
            <w:shd w:val="clear" w:color="auto" w:fill="EEEEEE"/>
          </w:tcPr>
          <w:p w14:paraId="5B2A1A71" w14:textId="1CE64473" w:rsidR="00817B92" w:rsidRPr="00817B92" w:rsidRDefault="00817B92" w:rsidP="00426603">
            <w:pPr>
              <w:spacing w:beforeLines="40" w:before="96" w:afterLines="40" w:after="96" w:line="24" w:lineRule="atLeast"/>
              <w:rPr>
                <w:rFonts w:eastAsiaTheme="minorEastAsia"/>
                <w:sz w:val="20"/>
                <w:szCs w:val="20"/>
                <w:lang w:val="en-US" w:eastAsia="zh-CN"/>
              </w:rPr>
            </w:pPr>
            <w:r w:rsidRPr="00817B92">
              <w:rPr>
                <w:rFonts w:eastAsia="Times New Roman"/>
                <w:sz w:val="20"/>
                <w:szCs w:val="20"/>
                <w:lang w:val="en-US" w:eastAsia="en-GB"/>
              </w:rPr>
              <w:t>Detailed information on the specific SNPs used in the analysis is provided in the Supplement materials.</w:t>
            </w:r>
          </w:p>
        </w:tc>
      </w:tr>
      <w:tr w:rsidR="00817B92" w:rsidRPr="00817B92" w14:paraId="52CFCA59" w14:textId="5AC9CE3E" w:rsidTr="00817B92">
        <w:tc>
          <w:tcPr>
            <w:tcW w:w="587" w:type="dxa"/>
            <w:shd w:val="clear" w:color="auto" w:fill="auto"/>
          </w:tcPr>
          <w:p w14:paraId="110872BB"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11</w:t>
            </w:r>
          </w:p>
        </w:tc>
        <w:tc>
          <w:tcPr>
            <w:tcW w:w="1796" w:type="dxa"/>
            <w:shd w:val="clear" w:color="auto" w:fill="auto"/>
          </w:tcPr>
          <w:p w14:paraId="0C26298F"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Main results</w:t>
            </w:r>
          </w:p>
        </w:tc>
        <w:tc>
          <w:tcPr>
            <w:tcW w:w="5888" w:type="dxa"/>
            <w:shd w:val="clear" w:color="auto" w:fill="auto"/>
          </w:tcPr>
          <w:p w14:paraId="2F14FA37"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tcPr>
          <w:p w14:paraId="0AFA0083" w14:textId="77777777" w:rsidR="00817B92" w:rsidRPr="00817B92" w:rsidRDefault="00817B92" w:rsidP="00426603">
            <w:pPr>
              <w:spacing w:beforeLines="40" w:before="96" w:afterLines="40" w:after="96" w:line="24" w:lineRule="atLeast"/>
              <w:rPr>
                <w:rFonts w:eastAsia="Cambria"/>
                <w:sz w:val="20"/>
                <w:szCs w:val="20"/>
                <w:lang w:val="en-GB" w:eastAsia="en-US"/>
              </w:rPr>
            </w:pPr>
          </w:p>
        </w:tc>
      </w:tr>
      <w:tr w:rsidR="00817B92" w:rsidRPr="00817B92" w14:paraId="56845A2A" w14:textId="1DC0780C" w:rsidTr="00817B92">
        <w:tc>
          <w:tcPr>
            <w:tcW w:w="587" w:type="dxa"/>
            <w:shd w:val="clear" w:color="auto" w:fill="EEEEEE"/>
          </w:tcPr>
          <w:p w14:paraId="0892A548"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7CDB72AD"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a)</w:t>
            </w:r>
          </w:p>
        </w:tc>
        <w:tc>
          <w:tcPr>
            <w:tcW w:w="5888" w:type="dxa"/>
            <w:shd w:val="clear" w:color="auto" w:fill="EEEEEE"/>
          </w:tcPr>
          <w:p w14:paraId="09CB478B"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Report the associations between genetic variant and exposure, and between genetic variant and outcome, preferably on an interpretable scale</w:t>
            </w:r>
          </w:p>
        </w:tc>
        <w:tc>
          <w:tcPr>
            <w:tcW w:w="5472" w:type="dxa"/>
            <w:shd w:val="clear" w:color="auto" w:fill="EEEEEE"/>
          </w:tcPr>
          <w:p w14:paraId="06B9F615" w14:textId="77777777" w:rsidR="00817B92" w:rsidRPr="00817B92" w:rsidRDefault="00817B92" w:rsidP="00B66A94">
            <w:pPr>
              <w:spacing w:beforeLines="40" w:before="96" w:afterLines="40" w:after="96" w:line="24" w:lineRule="atLeast"/>
              <w:rPr>
                <w:rFonts w:eastAsia="Times New Roman"/>
                <w:sz w:val="20"/>
                <w:szCs w:val="20"/>
                <w:lang w:val="en-US" w:eastAsia="en-GB"/>
              </w:rPr>
            </w:pPr>
            <w:r w:rsidRPr="00817B92">
              <w:rPr>
                <w:rFonts w:eastAsia="Times New Roman"/>
                <w:sz w:val="20"/>
                <w:szCs w:val="20"/>
                <w:lang w:val="en-US" w:eastAsia="en-GB"/>
              </w:rPr>
              <w:t xml:space="preserve">As shown in </w:t>
            </w:r>
            <w:r w:rsidRPr="00817B92">
              <w:rPr>
                <w:rFonts w:eastAsia="Times New Roman"/>
                <w:b/>
                <w:bCs/>
                <w:sz w:val="20"/>
                <w:szCs w:val="20"/>
                <w:lang w:val="en-US" w:eastAsia="en-GB"/>
              </w:rPr>
              <w:t>Table 1</w:t>
            </w:r>
            <w:r w:rsidRPr="00817B92">
              <w:rPr>
                <w:rFonts w:eastAsia="Times New Roman"/>
                <w:sz w:val="20"/>
                <w:szCs w:val="20"/>
                <w:lang w:val="en-US" w:eastAsia="en-GB"/>
              </w:rPr>
              <w:t xml:space="preserve"> and </w:t>
            </w:r>
            <w:r w:rsidRPr="00817B92">
              <w:rPr>
                <w:rFonts w:eastAsia="Times New Roman"/>
                <w:b/>
                <w:bCs/>
                <w:sz w:val="20"/>
                <w:szCs w:val="20"/>
                <w:lang w:val="en-US" w:eastAsia="en-GB"/>
              </w:rPr>
              <w:t>Figure2</w:t>
            </w:r>
            <w:r w:rsidRPr="00817B92">
              <w:rPr>
                <w:rFonts w:eastAsia="Times New Roman"/>
                <w:sz w:val="20"/>
                <w:szCs w:val="20"/>
                <w:lang w:val="en-US" w:eastAsia="en-GB"/>
              </w:rPr>
              <w:t xml:space="preserve">, we observed a certain genus-level taxa of gut microbiota have causal effects on the risk of PM and DM. Specifically, a higher genetically predicted level of </w:t>
            </w:r>
            <w:proofErr w:type="spellStart"/>
            <w:r w:rsidRPr="00817B92">
              <w:rPr>
                <w:rFonts w:eastAsia="Times New Roman"/>
                <w:i/>
                <w:sz w:val="20"/>
                <w:szCs w:val="20"/>
                <w:lang w:val="en-US" w:eastAsia="en-GB"/>
              </w:rPr>
              <w:t>Alloprevotella</w:t>
            </w:r>
            <w:proofErr w:type="spellEnd"/>
            <w:r w:rsidRPr="00817B92">
              <w:rPr>
                <w:rFonts w:eastAsia="Times New Roman"/>
                <w:sz w:val="20"/>
                <w:szCs w:val="20"/>
                <w:lang w:val="en-US" w:eastAsia="en-GB"/>
              </w:rPr>
              <w:t xml:space="preserve"> (OR: 2.626, 95% CI: 1.095-6.298, P=0.031) and </w:t>
            </w:r>
            <w:proofErr w:type="spellStart"/>
            <w:r w:rsidRPr="00817B92">
              <w:rPr>
                <w:rFonts w:eastAsia="Times New Roman"/>
                <w:i/>
                <w:sz w:val="20"/>
                <w:szCs w:val="20"/>
                <w:lang w:val="en-US" w:eastAsia="en-GB"/>
              </w:rPr>
              <w:t>Ruminococcaceae</w:t>
            </w:r>
            <w:proofErr w:type="spellEnd"/>
            <w:r w:rsidRPr="00817B92">
              <w:rPr>
                <w:rFonts w:eastAsia="Times New Roman"/>
                <w:i/>
                <w:sz w:val="20"/>
                <w:szCs w:val="20"/>
                <w:lang w:val="en-US" w:eastAsia="en-GB"/>
              </w:rPr>
              <w:t xml:space="preserve"> UCG003</w:t>
            </w:r>
            <w:r w:rsidRPr="00817B92">
              <w:rPr>
                <w:rFonts w:eastAsia="Times New Roman"/>
                <w:sz w:val="20"/>
                <w:szCs w:val="20"/>
                <w:lang w:val="en-US" w:eastAsia="en-GB"/>
              </w:rPr>
              <w:t xml:space="preserve"> (OR: 4.219, 95% CI: 1.227-14.511, P=0.022) was associated with an increased risk of PM, while </w:t>
            </w:r>
            <w:proofErr w:type="spellStart"/>
            <w:r w:rsidRPr="00817B92">
              <w:rPr>
                <w:rFonts w:eastAsia="Times New Roman"/>
                <w:i/>
                <w:sz w:val="20"/>
                <w:szCs w:val="20"/>
                <w:lang w:val="en-US" w:eastAsia="en-GB"/>
              </w:rPr>
              <w:t>Dialister</w:t>
            </w:r>
            <w:proofErr w:type="spellEnd"/>
            <w:r w:rsidRPr="00817B92">
              <w:rPr>
                <w:rFonts w:eastAsia="Times New Roman"/>
                <w:sz w:val="20"/>
                <w:szCs w:val="20"/>
                <w:lang w:val="en-US" w:eastAsia="en-GB"/>
              </w:rPr>
              <w:t xml:space="preserve"> was found to be related to a lower risk of PM (OR:0.273, 95% CI:0.077-0.974, P=0.045). For DM, genus </w:t>
            </w:r>
            <w:proofErr w:type="spellStart"/>
            <w:r w:rsidRPr="00817B92">
              <w:rPr>
                <w:rFonts w:eastAsia="Times New Roman"/>
                <w:i/>
                <w:sz w:val="20"/>
                <w:szCs w:val="20"/>
                <w:lang w:val="en-US" w:eastAsia="en-GB"/>
              </w:rPr>
              <w:t>Anaerotruncus</w:t>
            </w:r>
            <w:proofErr w:type="spellEnd"/>
            <w:r w:rsidRPr="00817B92">
              <w:rPr>
                <w:rFonts w:eastAsia="Times New Roman"/>
                <w:sz w:val="20"/>
                <w:szCs w:val="20"/>
                <w:lang w:val="en-US" w:eastAsia="en-GB"/>
              </w:rPr>
              <w:t xml:space="preserve"> showed a negative correlation with DM (OR: 0.314, 95%CI: 0.112-0.882, P=0.028), indicating a lower risk of DM, while </w:t>
            </w:r>
            <w:proofErr w:type="spellStart"/>
            <w:r w:rsidRPr="00817B92">
              <w:rPr>
                <w:rFonts w:eastAsia="Times New Roman"/>
                <w:i/>
                <w:sz w:val="20"/>
                <w:szCs w:val="20"/>
                <w:lang w:val="en-US" w:eastAsia="en-GB"/>
              </w:rPr>
              <w:t>Ruminococcaceae</w:t>
            </w:r>
            <w:proofErr w:type="spellEnd"/>
            <w:r w:rsidRPr="00817B92">
              <w:rPr>
                <w:rFonts w:eastAsia="Times New Roman"/>
                <w:i/>
                <w:sz w:val="20"/>
                <w:szCs w:val="20"/>
                <w:lang w:val="en-US" w:eastAsia="en-GB"/>
              </w:rPr>
              <w:t xml:space="preserve"> UCG002 </w:t>
            </w:r>
            <w:r w:rsidRPr="00817B92">
              <w:rPr>
                <w:rFonts w:eastAsia="Times New Roman"/>
                <w:sz w:val="20"/>
                <w:szCs w:val="20"/>
                <w:lang w:val="en-US" w:eastAsia="en-GB"/>
              </w:rPr>
              <w:t xml:space="preserve">(OR:2.439, 95% CI:1.173-5.071, P=0.017) and </w:t>
            </w:r>
            <w:proofErr w:type="spellStart"/>
            <w:r w:rsidRPr="00817B92">
              <w:rPr>
                <w:rFonts w:eastAsia="Times New Roman"/>
                <w:i/>
                <w:sz w:val="20"/>
                <w:szCs w:val="20"/>
                <w:lang w:val="en-US" w:eastAsia="en-GB"/>
              </w:rPr>
              <w:t>Sutterella</w:t>
            </w:r>
            <w:proofErr w:type="spellEnd"/>
            <w:r w:rsidRPr="00817B92">
              <w:rPr>
                <w:rFonts w:eastAsia="Times New Roman"/>
                <w:i/>
                <w:sz w:val="20"/>
                <w:szCs w:val="20"/>
                <w:lang w:val="en-US" w:eastAsia="en-GB"/>
              </w:rPr>
              <w:t xml:space="preserve"> </w:t>
            </w:r>
            <w:r w:rsidRPr="00817B92">
              <w:rPr>
                <w:rFonts w:eastAsia="Times New Roman"/>
                <w:sz w:val="20"/>
                <w:szCs w:val="20"/>
                <w:lang w:val="en-US" w:eastAsia="en-GB"/>
              </w:rPr>
              <w:t>(OR:3.392, 95% CI:1.302-8.839, P=0.012) were associated with an increased risk of DM. Detailed information on the specific SNPs used in the analysis is provided in the Supplement materials.</w:t>
            </w:r>
          </w:p>
          <w:p w14:paraId="7BCA1C07" w14:textId="77777777" w:rsidR="00817B92" w:rsidRPr="00817B92" w:rsidRDefault="00817B92" w:rsidP="00426603">
            <w:pPr>
              <w:spacing w:beforeLines="40" w:before="96" w:afterLines="40" w:after="96" w:line="24" w:lineRule="atLeast"/>
              <w:rPr>
                <w:rFonts w:eastAsia="Times New Roman"/>
                <w:sz w:val="20"/>
                <w:szCs w:val="20"/>
                <w:lang w:val="en-US" w:eastAsia="en-GB"/>
              </w:rPr>
            </w:pPr>
          </w:p>
        </w:tc>
      </w:tr>
      <w:tr w:rsidR="00817B92" w:rsidRPr="00817B92" w14:paraId="2FAEFE68" w14:textId="09D82DE1" w:rsidTr="00817B92">
        <w:tc>
          <w:tcPr>
            <w:tcW w:w="587" w:type="dxa"/>
            <w:shd w:val="clear" w:color="auto" w:fill="auto"/>
          </w:tcPr>
          <w:p w14:paraId="2E83DFB7" w14:textId="77777777" w:rsidR="00817B92" w:rsidRPr="00817B92" w:rsidRDefault="00817B92" w:rsidP="00B66A94">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142A3CE2" w14:textId="77777777" w:rsidR="00817B92" w:rsidRPr="00817B92" w:rsidRDefault="00817B92" w:rsidP="00B66A94">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b)</w:t>
            </w:r>
          </w:p>
        </w:tc>
        <w:tc>
          <w:tcPr>
            <w:tcW w:w="5888" w:type="dxa"/>
            <w:shd w:val="clear" w:color="auto" w:fill="auto"/>
          </w:tcPr>
          <w:p w14:paraId="336E75EE" w14:textId="144F95EC" w:rsidR="00817B92" w:rsidRPr="00817B92" w:rsidRDefault="00817B92" w:rsidP="00B66A94">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Report MR estimates of the relationship between exposure and outcome, and the measures of uncertainty from the MR analysis, on an interpretable scale, such as odds ratio or relative risk per SD difference</w:t>
            </w:r>
          </w:p>
        </w:tc>
        <w:tc>
          <w:tcPr>
            <w:tcW w:w="5472" w:type="dxa"/>
          </w:tcPr>
          <w:p w14:paraId="4564CEDB" w14:textId="644DFD2E" w:rsidR="00817B92" w:rsidRPr="00817B92" w:rsidRDefault="00817B92" w:rsidP="00B66A94">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 xml:space="preserve">None of the MR-Egger regression intercepts deviated from zero, indicating no evidence of horizontal pleiotropy (all intercepts P &gt; 0.05). Additionally, the leave-one-out analysis demonstrated consistent causal estimations, suggesting that none of the identified causal associations were heavily driven by any single IV. The results of the sensitivity analysis are presented in Table </w:t>
            </w:r>
            <w:r w:rsidRPr="00817B92">
              <w:rPr>
                <w:rFonts w:eastAsiaTheme="minorEastAsia"/>
                <w:sz w:val="20"/>
                <w:szCs w:val="20"/>
                <w:lang w:val="en-GB" w:eastAsia="zh-CN"/>
              </w:rPr>
              <w:t>3</w:t>
            </w:r>
            <w:r w:rsidRPr="00817B92">
              <w:rPr>
                <w:rFonts w:eastAsia="Times New Roman"/>
                <w:sz w:val="20"/>
                <w:szCs w:val="20"/>
                <w:lang w:val="en-GB" w:eastAsia="en-GB"/>
              </w:rPr>
              <w:t xml:space="preserve"> and Fig 4.</w:t>
            </w:r>
          </w:p>
        </w:tc>
      </w:tr>
      <w:tr w:rsidR="00817B92" w:rsidRPr="00817B92" w14:paraId="1FAC379E" w14:textId="0C198578" w:rsidTr="00817B92">
        <w:tc>
          <w:tcPr>
            <w:tcW w:w="587" w:type="dxa"/>
            <w:shd w:val="clear" w:color="auto" w:fill="EEEEEE"/>
          </w:tcPr>
          <w:p w14:paraId="6762B88A" w14:textId="77777777" w:rsidR="00817B92" w:rsidRPr="00817B92" w:rsidRDefault="00817B92" w:rsidP="00B66A94">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514E8164" w14:textId="77777777" w:rsidR="00817B92" w:rsidRPr="00817B92" w:rsidRDefault="00817B92" w:rsidP="00B66A94">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c)</w:t>
            </w:r>
          </w:p>
        </w:tc>
        <w:tc>
          <w:tcPr>
            <w:tcW w:w="5888" w:type="dxa"/>
            <w:shd w:val="clear" w:color="auto" w:fill="EEEEEE"/>
          </w:tcPr>
          <w:p w14:paraId="4BC6AB73" w14:textId="77777777" w:rsidR="00817B92" w:rsidRPr="00817B92" w:rsidRDefault="00817B92" w:rsidP="00B66A94">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If relevant, consider translating estimates of relative risk into absolute risk for a meaningful time period</w:t>
            </w:r>
          </w:p>
        </w:tc>
        <w:tc>
          <w:tcPr>
            <w:tcW w:w="5472" w:type="dxa"/>
            <w:shd w:val="clear" w:color="auto" w:fill="EEEEEE"/>
          </w:tcPr>
          <w:p w14:paraId="4A2216FF" w14:textId="7AFED5EE" w:rsidR="00817B92" w:rsidRPr="00817B92" w:rsidRDefault="00817B92" w:rsidP="00B66A94">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 xml:space="preserve">None of the MR-Egger regression intercepts deviated from zero, indicating no evidence of horizontal pleiotropy (all intercepts P &gt; 0.05). Additionally, the leave-one-out analysis demonstrated consistent causal estimations, </w:t>
            </w:r>
            <w:r w:rsidRPr="00817B92">
              <w:rPr>
                <w:rFonts w:eastAsia="Times New Roman"/>
                <w:sz w:val="20"/>
                <w:szCs w:val="20"/>
                <w:lang w:val="en-GB" w:eastAsia="en-GB"/>
              </w:rPr>
              <w:lastRenderedPageBreak/>
              <w:t xml:space="preserve">suggesting that none of the identified causal associations were heavily driven by any single IV. The results of the sensitivity analysis are presented in Table </w:t>
            </w:r>
            <w:r w:rsidRPr="00817B92">
              <w:rPr>
                <w:rFonts w:eastAsiaTheme="minorEastAsia"/>
                <w:sz w:val="20"/>
                <w:szCs w:val="20"/>
                <w:lang w:val="en-GB" w:eastAsia="zh-CN"/>
              </w:rPr>
              <w:t>3</w:t>
            </w:r>
            <w:r w:rsidRPr="00817B92">
              <w:rPr>
                <w:rFonts w:eastAsia="Times New Roman"/>
                <w:sz w:val="20"/>
                <w:szCs w:val="20"/>
                <w:lang w:val="en-GB" w:eastAsia="en-GB"/>
              </w:rPr>
              <w:t xml:space="preserve"> and Fig 4.</w:t>
            </w:r>
          </w:p>
        </w:tc>
      </w:tr>
      <w:tr w:rsidR="00817B92" w:rsidRPr="00817B92" w14:paraId="00F87C74" w14:textId="30F32A00" w:rsidTr="00817B92">
        <w:tc>
          <w:tcPr>
            <w:tcW w:w="587" w:type="dxa"/>
            <w:shd w:val="clear" w:color="auto" w:fill="auto"/>
          </w:tcPr>
          <w:p w14:paraId="2CDE5DE6"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69C50E8E"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d)</w:t>
            </w:r>
          </w:p>
        </w:tc>
        <w:tc>
          <w:tcPr>
            <w:tcW w:w="5888" w:type="dxa"/>
            <w:shd w:val="clear" w:color="auto" w:fill="auto"/>
          </w:tcPr>
          <w:p w14:paraId="47CC3ACC"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Consider plots to visualize results (e.g. forest plot, scatterplot of associations between genetic variants and outcome versus between genetic variants and exposure)</w:t>
            </w:r>
          </w:p>
        </w:tc>
        <w:tc>
          <w:tcPr>
            <w:tcW w:w="5472" w:type="dxa"/>
          </w:tcPr>
          <w:p w14:paraId="3305917A" w14:textId="77777777" w:rsidR="00817B92" w:rsidRPr="00817B92" w:rsidRDefault="00817B92" w:rsidP="00B66A94">
            <w:pPr>
              <w:spacing w:beforeLines="40" w:before="96" w:afterLines="40" w:after="96" w:line="24" w:lineRule="atLeast"/>
              <w:rPr>
                <w:rFonts w:eastAsiaTheme="minorEastAsia"/>
                <w:noProof/>
                <w:sz w:val="20"/>
                <w:szCs w:val="20"/>
                <w:lang w:val="en-GB" w:eastAsia="zh-CN"/>
              </w:rPr>
            </w:pPr>
            <w:r w:rsidRPr="00817B92">
              <w:rPr>
                <w:rFonts w:eastAsia="Times New Roman"/>
                <w:sz w:val="20"/>
                <w:szCs w:val="20"/>
                <w:lang w:val="en-GB" w:eastAsia="en-GB"/>
              </w:rPr>
              <w:t>As shown in Table 1 and Fig 3, we observed a certain genus-level taxa of gut microbiota have causal effects on the risk of PM and DM.</w:t>
            </w:r>
          </w:p>
          <w:p w14:paraId="7B9F0A4D" w14:textId="2FC96902" w:rsidR="00817B92" w:rsidRPr="00817B92" w:rsidRDefault="00817B92" w:rsidP="00B66A94">
            <w:pPr>
              <w:spacing w:beforeLines="40" w:before="96" w:afterLines="40" w:after="96" w:line="24" w:lineRule="atLeast"/>
              <w:rPr>
                <w:rFonts w:eastAsiaTheme="minorEastAsia"/>
                <w:sz w:val="20"/>
                <w:szCs w:val="20"/>
                <w:lang w:val="en-GB" w:eastAsia="zh-CN"/>
              </w:rPr>
            </w:pPr>
            <w:r w:rsidRPr="00817B92">
              <w:rPr>
                <w:rFonts w:eastAsiaTheme="minorEastAsia"/>
                <w:noProof/>
                <w:sz w:val="20"/>
                <w:szCs w:val="20"/>
                <w:lang w:val="en-GB" w:eastAsia="zh-CN"/>
              </w:rPr>
              <w:drawing>
                <wp:inline distT="0" distB="0" distL="0" distR="0" wp14:anchorId="28CC2A66" wp14:editId="7B774613">
                  <wp:extent cx="1478801" cy="1298014"/>
                  <wp:effectExtent l="0" t="0" r="7620" b="0"/>
                  <wp:docPr id="332189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8962"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801" cy="1298014"/>
                          </a:xfrm>
                          <a:prstGeom prst="rect">
                            <a:avLst/>
                          </a:prstGeom>
                        </pic:spPr>
                      </pic:pic>
                    </a:graphicData>
                  </a:graphic>
                </wp:inline>
              </w:drawing>
            </w:r>
            <w:r w:rsidRPr="00817B92">
              <w:rPr>
                <w:rFonts w:eastAsiaTheme="minorEastAsia"/>
                <w:noProof/>
                <w:sz w:val="20"/>
                <w:szCs w:val="20"/>
                <w:lang w:val="en-GB" w:eastAsia="zh-CN"/>
              </w:rPr>
              <w:drawing>
                <wp:inline distT="0" distB="0" distL="0" distR="0" wp14:anchorId="5CCE48CB" wp14:editId="3B02F4D4">
                  <wp:extent cx="1619367" cy="1109780"/>
                  <wp:effectExtent l="0" t="0" r="0" b="0"/>
                  <wp:docPr id="5620134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13423" name="图片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367" cy="1109780"/>
                          </a:xfrm>
                          <a:prstGeom prst="rect">
                            <a:avLst/>
                          </a:prstGeom>
                        </pic:spPr>
                      </pic:pic>
                    </a:graphicData>
                  </a:graphic>
                </wp:inline>
              </w:drawing>
            </w:r>
          </w:p>
        </w:tc>
      </w:tr>
      <w:tr w:rsidR="00817B92" w:rsidRPr="00817B92" w14:paraId="62E6DFEA" w14:textId="107C6F5B" w:rsidTr="00817B92">
        <w:tc>
          <w:tcPr>
            <w:tcW w:w="587" w:type="dxa"/>
            <w:shd w:val="clear" w:color="auto" w:fill="EEEEEE"/>
          </w:tcPr>
          <w:p w14:paraId="57CB2789"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12</w:t>
            </w:r>
          </w:p>
        </w:tc>
        <w:tc>
          <w:tcPr>
            <w:tcW w:w="1796" w:type="dxa"/>
            <w:shd w:val="clear" w:color="auto" w:fill="EEEEEE"/>
          </w:tcPr>
          <w:p w14:paraId="27B891DB"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Assessment of assumptions</w:t>
            </w:r>
          </w:p>
        </w:tc>
        <w:tc>
          <w:tcPr>
            <w:tcW w:w="5888" w:type="dxa"/>
            <w:shd w:val="clear" w:color="auto" w:fill="EEEEEE"/>
          </w:tcPr>
          <w:p w14:paraId="6EC050C1"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shd w:val="clear" w:color="auto" w:fill="EEEEEE"/>
          </w:tcPr>
          <w:p w14:paraId="10C8ADE2" w14:textId="77777777" w:rsidR="00817B92" w:rsidRPr="00817B92" w:rsidRDefault="00817B92" w:rsidP="00426603">
            <w:pPr>
              <w:spacing w:beforeLines="40" w:before="96" w:afterLines="40" w:after="96" w:line="24" w:lineRule="atLeast"/>
              <w:rPr>
                <w:rFonts w:eastAsia="Cambria"/>
                <w:sz w:val="20"/>
                <w:szCs w:val="20"/>
                <w:lang w:val="en-GB" w:eastAsia="en-US"/>
              </w:rPr>
            </w:pPr>
          </w:p>
        </w:tc>
      </w:tr>
      <w:tr w:rsidR="00817B92" w:rsidRPr="00817B92" w14:paraId="48EE0AFA" w14:textId="55C0BF1C" w:rsidTr="00817B92">
        <w:tc>
          <w:tcPr>
            <w:tcW w:w="587" w:type="dxa"/>
            <w:shd w:val="clear" w:color="auto" w:fill="auto"/>
          </w:tcPr>
          <w:p w14:paraId="4E29121D"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18A8B0EA"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a)</w:t>
            </w:r>
          </w:p>
        </w:tc>
        <w:tc>
          <w:tcPr>
            <w:tcW w:w="5888" w:type="dxa"/>
            <w:shd w:val="clear" w:color="auto" w:fill="auto"/>
          </w:tcPr>
          <w:p w14:paraId="1A97B456"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Report the assessment of the validity of the assumptions</w:t>
            </w:r>
          </w:p>
        </w:tc>
        <w:tc>
          <w:tcPr>
            <w:tcW w:w="5472" w:type="dxa"/>
          </w:tcPr>
          <w:p w14:paraId="5E7081D1" w14:textId="2042EF71" w:rsidR="00817B92" w:rsidRPr="00817B92" w:rsidRDefault="00817B92" w:rsidP="00426603">
            <w:pPr>
              <w:spacing w:beforeLines="40" w:before="96" w:afterLines="40" w:after="96" w:line="24" w:lineRule="atLeast"/>
              <w:rPr>
                <w:rFonts w:eastAsiaTheme="minorEastAsia"/>
                <w:sz w:val="20"/>
                <w:szCs w:val="20"/>
                <w:lang w:val="en-US" w:eastAsia="zh-CN"/>
              </w:rPr>
            </w:pPr>
            <w:bookmarkStart w:id="5" w:name="_Hlk162640786"/>
            <w:r w:rsidRPr="00817B92">
              <w:rPr>
                <w:rFonts w:eastAsia="Times New Roman"/>
                <w:sz w:val="20"/>
                <w:szCs w:val="20"/>
                <w:lang w:val="en-US" w:eastAsia="en-GB"/>
              </w:rPr>
              <w:t xml:space="preserve">To assess the causal relationship between gut microflora and outcomes, MR analysis was conducted using three methods: inverse variance weighting (IVW), MR-Egger regression, and </w:t>
            </w:r>
            <w:bookmarkStart w:id="6" w:name="_Hlk147776723"/>
            <w:r w:rsidRPr="00817B92">
              <w:rPr>
                <w:rFonts w:eastAsia="Times New Roman"/>
                <w:sz w:val="20"/>
                <w:szCs w:val="20"/>
                <w:lang w:val="en-US" w:eastAsia="en-GB"/>
              </w:rPr>
              <w:t>weighted median</w:t>
            </w:r>
            <w:bookmarkEnd w:id="6"/>
            <w:r w:rsidRPr="00817B92">
              <w:rPr>
                <w:rFonts w:eastAsia="Times New Roman"/>
                <w:sz w:val="20"/>
                <w:szCs w:val="20"/>
                <w:lang w:val="en-US" w:eastAsia="en-GB"/>
              </w:rPr>
              <w:t xml:space="preserve"> (</w:t>
            </w:r>
            <w:bookmarkStart w:id="7" w:name="_Hlk147776713"/>
            <w:r w:rsidRPr="00817B92">
              <w:rPr>
                <w:rFonts w:eastAsia="Times New Roman"/>
                <w:sz w:val="20"/>
                <w:szCs w:val="20"/>
                <w:lang w:val="en-US" w:eastAsia="en-GB"/>
              </w:rPr>
              <w:t>WME</w:t>
            </w:r>
            <w:bookmarkEnd w:id="7"/>
            <w:r w:rsidRPr="00817B92">
              <w:rPr>
                <w:rFonts w:eastAsia="Times New Roman"/>
                <w:sz w:val="20"/>
                <w:szCs w:val="20"/>
                <w:lang w:val="en-US" w:eastAsia="en-GB"/>
              </w:rPr>
              <w:t>). These methods have been extensively described in previous studies. IVW analysis was considered the most reliable method for estimating the causal relationship between exposure and outcome while being sensitive to pleiotropy. MR-Egger regression and WME were further applied as complementary analyses. MR-Egger regression helps detect potential bias in meta-analyses and assesses bias in polymorphism. WME provides consistent effect estimates in MR analyses even though up to half of the information comes from invalid IVs.</w:t>
            </w:r>
            <w:bookmarkEnd w:id="5"/>
          </w:p>
        </w:tc>
      </w:tr>
      <w:tr w:rsidR="00817B92" w:rsidRPr="00817B92" w14:paraId="7BDA55CD" w14:textId="6465618D" w:rsidTr="00817B92">
        <w:tc>
          <w:tcPr>
            <w:tcW w:w="587" w:type="dxa"/>
            <w:shd w:val="clear" w:color="auto" w:fill="EEEEEE"/>
          </w:tcPr>
          <w:p w14:paraId="6F27FA73"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6BC0019D"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b)</w:t>
            </w:r>
          </w:p>
        </w:tc>
        <w:tc>
          <w:tcPr>
            <w:tcW w:w="5888" w:type="dxa"/>
            <w:shd w:val="clear" w:color="auto" w:fill="EEEEEE"/>
          </w:tcPr>
          <w:p w14:paraId="400ADD58"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 xml:space="preserve">Report any additional statistics (e.g., assessments of heterogeneity </w:t>
            </w:r>
            <w:r w:rsidRPr="00817B92">
              <w:rPr>
                <w:rFonts w:eastAsia="Times New Roman"/>
                <w:sz w:val="20"/>
                <w:szCs w:val="20"/>
                <w:lang w:eastAsia="en-GB"/>
              </w:rPr>
              <w:t>across genetic variants</w:t>
            </w:r>
            <w:r w:rsidRPr="00817B92">
              <w:rPr>
                <w:rFonts w:eastAsia="Times New Roman"/>
                <w:sz w:val="20"/>
                <w:szCs w:val="20"/>
                <w:lang w:val="en-GB" w:eastAsia="en-GB"/>
              </w:rPr>
              <w:t xml:space="preserve">, such as </w:t>
            </w:r>
            <w:r w:rsidRPr="00817B92">
              <w:rPr>
                <w:rFonts w:eastAsia="Times New Roman"/>
                <w:i/>
                <w:sz w:val="20"/>
                <w:szCs w:val="20"/>
                <w:lang w:val="en-GB" w:eastAsia="en-GB"/>
              </w:rPr>
              <w:t>I</w:t>
            </w:r>
            <w:r w:rsidRPr="00817B92">
              <w:rPr>
                <w:rFonts w:eastAsia="Times New Roman"/>
                <w:i/>
                <w:sz w:val="20"/>
                <w:szCs w:val="20"/>
                <w:vertAlign w:val="superscript"/>
                <w:lang w:val="en-GB" w:eastAsia="en-GB"/>
              </w:rPr>
              <w:t>2</w:t>
            </w:r>
            <w:r w:rsidRPr="00817B92">
              <w:rPr>
                <w:rFonts w:eastAsia="Times New Roman"/>
                <w:sz w:val="20"/>
                <w:szCs w:val="20"/>
                <w:lang w:val="en-GB" w:eastAsia="en-GB"/>
              </w:rPr>
              <w:t>, Q statistic or E-value)</w:t>
            </w:r>
          </w:p>
        </w:tc>
        <w:tc>
          <w:tcPr>
            <w:tcW w:w="5472" w:type="dxa"/>
            <w:shd w:val="clear" w:color="auto" w:fill="EEEEEE"/>
          </w:tcPr>
          <w:p w14:paraId="205C4ED8" w14:textId="7C65FFF3" w:rsidR="00817B92" w:rsidRPr="00817B92" w:rsidRDefault="00817B92" w:rsidP="00426603">
            <w:pPr>
              <w:spacing w:beforeLines="40" w:before="96" w:afterLines="40" w:after="96" w:line="24" w:lineRule="atLeast"/>
              <w:rPr>
                <w:rFonts w:eastAsiaTheme="minorEastAsia"/>
                <w:sz w:val="20"/>
                <w:szCs w:val="20"/>
                <w:lang w:val="en-US" w:eastAsia="zh-CN"/>
              </w:rPr>
            </w:pPr>
            <w:r w:rsidRPr="00817B92">
              <w:rPr>
                <w:rFonts w:eastAsia="Times New Roman"/>
                <w:sz w:val="20"/>
                <w:szCs w:val="20"/>
                <w:lang w:val="en-US" w:eastAsia="en-GB"/>
              </w:rPr>
              <w:t>To ensure the robustness of the results, a series of sensitivity analyses were performed. Cochran's Q statistics were used to assess heterogeneity among IVs, concluding no heterogeneity when P&gt;0.05</w:t>
            </w:r>
            <w:r w:rsidRPr="00817B92">
              <w:rPr>
                <w:rFonts w:eastAsia="Times New Roman"/>
                <w:sz w:val="20"/>
                <w:szCs w:val="20"/>
                <w:lang w:val="en-US" w:eastAsia="en-GB"/>
              </w:rPr>
              <w:fldChar w:fldCharType="begin"/>
            </w:r>
            <w:r w:rsidRPr="00817B92">
              <w:rPr>
                <w:rFonts w:eastAsia="Times New Roman"/>
                <w:sz w:val="20"/>
                <w:szCs w:val="20"/>
                <w:lang w:val="en-US" w:eastAsia="en-GB"/>
              </w:rPr>
              <w:instrText xml:space="preserve"> ADDIN EN.CITE &lt;EndNote&gt;&lt;Cite&gt;&lt;Author&gt;Huedo-Medina&lt;/Author&gt;&lt;Year&gt;2006&lt;/Year&gt;&lt;RecNum&gt;148&lt;/RecNum&gt;&lt;DisplayText&gt;(26)&lt;/DisplayText&gt;&lt;record&gt;&lt;rec-number&gt;148&lt;/rec-number&gt;&lt;foreign-keys&gt;&lt;key app="EN" db-id="2ptaazpwgtwedpewd0a5dap3e2fsrvewv9sa" timestamp="1696762101"&gt;148&lt;/key&gt;&lt;/foreign-keys&gt;&lt;ref-type name="Journal Article"&gt;17&lt;/ref-type&gt;&lt;contributors&gt;&lt;authors&gt;&lt;author&gt;Huedo-Medina, T. B.&lt;/author&gt;&lt;author&gt;Sánchez-Meca, J.&lt;/author&gt;&lt;author&gt;Marín-Martínez, F.&lt;/author&gt;&lt;author&gt;Botella, J.&lt;/author&gt;&lt;/authors&gt;&lt;/contributors&gt;&lt;auth-address&gt;Department of Basic Psychology &amp;amp; Methodology, University of Murcia, Murcia, Spain. hmtania@um.es&lt;/auth-address&gt;&lt;titles&gt;&lt;title&gt;Assessing heterogeneity in meta-analysis: Q statistic or I2 index?&lt;/title&gt;&lt;secondary-title&gt;Psychol Methods&lt;/secondary-title&gt;&lt;/titles&gt;&lt;periodical&gt;&lt;full-title&gt;Psychol Methods&lt;/full-title&gt;&lt;/periodical&gt;&lt;pages&gt;193-206&lt;/pages&gt;&lt;volume&gt;11&lt;/volume&gt;&lt;number&gt;2&lt;/number&gt;&lt;edition&gt;2006/06/21&lt;/edition&gt;&lt;keywords&gt;&lt;keyword&gt;*Analysis of Variance&lt;/keyword&gt;&lt;keyword&gt;Bias&lt;/keyword&gt;&lt;keyword&gt;Computer Simulation&lt;/keyword&gt;&lt;keyword&gt;*Confidence Intervals&lt;/keyword&gt;&lt;keyword&gt;Controlled Clinical Trials as Topic/statistics &amp;amp; numerical data&lt;/keyword&gt;&lt;keyword&gt;*Data Interpretation, Statistical&lt;/keyword&gt;&lt;keyword&gt;Effect Modifier, Epidemiologic&lt;/keyword&gt;&lt;keyword&gt;Humans&lt;/keyword&gt;&lt;keyword&gt;*Meta-Analysis as Topic&lt;/keyword&gt;&lt;keyword&gt;Monte Carlo Method&lt;/keyword&gt;&lt;/keywords&gt;&lt;dates&gt;&lt;year&gt;2006&lt;/year&gt;&lt;pub-dates&gt;&lt;date&gt;Jun&lt;/date&gt;&lt;/pub-dates&gt;&lt;/dates&gt;&lt;isbn&gt;1082-989X (Print)&amp;#xD;1082-989x&lt;/isbn&gt;&lt;accession-num&gt;16784338&lt;/accession-num&gt;&lt;urls&gt;&lt;/urls&gt;&lt;electronic-resource-num&gt;10.1037/1082-989x.11.2.193&lt;/electronic-resource-num&gt;&lt;remote-database-provider&gt;NLM&lt;/remote-database-provider&gt;&lt;language&gt;eng&lt;/language&gt;&lt;/record&gt;&lt;/Cite&gt;&lt;/EndNote&gt;</w:instrText>
            </w:r>
            <w:r w:rsidRPr="00817B92">
              <w:rPr>
                <w:rFonts w:eastAsia="Times New Roman"/>
                <w:sz w:val="20"/>
                <w:szCs w:val="20"/>
                <w:lang w:val="en-US" w:eastAsia="en-GB"/>
              </w:rPr>
              <w:fldChar w:fldCharType="separate"/>
            </w:r>
            <w:r w:rsidRPr="00817B92">
              <w:rPr>
                <w:rFonts w:eastAsia="Times New Roman"/>
                <w:sz w:val="20"/>
                <w:szCs w:val="20"/>
                <w:lang w:val="en-US" w:eastAsia="en-GB"/>
              </w:rPr>
              <w:t>(26)</w:t>
            </w:r>
            <w:r w:rsidRPr="00817B92">
              <w:rPr>
                <w:rFonts w:eastAsia="Times New Roman"/>
                <w:sz w:val="20"/>
                <w:szCs w:val="20"/>
                <w:lang w:val="en-GB" w:eastAsia="en-GB"/>
              </w:rPr>
              <w:fldChar w:fldCharType="end"/>
            </w:r>
            <w:r w:rsidRPr="00817B92">
              <w:rPr>
                <w:rFonts w:eastAsia="Times New Roman"/>
                <w:sz w:val="20"/>
                <w:szCs w:val="20"/>
                <w:lang w:val="en-US" w:eastAsia="en-GB"/>
              </w:rPr>
              <w:t>. Horizontal polytropic was tested using MR-Egger regression, examining the intercept term to evaluate its impact on the MR analysis results. Leave-one-out analysis was used to determine if any of the SNPs were driving the causal estimates. Finally, the MR Pleiotropy Residual Sum and Outlier (MR-</w:t>
            </w:r>
            <w:r w:rsidRPr="00817B92">
              <w:rPr>
                <w:rFonts w:eastAsia="Times New Roman"/>
                <w:sz w:val="20"/>
                <w:szCs w:val="20"/>
                <w:lang w:val="en-US" w:eastAsia="en-GB"/>
              </w:rPr>
              <w:lastRenderedPageBreak/>
              <w:t>PRESSO) test was employed to identify and correct for outliers in the IVW linear regression, eliminating SNPs associated with heterogeneity.</w:t>
            </w:r>
          </w:p>
        </w:tc>
      </w:tr>
      <w:tr w:rsidR="00817B92" w:rsidRPr="00817B92" w14:paraId="23F1C43D" w14:textId="6396118D" w:rsidTr="00817B92">
        <w:tc>
          <w:tcPr>
            <w:tcW w:w="587" w:type="dxa"/>
            <w:shd w:val="clear" w:color="auto" w:fill="auto"/>
          </w:tcPr>
          <w:p w14:paraId="021A9BB4"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lastRenderedPageBreak/>
              <w:t>13</w:t>
            </w:r>
          </w:p>
        </w:tc>
        <w:tc>
          <w:tcPr>
            <w:tcW w:w="1796" w:type="dxa"/>
            <w:shd w:val="clear" w:color="auto" w:fill="auto"/>
          </w:tcPr>
          <w:p w14:paraId="51D3F02D"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Sensitivity analyses and additional analyses</w:t>
            </w:r>
          </w:p>
        </w:tc>
        <w:tc>
          <w:tcPr>
            <w:tcW w:w="5888" w:type="dxa"/>
            <w:shd w:val="clear" w:color="auto" w:fill="auto"/>
          </w:tcPr>
          <w:p w14:paraId="4AB1D97F"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tcPr>
          <w:p w14:paraId="0F2C43F0" w14:textId="77777777" w:rsidR="00817B92" w:rsidRPr="00817B92" w:rsidRDefault="00817B92" w:rsidP="00426603">
            <w:pPr>
              <w:spacing w:beforeLines="40" w:before="96" w:afterLines="40" w:after="96" w:line="24" w:lineRule="atLeast"/>
              <w:rPr>
                <w:rFonts w:eastAsia="Cambria"/>
                <w:sz w:val="20"/>
                <w:szCs w:val="20"/>
                <w:lang w:val="en-GB" w:eastAsia="en-US"/>
              </w:rPr>
            </w:pPr>
          </w:p>
        </w:tc>
      </w:tr>
      <w:tr w:rsidR="00817B92" w:rsidRPr="00817B92" w14:paraId="1ABE2F1D" w14:textId="316B0F58" w:rsidTr="00817B92">
        <w:tc>
          <w:tcPr>
            <w:tcW w:w="587" w:type="dxa"/>
            <w:shd w:val="clear" w:color="auto" w:fill="EEEEEE"/>
          </w:tcPr>
          <w:p w14:paraId="0D022F9B"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27E8FFD0"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a)</w:t>
            </w:r>
          </w:p>
        </w:tc>
        <w:tc>
          <w:tcPr>
            <w:tcW w:w="5888" w:type="dxa"/>
            <w:shd w:val="clear" w:color="auto" w:fill="EEEEEE"/>
          </w:tcPr>
          <w:p w14:paraId="30AA9260"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Report any sensitivity analyses to assess the robustness of the main results to violations of the assumptions</w:t>
            </w:r>
          </w:p>
        </w:tc>
        <w:tc>
          <w:tcPr>
            <w:tcW w:w="5472" w:type="dxa"/>
            <w:shd w:val="clear" w:color="auto" w:fill="EEEEEE"/>
          </w:tcPr>
          <w:p w14:paraId="73386906" w14:textId="6F5C9C41" w:rsidR="00817B92" w:rsidRPr="00817B92" w:rsidRDefault="00817B92" w:rsidP="00426603">
            <w:pPr>
              <w:spacing w:beforeLines="40" w:before="96" w:afterLines="40" w:after="96" w:line="24" w:lineRule="atLeast"/>
              <w:rPr>
                <w:rFonts w:eastAsiaTheme="minorEastAsia"/>
                <w:sz w:val="20"/>
                <w:szCs w:val="20"/>
                <w:lang w:val="en-US" w:eastAsia="zh-CN"/>
              </w:rPr>
            </w:pPr>
            <w:r w:rsidRPr="00817B92">
              <w:rPr>
                <w:rFonts w:eastAsia="Times New Roman"/>
                <w:sz w:val="20"/>
                <w:szCs w:val="20"/>
                <w:lang w:val="en-US" w:eastAsia="en-GB"/>
              </w:rPr>
              <w:t>To ensure the robustness of the results, a series of sensitivity analyses were performed. Cochran's Q statistics were used to assess heterogeneity among IVs, concluding no heterogeneity when P&gt;0.05</w:t>
            </w:r>
            <w:r w:rsidRPr="00817B92">
              <w:rPr>
                <w:rFonts w:eastAsia="Times New Roman"/>
                <w:sz w:val="20"/>
                <w:szCs w:val="20"/>
                <w:lang w:val="en-US" w:eastAsia="en-GB"/>
              </w:rPr>
              <w:fldChar w:fldCharType="begin"/>
            </w:r>
            <w:r w:rsidRPr="00817B92">
              <w:rPr>
                <w:rFonts w:eastAsia="Times New Roman"/>
                <w:sz w:val="20"/>
                <w:szCs w:val="20"/>
                <w:lang w:val="en-US" w:eastAsia="en-GB"/>
              </w:rPr>
              <w:instrText xml:space="preserve"> ADDIN EN.CITE &lt;EndNote&gt;&lt;Cite&gt;&lt;Author&gt;Huedo-Medina&lt;/Author&gt;&lt;Year&gt;2006&lt;/Year&gt;&lt;RecNum&gt;148&lt;/RecNum&gt;&lt;DisplayText&gt;(26)&lt;/DisplayText&gt;&lt;record&gt;&lt;rec-number&gt;148&lt;/rec-number&gt;&lt;foreign-keys&gt;&lt;key app="EN" db-id="2ptaazpwgtwedpewd0a5dap3e2fsrvewv9sa" timestamp="1696762101"&gt;148&lt;/key&gt;&lt;/foreign-keys&gt;&lt;ref-type name="Journal Article"&gt;17&lt;/ref-type&gt;&lt;contributors&gt;&lt;authors&gt;&lt;author&gt;Huedo-Medina, T. B.&lt;/author&gt;&lt;author&gt;Sánchez-Meca, J.&lt;/author&gt;&lt;author&gt;Marín-Martínez, F.&lt;/author&gt;&lt;author&gt;Botella, J.&lt;/author&gt;&lt;/authors&gt;&lt;/contributors&gt;&lt;auth-address&gt;Department of Basic Psychology &amp;amp; Methodology, University of Murcia, Murcia, Spain. hmtania@um.es&lt;/auth-address&gt;&lt;titles&gt;&lt;title&gt;Assessing heterogeneity in meta-analysis: Q statistic or I2 index?&lt;/title&gt;&lt;secondary-title&gt;Psychol Methods&lt;/secondary-title&gt;&lt;/titles&gt;&lt;periodical&gt;&lt;full-title&gt;Psychol Methods&lt;/full-title&gt;&lt;/periodical&gt;&lt;pages&gt;193-206&lt;/pages&gt;&lt;volume&gt;11&lt;/volume&gt;&lt;number&gt;2&lt;/number&gt;&lt;edition&gt;2006/06/21&lt;/edition&gt;&lt;keywords&gt;&lt;keyword&gt;*Analysis of Variance&lt;/keyword&gt;&lt;keyword&gt;Bias&lt;/keyword&gt;&lt;keyword&gt;Computer Simulation&lt;/keyword&gt;&lt;keyword&gt;*Confidence Intervals&lt;/keyword&gt;&lt;keyword&gt;Controlled Clinical Trials as Topic/statistics &amp;amp; numerical data&lt;/keyword&gt;&lt;keyword&gt;*Data Interpretation, Statistical&lt;/keyword&gt;&lt;keyword&gt;Effect Modifier, Epidemiologic&lt;/keyword&gt;&lt;keyword&gt;Humans&lt;/keyword&gt;&lt;keyword&gt;*Meta-Analysis as Topic&lt;/keyword&gt;&lt;keyword&gt;Monte Carlo Method&lt;/keyword&gt;&lt;/keywords&gt;&lt;dates&gt;&lt;year&gt;2006&lt;/year&gt;&lt;pub-dates&gt;&lt;date&gt;Jun&lt;/date&gt;&lt;/pub-dates&gt;&lt;/dates&gt;&lt;isbn&gt;1082-989X (Print)&amp;#xD;1082-989x&lt;/isbn&gt;&lt;accession-num&gt;16784338&lt;/accession-num&gt;&lt;urls&gt;&lt;/urls&gt;&lt;electronic-resource-num&gt;10.1037/1082-989x.11.2.193&lt;/electronic-resource-num&gt;&lt;remote-database-provider&gt;NLM&lt;/remote-database-provider&gt;&lt;language&gt;eng&lt;/language&gt;&lt;/record&gt;&lt;/Cite&gt;&lt;/EndNote&gt;</w:instrText>
            </w:r>
            <w:r w:rsidRPr="00817B92">
              <w:rPr>
                <w:rFonts w:eastAsia="Times New Roman"/>
                <w:sz w:val="20"/>
                <w:szCs w:val="20"/>
                <w:lang w:val="en-US" w:eastAsia="en-GB"/>
              </w:rPr>
              <w:fldChar w:fldCharType="separate"/>
            </w:r>
            <w:r w:rsidRPr="00817B92">
              <w:rPr>
                <w:rFonts w:eastAsia="Times New Roman"/>
                <w:sz w:val="20"/>
                <w:szCs w:val="20"/>
                <w:lang w:val="en-GB" w:eastAsia="en-GB"/>
              </w:rPr>
              <w:fldChar w:fldCharType="end"/>
            </w:r>
            <w:r w:rsidRPr="00817B92">
              <w:rPr>
                <w:rFonts w:eastAsia="Times New Roman"/>
                <w:sz w:val="20"/>
                <w:szCs w:val="20"/>
                <w:lang w:val="en-US" w:eastAsia="en-GB"/>
              </w:rPr>
              <w:t xml:space="preserve">. Horizontal polytropic was tested using MR-Egger regression, examining the intercept term to evaluate its impact on the MR analysis results. Leave-one-out analysis </w:t>
            </w:r>
            <w:bookmarkStart w:id="8" w:name="OLE_LINK1"/>
            <w:bookmarkStart w:id="9" w:name="OLE_LINK2"/>
            <w:r w:rsidRPr="00817B92">
              <w:rPr>
                <w:rFonts w:eastAsia="Times New Roman"/>
                <w:sz w:val="20"/>
                <w:szCs w:val="20"/>
                <w:lang w:val="en-US" w:eastAsia="en-GB"/>
              </w:rPr>
              <w:t>was used to determine if any of the SNPs were driving the causal estimates</w:t>
            </w:r>
            <w:bookmarkEnd w:id="8"/>
            <w:bookmarkEnd w:id="9"/>
            <w:r w:rsidRPr="00817B92">
              <w:rPr>
                <w:rFonts w:eastAsia="Times New Roman"/>
                <w:sz w:val="20"/>
                <w:szCs w:val="20"/>
                <w:lang w:val="en-US" w:eastAsia="en-GB"/>
              </w:rPr>
              <w:t xml:space="preserve">. Finally, the </w:t>
            </w:r>
            <w:bookmarkStart w:id="10" w:name="_Hlk147776751"/>
            <w:r w:rsidRPr="00817B92">
              <w:rPr>
                <w:rFonts w:eastAsia="Times New Roman"/>
                <w:sz w:val="20"/>
                <w:szCs w:val="20"/>
                <w:lang w:val="en-US" w:eastAsia="en-GB"/>
              </w:rPr>
              <w:t>MR Pleiotropy Residual Sum and Outlier</w:t>
            </w:r>
            <w:bookmarkEnd w:id="10"/>
            <w:r w:rsidRPr="00817B92">
              <w:rPr>
                <w:rFonts w:eastAsia="Times New Roman"/>
                <w:sz w:val="20"/>
                <w:szCs w:val="20"/>
                <w:lang w:val="en-US" w:eastAsia="en-GB"/>
              </w:rPr>
              <w:t xml:space="preserve"> (</w:t>
            </w:r>
            <w:bookmarkStart w:id="11" w:name="_Hlk147776741"/>
            <w:r w:rsidRPr="00817B92">
              <w:rPr>
                <w:rFonts w:eastAsia="Times New Roman"/>
                <w:sz w:val="20"/>
                <w:szCs w:val="20"/>
                <w:lang w:val="en-US" w:eastAsia="en-GB"/>
              </w:rPr>
              <w:t>MR-PRESSO</w:t>
            </w:r>
            <w:bookmarkEnd w:id="11"/>
            <w:r w:rsidRPr="00817B92">
              <w:rPr>
                <w:rFonts w:eastAsia="Times New Roman"/>
                <w:sz w:val="20"/>
                <w:szCs w:val="20"/>
                <w:lang w:val="en-US" w:eastAsia="en-GB"/>
              </w:rPr>
              <w:t>) test was employed to identify and correct for outliers in the IVW linear regression, eliminating SNPs associated with heterogeneity</w:t>
            </w:r>
            <w:r w:rsidRPr="00817B92">
              <w:rPr>
                <w:rFonts w:eastAsia="Times New Roman"/>
                <w:sz w:val="20"/>
                <w:szCs w:val="20"/>
                <w:lang w:val="en-US" w:eastAsia="en-GB"/>
              </w:rPr>
              <w:fldChar w:fldCharType="begin">
                <w:fldData xml:space="preserve">PEVuZE5vdGU+PENpdGU+PEF1dGhvcj5GcmF6aWVyPC9BdXRob3I+PFllYXI+MTk5ODwvWWVhcj48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</w:fldData>
              </w:fldChar>
            </w:r>
            <w:r w:rsidRPr="00817B92">
              <w:rPr>
                <w:rFonts w:eastAsia="Times New Roman"/>
                <w:sz w:val="20"/>
                <w:szCs w:val="20"/>
                <w:lang w:val="en-US" w:eastAsia="en-GB"/>
              </w:rPr>
              <w:instrText xml:space="preserve"> ADDIN EN.CITE </w:instrText>
            </w:r>
            <w:r w:rsidRPr="00817B92">
              <w:rPr>
                <w:rFonts w:eastAsia="Times New Roman"/>
                <w:sz w:val="20"/>
                <w:szCs w:val="20"/>
                <w:lang w:val="en-US" w:eastAsia="en-GB"/>
              </w:rPr>
              <w:fldChar w:fldCharType="begin">
                <w:fldData xml:space="preserve">PEVuZE5vdGU+PENpdGU+PEF1dGhvcj5GcmF6aWVyPC9BdXRob3I+PFllYXI+MTk5ODwvWWVhcj48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</w:fldData>
              </w:fldChar>
            </w:r>
            <w:r w:rsidRPr="00817B92">
              <w:rPr>
                <w:rFonts w:eastAsia="Times New Roman"/>
                <w:sz w:val="20"/>
                <w:szCs w:val="20"/>
                <w:lang w:val="en-US" w:eastAsia="en-GB"/>
              </w:rPr>
              <w:instrText xml:space="preserve"> ADDIN EN.CITE.DATA </w:instrText>
            </w:r>
            <w:r w:rsidRPr="00817B92">
              <w:rPr>
                <w:rFonts w:eastAsia="Times New Roman"/>
                <w:sz w:val="20"/>
                <w:szCs w:val="20"/>
                <w:lang w:val="en-GB" w:eastAsia="en-GB"/>
              </w:rPr>
            </w:r>
            <w:r w:rsidRPr="00817B92">
              <w:rPr>
                <w:rFonts w:eastAsia="Times New Roman"/>
                <w:sz w:val="20"/>
                <w:szCs w:val="20"/>
                <w:lang w:val="en-GB" w:eastAsia="en-GB"/>
              </w:rPr>
              <w:fldChar w:fldCharType="end"/>
            </w:r>
            <w:r w:rsidRPr="00817B92">
              <w:rPr>
                <w:rFonts w:eastAsia="Times New Roman"/>
                <w:sz w:val="20"/>
                <w:szCs w:val="20"/>
                <w:lang w:val="en-US" w:eastAsia="en-GB"/>
              </w:rPr>
            </w:r>
            <w:r w:rsidRPr="00817B92">
              <w:rPr>
                <w:rFonts w:eastAsia="Times New Roman"/>
                <w:sz w:val="20"/>
                <w:szCs w:val="20"/>
                <w:lang w:val="en-US" w:eastAsia="en-GB"/>
              </w:rPr>
              <w:fldChar w:fldCharType="separate"/>
            </w:r>
            <w:r w:rsidRPr="00817B92">
              <w:rPr>
                <w:rFonts w:eastAsia="Times New Roman"/>
                <w:sz w:val="20"/>
                <w:szCs w:val="20"/>
                <w:lang w:val="en-GB" w:eastAsia="en-GB"/>
              </w:rPr>
              <w:fldChar w:fldCharType="end"/>
            </w:r>
            <w:r w:rsidRPr="00817B92">
              <w:rPr>
                <w:rFonts w:eastAsia="Times New Roman"/>
                <w:sz w:val="20"/>
                <w:szCs w:val="20"/>
                <w:lang w:val="en-US" w:eastAsia="en-GB"/>
              </w:rPr>
              <w:t>.</w:t>
            </w:r>
          </w:p>
        </w:tc>
      </w:tr>
      <w:tr w:rsidR="00817B92" w:rsidRPr="00817B92" w14:paraId="3696A9F1" w14:textId="63B96DDA" w:rsidTr="00817B92">
        <w:tc>
          <w:tcPr>
            <w:tcW w:w="587" w:type="dxa"/>
            <w:shd w:val="clear" w:color="auto" w:fill="auto"/>
          </w:tcPr>
          <w:p w14:paraId="0D2234E5"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7453E1FF"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b)</w:t>
            </w:r>
          </w:p>
        </w:tc>
        <w:tc>
          <w:tcPr>
            <w:tcW w:w="5888" w:type="dxa"/>
            <w:shd w:val="clear" w:color="auto" w:fill="auto"/>
          </w:tcPr>
          <w:p w14:paraId="5111E54D"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Report results from other sensitivity analyses or additional analyses</w:t>
            </w:r>
          </w:p>
        </w:tc>
        <w:tc>
          <w:tcPr>
            <w:tcW w:w="5472" w:type="dxa"/>
          </w:tcPr>
          <w:p w14:paraId="5EC29141" w14:textId="2EE34738" w:rsidR="00817B92" w:rsidRPr="00817B92" w:rsidRDefault="00817B92" w:rsidP="007B145B">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 xml:space="preserve">None of the MR-Egger regression intercepts deviated from zero, indicating no evidence of horizontal pleiotropy (all intercepts P &gt; 0.05). Additionally, the leave-one-out analysis demonstrated </w:t>
            </w:r>
          </w:p>
          <w:p w14:paraId="5BB83735" w14:textId="54387828" w:rsidR="00817B92" w:rsidRPr="00817B92" w:rsidRDefault="00817B92" w:rsidP="007B145B">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 xml:space="preserve">consistent causal estimations, suggesting that none of the identified causal associations were heavily driven by any single IV. The results of the sensitivity analysis are presented in Table </w:t>
            </w:r>
            <w:r w:rsidRPr="00817B92">
              <w:rPr>
                <w:rFonts w:eastAsiaTheme="minorEastAsia"/>
                <w:sz w:val="20"/>
                <w:szCs w:val="20"/>
                <w:lang w:val="en-GB" w:eastAsia="zh-CN"/>
              </w:rPr>
              <w:t>3</w:t>
            </w:r>
            <w:r w:rsidRPr="00817B92">
              <w:rPr>
                <w:rFonts w:eastAsia="Times New Roman"/>
                <w:sz w:val="20"/>
                <w:szCs w:val="20"/>
                <w:lang w:val="en-GB" w:eastAsia="en-GB"/>
              </w:rPr>
              <w:t xml:space="preserve"> and Fig 4.</w:t>
            </w:r>
          </w:p>
        </w:tc>
      </w:tr>
      <w:tr w:rsidR="00817B92" w:rsidRPr="00817B92" w14:paraId="1650BAB8" w14:textId="79D11DE7" w:rsidTr="00817B92">
        <w:tc>
          <w:tcPr>
            <w:tcW w:w="587" w:type="dxa"/>
            <w:shd w:val="clear" w:color="auto" w:fill="EEEEEE"/>
          </w:tcPr>
          <w:p w14:paraId="4D025CC4"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6EAD995A"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c)</w:t>
            </w:r>
          </w:p>
        </w:tc>
        <w:tc>
          <w:tcPr>
            <w:tcW w:w="5888" w:type="dxa"/>
            <w:shd w:val="clear" w:color="auto" w:fill="EEEEEE"/>
          </w:tcPr>
          <w:p w14:paraId="14E0FCD9"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Report any assessment of direction of causal relationship (e.g., bidirectional MR)</w:t>
            </w:r>
          </w:p>
        </w:tc>
        <w:tc>
          <w:tcPr>
            <w:tcW w:w="5472" w:type="dxa"/>
            <w:shd w:val="clear" w:color="auto" w:fill="EEEEEE"/>
          </w:tcPr>
          <w:p w14:paraId="66751F07" w14:textId="62C1F805"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US" w:eastAsia="en-GB"/>
              </w:rPr>
              <w:t xml:space="preserve">Specifically, a higher genetically predicted level of </w:t>
            </w:r>
            <w:proofErr w:type="spellStart"/>
            <w:r w:rsidRPr="00817B92">
              <w:rPr>
                <w:rFonts w:eastAsia="Times New Roman"/>
                <w:i/>
                <w:sz w:val="20"/>
                <w:szCs w:val="20"/>
                <w:lang w:val="en-US" w:eastAsia="en-GB"/>
              </w:rPr>
              <w:t>Alloprevotella</w:t>
            </w:r>
            <w:proofErr w:type="spellEnd"/>
            <w:r w:rsidRPr="00817B92">
              <w:rPr>
                <w:rFonts w:eastAsia="Times New Roman"/>
                <w:sz w:val="20"/>
                <w:szCs w:val="20"/>
                <w:lang w:val="en-US" w:eastAsia="en-GB"/>
              </w:rPr>
              <w:t xml:space="preserve"> (OR: 2.626, 95% CI: 1.095-6.298, P=0.031) and </w:t>
            </w:r>
            <w:proofErr w:type="spellStart"/>
            <w:r w:rsidRPr="00817B92">
              <w:rPr>
                <w:rFonts w:eastAsia="Times New Roman"/>
                <w:i/>
                <w:sz w:val="20"/>
                <w:szCs w:val="20"/>
                <w:lang w:val="en-US" w:eastAsia="en-GB"/>
              </w:rPr>
              <w:t>Ruminococcaceae</w:t>
            </w:r>
            <w:proofErr w:type="spellEnd"/>
            <w:r w:rsidRPr="00817B92">
              <w:rPr>
                <w:rFonts w:eastAsia="Times New Roman"/>
                <w:i/>
                <w:sz w:val="20"/>
                <w:szCs w:val="20"/>
                <w:lang w:val="en-US" w:eastAsia="en-GB"/>
              </w:rPr>
              <w:t xml:space="preserve"> UCG003</w:t>
            </w:r>
            <w:r w:rsidRPr="00817B92">
              <w:rPr>
                <w:rFonts w:eastAsia="Times New Roman"/>
                <w:sz w:val="20"/>
                <w:szCs w:val="20"/>
                <w:lang w:val="en-US" w:eastAsia="en-GB"/>
              </w:rPr>
              <w:t xml:space="preserve"> (OR: 4.219, 95% CI: 1.227-14.511, P=0.022) was associated with an increased risk of PM, while </w:t>
            </w:r>
            <w:proofErr w:type="spellStart"/>
            <w:r w:rsidRPr="00817B92">
              <w:rPr>
                <w:rFonts w:eastAsia="Times New Roman"/>
                <w:i/>
                <w:sz w:val="20"/>
                <w:szCs w:val="20"/>
                <w:lang w:val="en-US" w:eastAsia="en-GB"/>
              </w:rPr>
              <w:t>Dialister</w:t>
            </w:r>
            <w:proofErr w:type="spellEnd"/>
            <w:r w:rsidRPr="00817B92">
              <w:rPr>
                <w:rFonts w:eastAsia="Times New Roman"/>
                <w:sz w:val="20"/>
                <w:szCs w:val="20"/>
                <w:lang w:val="en-US" w:eastAsia="en-GB"/>
              </w:rPr>
              <w:t xml:space="preserve"> was found to be related to a lower risk of PM (OR:0.273, 95% CI:0.077-0.974, P=0.045). For DM, genus </w:t>
            </w:r>
            <w:proofErr w:type="spellStart"/>
            <w:r w:rsidRPr="00817B92">
              <w:rPr>
                <w:rFonts w:eastAsia="Times New Roman"/>
                <w:i/>
                <w:sz w:val="20"/>
                <w:szCs w:val="20"/>
                <w:lang w:val="en-US" w:eastAsia="en-GB"/>
              </w:rPr>
              <w:t>Anaerotruncus</w:t>
            </w:r>
            <w:proofErr w:type="spellEnd"/>
            <w:r w:rsidRPr="00817B92">
              <w:rPr>
                <w:rFonts w:eastAsia="Times New Roman"/>
                <w:sz w:val="20"/>
                <w:szCs w:val="20"/>
                <w:lang w:val="en-US" w:eastAsia="en-GB"/>
              </w:rPr>
              <w:t xml:space="preserve"> showed a negative correlation with DM (OR: 0.314, 95%CI: 0.112-0.882, P=0.028), indicating a lower risk of DM, while </w:t>
            </w:r>
            <w:proofErr w:type="spellStart"/>
            <w:r w:rsidRPr="00817B92">
              <w:rPr>
                <w:rFonts w:eastAsia="Times New Roman"/>
                <w:i/>
                <w:sz w:val="20"/>
                <w:szCs w:val="20"/>
                <w:lang w:val="en-US" w:eastAsia="en-GB"/>
              </w:rPr>
              <w:t>Ruminococcaceae</w:t>
            </w:r>
            <w:proofErr w:type="spellEnd"/>
            <w:r w:rsidRPr="00817B92">
              <w:rPr>
                <w:rFonts w:eastAsia="Times New Roman"/>
                <w:i/>
                <w:sz w:val="20"/>
                <w:szCs w:val="20"/>
                <w:lang w:val="en-US" w:eastAsia="en-GB"/>
              </w:rPr>
              <w:t xml:space="preserve"> UCG002 </w:t>
            </w:r>
            <w:r w:rsidRPr="00817B92">
              <w:rPr>
                <w:rFonts w:eastAsia="Times New Roman"/>
                <w:sz w:val="20"/>
                <w:szCs w:val="20"/>
                <w:lang w:val="en-US" w:eastAsia="en-GB"/>
              </w:rPr>
              <w:t xml:space="preserve">(OR:2.439, 95% CI:1.173-5.071, P=0.017) and </w:t>
            </w:r>
            <w:proofErr w:type="spellStart"/>
            <w:r w:rsidRPr="00817B92">
              <w:rPr>
                <w:rFonts w:eastAsia="Times New Roman"/>
                <w:i/>
                <w:sz w:val="20"/>
                <w:szCs w:val="20"/>
                <w:lang w:val="en-US" w:eastAsia="en-GB"/>
              </w:rPr>
              <w:t>Sutterella</w:t>
            </w:r>
            <w:proofErr w:type="spellEnd"/>
            <w:r w:rsidRPr="00817B92">
              <w:rPr>
                <w:rFonts w:eastAsia="Times New Roman"/>
                <w:i/>
                <w:sz w:val="20"/>
                <w:szCs w:val="20"/>
                <w:lang w:val="en-US" w:eastAsia="en-GB"/>
              </w:rPr>
              <w:t xml:space="preserve"> </w:t>
            </w:r>
            <w:r w:rsidRPr="00817B92">
              <w:rPr>
                <w:rFonts w:eastAsia="Times New Roman"/>
                <w:sz w:val="20"/>
                <w:szCs w:val="20"/>
                <w:lang w:val="en-US" w:eastAsia="en-GB"/>
              </w:rPr>
              <w:t>(OR:3.392, 95% CI:1.302-8.839, P=0.012) were associated with an increased risk of DM.</w:t>
            </w:r>
          </w:p>
        </w:tc>
      </w:tr>
      <w:tr w:rsidR="00817B92" w:rsidRPr="00817B92" w14:paraId="2034ACF7" w14:textId="19A8CB33" w:rsidTr="00817B92">
        <w:tc>
          <w:tcPr>
            <w:tcW w:w="587" w:type="dxa"/>
            <w:shd w:val="clear" w:color="auto" w:fill="auto"/>
          </w:tcPr>
          <w:p w14:paraId="3217ECED"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5AE90FE5"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d)</w:t>
            </w:r>
          </w:p>
        </w:tc>
        <w:tc>
          <w:tcPr>
            <w:tcW w:w="5888" w:type="dxa"/>
            <w:shd w:val="clear" w:color="auto" w:fill="auto"/>
          </w:tcPr>
          <w:p w14:paraId="3A13AF31"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When relevant, report and compare with estimates from non-MR analyses</w:t>
            </w:r>
          </w:p>
        </w:tc>
        <w:tc>
          <w:tcPr>
            <w:tcW w:w="5472" w:type="dxa"/>
          </w:tcPr>
          <w:p w14:paraId="7B882C5B" w14:textId="71F0821D" w:rsidR="00817B92" w:rsidRPr="00817B92" w:rsidRDefault="00817B92" w:rsidP="00426603">
            <w:pPr>
              <w:spacing w:beforeLines="40" w:before="96" w:afterLines="40" w:after="96" w:line="24" w:lineRule="atLeast"/>
              <w:rPr>
                <w:rFonts w:eastAsiaTheme="minorEastAsia"/>
                <w:sz w:val="20"/>
                <w:szCs w:val="20"/>
                <w:lang w:val="en-US" w:eastAsia="zh-CN"/>
              </w:rPr>
            </w:pPr>
            <w:r w:rsidRPr="00817B92">
              <w:rPr>
                <w:rFonts w:eastAsia="Times New Roman"/>
                <w:sz w:val="20"/>
                <w:szCs w:val="20"/>
                <w:lang w:val="en-US" w:eastAsia="en-GB"/>
              </w:rPr>
              <w:t xml:space="preserve">This study employs a two-sample Mendelian randomization (MR) analysis, utilizing summary statistics from Genome Wide Association Studies (GWAS), to explore the potential causal effect of gut microbiota on PM and DM. Single nucleotide polymorphisms (SNPs) significantly associated with the gut microbiota were selected as instrumental variables (IVs), and three assumptions were made to ensure accuracy. First, the genetic variants selected as IVs should be significantly associated with gut microbiota. Second, IVs should not be associated with any confounding factors. Third, IVs should affect the risk of PM and DM only through gut microbiota. A series of sensitivity analyses were then conducted for significant associations. The overall flowchart of the study is presented in </w:t>
            </w:r>
            <w:r w:rsidRPr="00817B92">
              <w:rPr>
                <w:rFonts w:eastAsia="Times New Roman"/>
                <w:b/>
                <w:bCs/>
                <w:sz w:val="20"/>
                <w:szCs w:val="20"/>
                <w:lang w:val="en-US" w:eastAsia="en-GB"/>
              </w:rPr>
              <w:t>Figure1</w:t>
            </w:r>
            <w:r w:rsidRPr="00817B92">
              <w:rPr>
                <w:rFonts w:eastAsia="Times New Roman"/>
                <w:sz w:val="20"/>
                <w:szCs w:val="20"/>
                <w:lang w:val="en-US" w:eastAsia="en-GB"/>
              </w:rPr>
              <w:t>.</w:t>
            </w:r>
          </w:p>
        </w:tc>
      </w:tr>
      <w:tr w:rsidR="00817B92" w:rsidRPr="00817B92" w14:paraId="3E7CFBFC" w14:textId="3F99A047" w:rsidTr="00817B92">
        <w:tc>
          <w:tcPr>
            <w:tcW w:w="587" w:type="dxa"/>
            <w:tcBorders>
              <w:bottom w:val="single" w:sz="6" w:space="0" w:color="7F7F7F"/>
            </w:tcBorders>
            <w:shd w:val="clear" w:color="auto" w:fill="EEEEEE"/>
          </w:tcPr>
          <w:p w14:paraId="1FDC421F"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tcBorders>
              <w:bottom w:val="single" w:sz="6" w:space="0" w:color="7F7F7F"/>
            </w:tcBorders>
            <w:shd w:val="clear" w:color="auto" w:fill="EEEEEE"/>
          </w:tcPr>
          <w:p w14:paraId="5FE15030"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e)</w:t>
            </w:r>
          </w:p>
        </w:tc>
        <w:tc>
          <w:tcPr>
            <w:tcW w:w="5888" w:type="dxa"/>
            <w:tcBorders>
              <w:bottom w:val="single" w:sz="6" w:space="0" w:color="7F7F7F"/>
            </w:tcBorders>
            <w:shd w:val="clear" w:color="auto" w:fill="EEEEEE"/>
          </w:tcPr>
          <w:p w14:paraId="61CE32BA"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Consider additional plots to visualize results (e.g., leave-one-out analyses)</w:t>
            </w:r>
          </w:p>
        </w:tc>
        <w:tc>
          <w:tcPr>
            <w:tcW w:w="5472" w:type="dxa"/>
            <w:tcBorders>
              <w:bottom w:val="single" w:sz="6" w:space="0" w:color="7F7F7F"/>
            </w:tcBorders>
            <w:shd w:val="clear" w:color="auto" w:fill="EEEEEE"/>
          </w:tcPr>
          <w:p w14:paraId="679D12D4" w14:textId="1992346A" w:rsidR="00817B92" w:rsidRPr="00817B92" w:rsidRDefault="00817B92" w:rsidP="00426603">
            <w:pPr>
              <w:spacing w:beforeLines="40" w:before="96" w:afterLines="40" w:after="96" w:line="24" w:lineRule="atLeast"/>
              <w:rPr>
                <w:rFonts w:eastAsiaTheme="minorEastAsia"/>
                <w:noProof/>
                <w:sz w:val="20"/>
                <w:szCs w:val="20"/>
                <w:lang w:val="en-GB" w:eastAsia="zh-CN"/>
              </w:rPr>
            </w:pPr>
            <w:r w:rsidRPr="00817B92">
              <w:rPr>
                <w:rFonts w:eastAsia="Times New Roman"/>
                <w:sz w:val="20"/>
                <w:szCs w:val="20"/>
                <w:lang w:val="en-GB" w:eastAsia="en-GB"/>
              </w:rPr>
              <w:t xml:space="preserve">The results of the sensitivity analysis are presented in Table </w:t>
            </w:r>
            <w:r w:rsidRPr="00817B92">
              <w:rPr>
                <w:rFonts w:eastAsiaTheme="minorEastAsia"/>
                <w:sz w:val="20"/>
                <w:szCs w:val="20"/>
                <w:lang w:val="en-GB" w:eastAsia="zh-CN"/>
              </w:rPr>
              <w:t>3</w:t>
            </w:r>
            <w:r w:rsidRPr="00817B92">
              <w:rPr>
                <w:rFonts w:eastAsia="Times New Roman"/>
                <w:sz w:val="20"/>
                <w:szCs w:val="20"/>
                <w:lang w:val="en-GB" w:eastAsia="en-GB"/>
              </w:rPr>
              <w:t xml:space="preserve"> and Fig 4.</w:t>
            </w:r>
          </w:p>
          <w:p w14:paraId="03A6AB93" w14:textId="477C5E72" w:rsidR="00817B92" w:rsidRPr="00817B92" w:rsidRDefault="00817B92" w:rsidP="00426603">
            <w:pPr>
              <w:spacing w:beforeLines="40" w:before="96" w:afterLines="40" w:after="96" w:line="24" w:lineRule="atLeast"/>
              <w:rPr>
                <w:rFonts w:eastAsiaTheme="minorEastAsia"/>
                <w:sz w:val="20"/>
                <w:szCs w:val="20"/>
                <w:lang w:val="en-GB" w:eastAsia="zh-CN"/>
              </w:rPr>
            </w:pPr>
            <w:r w:rsidRPr="00817B92">
              <w:rPr>
                <w:rFonts w:eastAsiaTheme="minorEastAsia"/>
                <w:noProof/>
                <w:sz w:val="20"/>
                <w:szCs w:val="20"/>
                <w:lang w:val="en-GB" w:eastAsia="zh-CN"/>
              </w:rPr>
              <w:drawing>
                <wp:inline distT="0" distB="0" distL="0" distR="0" wp14:anchorId="45C0516C" wp14:editId="2C184B06">
                  <wp:extent cx="1701165" cy="1165837"/>
                  <wp:effectExtent l="0" t="0" r="0" b="0"/>
                  <wp:docPr id="10195887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8874"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1165" cy="1165837"/>
                          </a:xfrm>
                          <a:prstGeom prst="rect">
                            <a:avLst/>
                          </a:prstGeom>
                          <a:noFill/>
                        </pic:spPr>
                      </pic:pic>
                    </a:graphicData>
                  </a:graphic>
                </wp:inline>
              </w:drawing>
            </w:r>
          </w:p>
        </w:tc>
      </w:tr>
      <w:tr w:rsidR="00817B92" w:rsidRPr="00817B92" w14:paraId="5B7D2773" w14:textId="7D8D257A" w:rsidTr="00817B92">
        <w:tc>
          <w:tcPr>
            <w:tcW w:w="587" w:type="dxa"/>
            <w:tcBorders>
              <w:top w:val="single" w:sz="6" w:space="0" w:color="7F7F7F"/>
            </w:tcBorders>
            <w:shd w:val="clear" w:color="auto" w:fill="auto"/>
          </w:tcPr>
          <w:p w14:paraId="5BDBDA65"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p>
        </w:tc>
        <w:tc>
          <w:tcPr>
            <w:tcW w:w="1796" w:type="dxa"/>
            <w:tcBorders>
              <w:top w:val="single" w:sz="6" w:space="0" w:color="7F7F7F"/>
            </w:tcBorders>
            <w:shd w:val="clear" w:color="auto" w:fill="auto"/>
          </w:tcPr>
          <w:p w14:paraId="1C564B75"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DISCUSSION</w:t>
            </w:r>
          </w:p>
        </w:tc>
        <w:tc>
          <w:tcPr>
            <w:tcW w:w="5888" w:type="dxa"/>
            <w:tcBorders>
              <w:top w:val="single" w:sz="6" w:space="0" w:color="7F7F7F"/>
            </w:tcBorders>
            <w:shd w:val="clear" w:color="auto" w:fill="auto"/>
          </w:tcPr>
          <w:p w14:paraId="35997729"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tcBorders>
              <w:top w:val="single" w:sz="6" w:space="0" w:color="7F7F7F"/>
            </w:tcBorders>
          </w:tcPr>
          <w:p w14:paraId="2AE3A897" w14:textId="77777777" w:rsidR="00817B92" w:rsidRPr="00817B92" w:rsidRDefault="00817B92" w:rsidP="00426603">
            <w:pPr>
              <w:spacing w:beforeLines="40" w:before="96" w:afterLines="40" w:after="96" w:line="24" w:lineRule="atLeast"/>
              <w:rPr>
                <w:rFonts w:eastAsia="Cambria"/>
                <w:sz w:val="20"/>
                <w:szCs w:val="20"/>
                <w:lang w:val="en-GB" w:eastAsia="en-US"/>
              </w:rPr>
            </w:pPr>
          </w:p>
        </w:tc>
      </w:tr>
      <w:tr w:rsidR="00817B92" w:rsidRPr="00817B92" w14:paraId="1800AF05" w14:textId="4BEA2748" w:rsidTr="00817B92">
        <w:tc>
          <w:tcPr>
            <w:tcW w:w="587" w:type="dxa"/>
            <w:shd w:val="clear" w:color="auto" w:fill="EEEEEE"/>
          </w:tcPr>
          <w:p w14:paraId="6B5F5286"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14</w:t>
            </w:r>
          </w:p>
        </w:tc>
        <w:tc>
          <w:tcPr>
            <w:tcW w:w="1796" w:type="dxa"/>
            <w:shd w:val="clear" w:color="auto" w:fill="EEEEEE"/>
          </w:tcPr>
          <w:p w14:paraId="42EDC029"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Key results </w:t>
            </w:r>
          </w:p>
        </w:tc>
        <w:tc>
          <w:tcPr>
            <w:tcW w:w="5888" w:type="dxa"/>
            <w:shd w:val="clear" w:color="auto" w:fill="EEEEEE"/>
          </w:tcPr>
          <w:p w14:paraId="35F1CADF"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Summarize key results with reference to study objectives</w:t>
            </w:r>
          </w:p>
        </w:tc>
        <w:tc>
          <w:tcPr>
            <w:tcW w:w="5472" w:type="dxa"/>
            <w:shd w:val="clear" w:color="auto" w:fill="EEEEEE"/>
          </w:tcPr>
          <w:p w14:paraId="70F1DDE7" w14:textId="479F98D3"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US" w:eastAsia="en-GB"/>
              </w:rPr>
              <w:t>This study represents the first attempt to investigate the causal relationship between gut microbiota and PM/DM using a two-sample MR analysis. Our findings reveal five different bacterial genera (</w:t>
            </w:r>
            <w:proofErr w:type="spellStart"/>
            <w:r w:rsidRPr="00817B92">
              <w:rPr>
                <w:rFonts w:eastAsia="Times New Roman"/>
                <w:i/>
                <w:iCs/>
                <w:sz w:val="20"/>
                <w:szCs w:val="20"/>
                <w:lang w:val="en-US" w:eastAsia="en-GB"/>
              </w:rPr>
              <w:t>Alloprevotella</w:t>
            </w:r>
            <w:proofErr w:type="spellEnd"/>
            <w:r w:rsidRPr="00817B92">
              <w:rPr>
                <w:rFonts w:eastAsia="Times New Roman"/>
                <w:i/>
                <w:iCs/>
                <w:sz w:val="20"/>
                <w:szCs w:val="20"/>
                <w:lang w:val="en-US" w:eastAsia="en-GB"/>
              </w:rPr>
              <w:t xml:space="preserve">, </w:t>
            </w:r>
            <w:proofErr w:type="spellStart"/>
            <w:r w:rsidRPr="00817B92">
              <w:rPr>
                <w:rFonts w:eastAsia="Times New Roman"/>
                <w:i/>
                <w:iCs/>
                <w:sz w:val="20"/>
                <w:szCs w:val="20"/>
                <w:lang w:val="en-US" w:eastAsia="en-GB"/>
              </w:rPr>
              <w:t>Ruminococcaceae</w:t>
            </w:r>
            <w:proofErr w:type="spellEnd"/>
            <w:r w:rsidRPr="00817B92">
              <w:rPr>
                <w:rFonts w:eastAsia="Times New Roman"/>
                <w:i/>
                <w:iCs/>
                <w:sz w:val="20"/>
                <w:szCs w:val="20"/>
                <w:lang w:val="en-US" w:eastAsia="en-GB"/>
              </w:rPr>
              <w:t xml:space="preserve">, </w:t>
            </w:r>
            <w:proofErr w:type="spellStart"/>
            <w:r w:rsidRPr="00817B92">
              <w:rPr>
                <w:rFonts w:eastAsia="Times New Roman"/>
                <w:i/>
                <w:iCs/>
                <w:sz w:val="20"/>
                <w:szCs w:val="20"/>
                <w:lang w:val="en-US" w:eastAsia="en-GB"/>
              </w:rPr>
              <w:t>Anaerotruncus</w:t>
            </w:r>
            <w:proofErr w:type="spellEnd"/>
            <w:r w:rsidRPr="00817B92">
              <w:rPr>
                <w:rFonts w:eastAsia="Times New Roman"/>
                <w:i/>
                <w:iCs/>
                <w:sz w:val="20"/>
                <w:szCs w:val="20"/>
                <w:lang w:val="en-US" w:eastAsia="en-GB"/>
              </w:rPr>
              <w:t xml:space="preserve">, </w:t>
            </w:r>
            <w:proofErr w:type="spellStart"/>
            <w:r w:rsidRPr="00817B92">
              <w:rPr>
                <w:rFonts w:eastAsia="Times New Roman"/>
                <w:i/>
                <w:iCs/>
                <w:sz w:val="20"/>
                <w:szCs w:val="20"/>
                <w:lang w:val="en-US" w:eastAsia="en-GB"/>
              </w:rPr>
              <w:t>Sutterella</w:t>
            </w:r>
            <w:proofErr w:type="spellEnd"/>
            <w:r w:rsidRPr="00817B92">
              <w:rPr>
                <w:rFonts w:eastAsia="Times New Roman"/>
                <w:i/>
                <w:iCs/>
                <w:sz w:val="20"/>
                <w:szCs w:val="20"/>
                <w:lang w:val="en-US" w:eastAsia="en-GB"/>
              </w:rPr>
              <w:t xml:space="preserve">, </w:t>
            </w:r>
            <w:r w:rsidRPr="00817B92">
              <w:rPr>
                <w:rFonts w:eastAsia="Times New Roman"/>
                <w:sz w:val="20"/>
                <w:szCs w:val="20"/>
                <w:lang w:val="en-US" w:eastAsia="en-GB"/>
              </w:rPr>
              <w:t xml:space="preserve">and </w:t>
            </w:r>
            <w:proofErr w:type="spellStart"/>
            <w:r w:rsidRPr="00817B92">
              <w:rPr>
                <w:rFonts w:eastAsia="Times New Roman"/>
                <w:i/>
                <w:iCs/>
                <w:sz w:val="20"/>
                <w:szCs w:val="20"/>
                <w:lang w:val="en-US" w:eastAsia="en-GB"/>
              </w:rPr>
              <w:t>Dialister</w:t>
            </w:r>
            <w:proofErr w:type="spellEnd"/>
            <w:r w:rsidRPr="00817B92">
              <w:rPr>
                <w:rFonts w:eastAsia="Times New Roman"/>
                <w:sz w:val="20"/>
                <w:szCs w:val="20"/>
                <w:lang w:val="en-US" w:eastAsia="en-GB"/>
              </w:rPr>
              <w:t xml:space="preserve">) that are associated with PM and DM. Notably, the genus </w:t>
            </w:r>
            <w:proofErr w:type="spellStart"/>
            <w:r w:rsidRPr="00817B92">
              <w:rPr>
                <w:rFonts w:eastAsia="Times New Roman"/>
                <w:i/>
                <w:iCs/>
                <w:sz w:val="20"/>
                <w:szCs w:val="20"/>
                <w:lang w:val="en-US" w:eastAsia="en-GB"/>
              </w:rPr>
              <w:t>Ruminococcaceae</w:t>
            </w:r>
            <w:proofErr w:type="spellEnd"/>
            <w:r w:rsidRPr="00817B92">
              <w:rPr>
                <w:rFonts w:eastAsia="Times New Roman"/>
                <w:sz w:val="20"/>
                <w:szCs w:val="20"/>
                <w:lang w:val="en-US" w:eastAsia="en-GB"/>
              </w:rPr>
              <w:t xml:space="preserve"> was found to be causally involved in both conditions, which may allow us to early prevention strategies rather than just treating the disease after it has progressed</w:t>
            </w:r>
          </w:p>
        </w:tc>
      </w:tr>
      <w:tr w:rsidR="00817B92" w:rsidRPr="00817B92" w14:paraId="06BFAFA4" w14:textId="151FB6CE" w:rsidTr="00817B92">
        <w:tc>
          <w:tcPr>
            <w:tcW w:w="587" w:type="dxa"/>
            <w:shd w:val="clear" w:color="auto" w:fill="auto"/>
          </w:tcPr>
          <w:p w14:paraId="6D471CC5"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15</w:t>
            </w:r>
          </w:p>
        </w:tc>
        <w:tc>
          <w:tcPr>
            <w:tcW w:w="1796" w:type="dxa"/>
            <w:shd w:val="clear" w:color="auto" w:fill="auto"/>
          </w:tcPr>
          <w:p w14:paraId="5C27961E"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Limitations</w:t>
            </w:r>
          </w:p>
        </w:tc>
        <w:tc>
          <w:tcPr>
            <w:tcW w:w="5888" w:type="dxa"/>
            <w:shd w:val="clear" w:color="auto" w:fill="auto"/>
          </w:tcPr>
          <w:p w14:paraId="75B6F41B"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Discuss limitations of the study, taking into account the validity of the IV assumptions, other sources of potential bias, and imprecision. Discuss both direction and magnitude of any potential bias and any efforts to address them</w:t>
            </w:r>
            <w:r w:rsidRPr="00817B92">
              <w:rPr>
                <w:rFonts w:eastAsia="Times New Roman"/>
                <w:sz w:val="20"/>
                <w:szCs w:val="20"/>
                <w:shd w:val="clear" w:color="auto" w:fill="FFFFFF"/>
                <w:lang w:val="en-GB" w:eastAsia="en-GB"/>
              </w:rPr>
              <w:t> </w:t>
            </w:r>
          </w:p>
        </w:tc>
        <w:tc>
          <w:tcPr>
            <w:tcW w:w="5472" w:type="dxa"/>
          </w:tcPr>
          <w:p w14:paraId="7CB4BA33" w14:textId="7D39C45C" w:rsidR="00817B92" w:rsidRPr="00817B92" w:rsidRDefault="00817B92" w:rsidP="00426603">
            <w:pPr>
              <w:spacing w:beforeLines="40" w:before="96" w:afterLines="40" w:after="96" w:line="24" w:lineRule="atLeast"/>
              <w:rPr>
                <w:rFonts w:eastAsiaTheme="minorEastAsia"/>
                <w:sz w:val="20"/>
                <w:szCs w:val="20"/>
                <w:lang w:val="en-US" w:eastAsia="zh-CN"/>
              </w:rPr>
            </w:pPr>
            <w:r w:rsidRPr="00817B92">
              <w:rPr>
                <w:rFonts w:eastAsia="Times New Roman"/>
                <w:sz w:val="20"/>
                <w:szCs w:val="20"/>
                <w:lang w:val="en-US" w:eastAsia="en-GB"/>
              </w:rPr>
              <w:t xml:space="preserve">Indeed, certain limitations in our study should be acknowledged. Firstly, our analysis of the intestinal flora was conducted at the genus level, and a more detailed analysis at the species or strain level could provide deeper insights and improve the accuracy of the findings. By </w:t>
            </w:r>
            <w:r w:rsidRPr="00817B92">
              <w:rPr>
                <w:rFonts w:eastAsia="Times New Roman"/>
                <w:sz w:val="20"/>
                <w:szCs w:val="20"/>
                <w:lang w:val="en-US" w:eastAsia="en-GB"/>
              </w:rPr>
              <w:lastRenderedPageBreak/>
              <w:t>examining specific bacterial species or strains, we could potentially identify more precise associations with PM and DM. Additionally, it is important to consider the age differences in the occurrence of PM and DM. DM shows a bimodal pattern of incidence, with peaks in childhood and later between the ages of 50 and 70 years. On the other hand, PM is rare in childhood and typically occurs after the second decade of life. Furthermore, both conditions are more common in females</w:t>
            </w:r>
            <w:r w:rsidRPr="00817B92">
              <w:rPr>
                <w:rFonts w:eastAsia="Times New Roman"/>
                <w:sz w:val="20"/>
                <w:szCs w:val="20"/>
                <w:lang w:val="en-US" w:eastAsia="en-GB"/>
              </w:rPr>
              <w:fldChar w:fldCharType="begin">
                <w:fldData xml:space="preserve">PEVuZE5vdGU+PENpdGU+PEF1dGhvcj5LaGFuPC9BdXRob3I+PFllYXI+MjAxMTwvWWVhcj48UmVj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</w:fldData>
              </w:fldChar>
            </w:r>
            <w:r w:rsidRPr="00817B92">
              <w:rPr>
                <w:rFonts w:eastAsia="Times New Roman"/>
                <w:sz w:val="20"/>
                <w:szCs w:val="20"/>
                <w:lang w:val="en-US" w:eastAsia="en-GB"/>
              </w:rPr>
              <w:instrText xml:space="preserve"> ADDIN EN.CITE </w:instrText>
            </w:r>
            <w:r w:rsidRPr="00817B92">
              <w:rPr>
                <w:rFonts w:eastAsia="Times New Roman"/>
                <w:sz w:val="20"/>
                <w:szCs w:val="20"/>
                <w:lang w:val="en-US" w:eastAsia="en-GB"/>
              </w:rPr>
              <w:fldChar w:fldCharType="begin">
                <w:fldData xml:space="preserve">PEVuZE5vdGU+PENpdGU+PEF1dGhvcj5LaGFuPC9BdXRob3I+PFllYXI+MjAxMTwvWWVhcj48UmVj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</w:fldData>
              </w:fldChar>
            </w:r>
            <w:r w:rsidRPr="00817B92">
              <w:rPr>
                <w:rFonts w:eastAsia="Times New Roman"/>
                <w:sz w:val="20"/>
                <w:szCs w:val="20"/>
                <w:lang w:val="en-US" w:eastAsia="en-GB"/>
              </w:rPr>
              <w:instrText xml:space="preserve"> ADDIN EN.CITE.DATA </w:instrText>
            </w:r>
            <w:r w:rsidRPr="00817B92">
              <w:rPr>
                <w:rFonts w:eastAsia="Times New Roman"/>
                <w:sz w:val="20"/>
                <w:szCs w:val="20"/>
                <w:lang w:val="en-GB" w:eastAsia="en-GB"/>
              </w:rPr>
            </w:r>
            <w:r w:rsidRPr="00817B92">
              <w:rPr>
                <w:rFonts w:eastAsia="Times New Roman"/>
                <w:sz w:val="20"/>
                <w:szCs w:val="20"/>
                <w:lang w:val="en-GB" w:eastAsia="en-GB"/>
              </w:rPr>
              <w:fldChar w:fldCharType="end"/>
            </w:r>
            <w:r w:rsidRPr="00817B92">
              <w:rPr>
                <w:rFonts w:eastAsia="Times New Roman"/>
                <w:sz w:val="20"/>
                <w:szCs w:val="20"/>
                <w:lang w:val="en-US" w:eastAsia="en-GB"/>
              </w:rPr>
            </w:r>
            <w:r w:rsidRPr="00817B92">
              <w:rPr>
                <w:rFonts w:eastAsia="Times New Roman"/>
                <w:sz w:val="20"/>
                <w:szCs w:val="20"/>
                <w:lang w:val="en-US" w:eastAsia="en-GB"/>
              </w:rPr>
              <w:fldChar w:fldCharType="separate"/>
            </w:r>
            <w:r w:rsidRPr="00817B92">
              <w:rPr>
                <w:rFonts w:eastAsia="Times New Roman"/>
                <w:sz w:val="20"/>
                <w:szCs w:val="20"/>
                <w:lang w:val="en-GB" w:eastAsia="en-GB"/>
              </w:rPr>
              <w:fldChar w:fldCharType="end"/>
            </w:r>
            <w:r w:rsidRPr="00817B92">
              <w:rPr>
                <w:rFonts w:eastAsia="Times New Roman"/>
                <w:sz w:val="20"/>
                <w:szCs w:val="20"/>
                <w:lang w:val="en-US" w:eastAsia="en-GB"/>
              </w:rPr>
              <w:t>. Gender differences are known to exist in autoimmune disorders, but our study did not explore the gender-specific effects of the gut microbiota on PM and DM. Future research should aim to investigate these potential differences and explore the specific associations between gut microbiota, gender, and PM/DM. Another aspect to be considered is the threshold used for statistical significance. In our study, we employed a P-value threshold of P&lt;1×10</w:t>
            </w:r>
            <w:r w:rsidRPr="00817B92">
              <w:rPr>
                <w:rFonts w:eastAsia="Times New Roman"/>
                <w:sz w:val="20"/>
                <w:szCs w:val="20"/>
                <w:vertAlign w:val="superscript"/>
                <w:lang w:val="en-US" w:eastAsia="en-GB"/>
              </w:rPr>
              <w:t>-5</w:t>
            </w:r>
            <w:r w:rsidRPr="00817B92">
              <w:rPr>
                <w:rFonts w:eastAsia="Times New Roman"/>
                <w:sz w:val="20"/>
                <w:szCs w:val="20"/>
                <w:lang w:val="en-US" w:eastAsia="en-GB"/>
              </w:rPr>
              <w:t>, which may have resulted in some significant associations being missed. Future studies aiming to establish a causal relationship between gut bacteria and PM/DM should consider using a more stringent threshold to ensure robust findings.</w:t>
            </w:r>
          </w:p>
        </w:tc>
      </w:tr>
      <w:tr w:rsidR="00817B92" w:rsidRPr="00817B92" w14:paraId="71F8B8B5" w14:textId="34C247AC" w:rsidTr="00817B92">
        <w:tc>
          <w:tcPr>
            <w:tcW w:w="587" w:type="dxa"/>
            <w:shd w:val="clear" w:color="auto" w:fill="EEEEEE"/>
          </w:tcPr>
          <w:p w14:paraId="02C1D590"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lastRenderedPageBreak/>
              <w:t>16</w:t>
            </w:r>
          </w:p>
        </w:tc>
        <w:tc>
          <w:tcPr>
            <w:tcW w:w="1796" w:type="dxa"/>
            <w:shd w:val="clear" w:color="auto" w:fill="EEEEEE"/>
          </w:tcPr>
          <w:p w14:paraId="612AA484"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Interpretation</w:t>
            </w:r>
          </w:p>
        </w:tc>
        <w:tc>
          <w:tcPr>
            <w:tcW w:w="5888" w:type="dxa"/>
            <w:shd w:val="clear" w:color="auto" w:fill="EEEEEE"/>
          </w:tcPr>
          <w:p w14:paraId="3BF6466E"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shd w:val="clear" w:color="auto" w:fill="EEEEEE"/>
          </w:tcPr>
          <w:p w14:paraId="1C445080" w14:textId="77777777" w:rsidR="00817B92" w:rsidRPr="00817B92" w:rsidRDefault="00817B92" w:rsidP="00426603">
            <w:pPr>
              <w:spacing w:beforeLines="40" w:before="96" w:afterLines="40" w:after="96" w:line="24" w:lineRule="atLeast"/>
              <w:rPr>
                <w:rFonts w:eastAsia="Cambria"/>
                <w:sz w:val="20"/>
                <w:szCs w:val="20"/>
                <w:lang w:val="en-GB" w:eastAsia="en-US"/>
              </w:rPr>
            </w:pPr>
          </w:p>
        </w:tc>
      </w:tr>
      <w:tr w:rsidR="00817B92" w:rsidRPr="00817B92" w14:paraId="62E6D51A" w14:textId="140D03A2" w:rsidTr="00817B92">
        <w:tc>
          <w:tcPr>
            <w:tcW w:w="587" w:type="dxa"/>
            <w:shd w:val="clear" w:color="auto" w:fill="auto"/>
          </w:tcPr>
          <w:p w14:paraId="6DD2F448"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50F26A29"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a)</w:t>
            </w:r>
          </w:p>
        </w:tc>
        <w:tc>
          <w:tcPr>
            <w:tcW w:w="5888" w:type="dxa"/>
            <w:shd w:val="clear" w:color="auto" w:fill="auto"/>
          </w:tcPr>
          <w:p w14:paraId="7EDF9868" w14:textId="096ED659" w:rsidR="00817B92" w:rsidRPr="00817B92" w:rsidRDefault="00817B92" w:rsidP="00685D31">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Meaning: Give a cautious overall interpretation of results in the context of their limitations and in comparison with other studies</w:t>
            </w:r>
          </w:p>
        </w:tc>
        <w:tc>
          <w:tcPr>
            <w:tcW w:w="5472" w:type="dxa"/>
          </w:tcPr>
          <w:p w14:paraId="5251245C" w14:textId="5FEC2A53" w:rsidR="00817B92" w:rsidRPr="00817B92" w:rsidRDefault="00817B92" w:rsidP="00474D79">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This study represents the first attempt to investigate the causal relationship between gut microbiota and PM/DM using a two-sample MR analysis.</w:t>
            </w:r>
          </w:p>
        </w:tc>
      </w:tr>
      <w:tr w:rsidR="00817B92" w:rsidRPr="00817B92" w14:paraId="156B69E5" w14:textId="453FC5BE" w:rsidTr="00817B92">
        <w:tc>
          <w:tcPr>
            <w:tcW w:w="587" w:type="dxa"/>
            <w:shd w:val="clear" w:color="auto" w:fill="EEEEEE"/>
          </w:tcPr>
          <w:p w14:paraId="4C8A2215"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EEEEEE"/>
          </w:tcPr>
          <w:p w14:paraId="6A4A5F16"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b)</w:t>
            </w:r>
          </w:p>
        </w:tc>
        <w:tc>
          <w:tcPr>
            <w:tcW w:w="5888" w:type="dxa"/>
            <w:shd w:val="clear" w:color="auto" w:fill="EEEEEE"/>
          </w:tcPr>
          <w:p w14:paraId="422EB891" w14:textId="35DEA636"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only under certain assumptions </w:t>
            </w:r>
          </w:p>
        </w:tc>
        <w:tc>
          <w:tcPr>
            <w:tcW w:w="5472" w:type="dxa"/>
            <w:shd w:val="clear" w:color="auto" w:fill="EEEEEE"/>
          </w:tcPr>
          <w:p w14:paraId="3A91F000" w14:textId="5A0E273C" w:rsidR="00817B92" w:rsidRPr="00817B92" w:rsidRDefault="00817B92" w:rsidP="00426603">
            <w:pPr>
              <w:spacing w:beforeLines="40" w:before="96" w:afterLines="40" w:after="96" w:line="24" w:lineRule="atLeast"/>
              <w:rPr>
                <w:rFonts w:eastAsiaTheme="minorEastAsia"/>
                <w:sz w:val="20"/>
                <w:szCs w:val="20"/>
                <w:lang w:val="en-US" w:eastAsia="zh-CN"/>
              </w:rPr>
            </w:pPr>
            <w:r w:rsidRPr="00817B92">
              <w:rPr>
                <w:rFonts w:eastAsia="Times New Roman"/>
                <w:sz w:val="20"/>
                <w:szCs w:val="20"/>
                <w:lang w:val="en-US" w:eastAsia="en-GB"/>
              </w:rPr>
              <w:t>Several studies have indicated that butyrate-producing bacteria promote the development of regulatory T cells (Tregs)in the gut-associated lymphatic system, which helps restore immune homeostasis and reduce the risk of autoimmune disease pathogenesis</w:t>
            </w:r>
            <w:r w:rsidRPr="00817B92">
              <w:rPr>
                <w:rFonts w:eastAsia="Times New Roman"/>
                <w:sz w:val="20"/>
                <w:szCs w:val="20"/>
                <w:lang w:val="en-US" w:eastAsia="en-GB"/>
              </w:rPr>
              <w:fldChar w:fldCharType="begin">
                <w:fldData xml:space="preserve">PEVuZE5vdGU+PENpdGU+PEF1dGhvcj5DaGVuPC9BdXRob3I+PFllYXI+MjAyMDwvWWVhcj48UmVj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</w:fldData>
              </w:fldChar>
            </w:r>
            <w:r w:rsidRPr="00817B92">
              <w:rPr>
                <w:rFonts w:eastAsia="Times New Roman"/>
                <w:sz w:val="20"/>
                <w:szCs w:val="20"/>
                <w:lang w:val="en-US" w:eastAsia="en-GB"/>
              </w:rPr>
              <w:instrText xml:space="preserve"> ADDIN EN.CITE </w:instrText>
            </w:r>
            <w:r w:rsidRPr="00817B92">
              <w:rPr>
                <w:rFonts w:eastAsia="Times New Roman"/>
                <w:sz w:val="20"/>
                <w:szCs w:val="20"/>
                <w:lang w:val="en-US" w:eastAsia="en-GB"/>
              </w:rPr>
              <w:fldChar w:fldCharType="begin">
                <w:fldData xml:space="preserve">PEVuZE5vdGU+PENpdGU+PEF1dGhvcj5DaGVuPC9BdXRob3I+PFllYXI+MjAyMDwvWWVhcj48UmVj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</w:fldData>
              </w:fldChar>
            </w:r>
            <w:r w:rsidRPr="00817B92">
              <w:rPr>
                <w:rFonts w:eastAsia="Times New Roman"/>
                <w:sz w:val="20"/>
                <w:szCs w:val="20"/>
                <w:lang w:val="en-US" w:eastAsia="en-GB"/>
              </w:rPr>
              <w:instrText xml:space="preserve"> ADDIN EN.CITE.DATA </w:instrText>
            </w:r>
            <w:r w:rsidRPr="00817B92">
              <w:rPr>
                <w:rFonts w:eastAsia="Times New Roman"/>
                <w:sz w:val="20"/>
                <w:szCs w:val="20"/>
                <w:lang w:val="en-GB" w:eastAsia="en-GB"/>
              </w:rPr>
            </w:r>
            <w:r w:rsidRPr="00817B92">
              <w:rPr>
                <w:rFonts w:eastAsia="Times New Roman"/>
                <w:sz w:val="20"/>
                <w:szCs w:val="20"/>
                <w:lang w:val="en-GB" w:eastAsia="en-GB"/>
              </w:rPr>
              <w:fldChar w:fldCharType="end"/>
            </w:r>
            <w:r w:rsidRPr="00817B92">
              <w:rPr>
                <w:rFonts w:eastAsia="Times New Roman"/>
                <w:sz w:val="20"/>
                <w:szCs w:val="20"/>
                <w:lang w:val="en-US" w:eastAsia="en-GB"/>
              </w:rPr>
            </w:r>
            <w:r w:rsidRPr="00817B92">
              <w:rPr>
                <w:rFonts w:eastAsia="Times New Roman"/>
                <w:sz w:val="20"/>
                <w:szCs w:val="20"/>
                <w:lang w:val="en-US" w:eastAsia="en-GB"/>
              </w:rPr>
              <w:fldChar w:fldCharType="separate"/>
            </w:r>
            <w:r w:rsidRPr="00817B92">
              <w:rPr>
                <w:rFonts w:eastAsia="Times New Roman"/>
                <w:sz w:val="20"/>
                <w:szCs w:val="20"/>
                <w:lang w:val="en-GB" w:eastAsia="en-GB"/>
              </w:rPr>
              <w:fldChar w:fldCharType="end"/>
            </w:r>
            <w:r w:rsidRPr="00817B92">
              <w:rPr>
                <w:rFonts w:eastAsia="Times New Roman"/>
                <w:sz w:val="20"/>
                <w:szCs w:val="20"/>
                <w:lang w:val="en-US" w:eastAsia="en-GB"/>
              </w:rPr>
              <w:t xml:space="preserve">. Additionally, butyrate production by </w:t>
            </w:r>
            <w:proofErr w:type="spellStart"/>
            <w:r w:rsidRPr="00817B92">
              <w:rPr>
                <w:rFonts w:eastAsia="Times New Roman"/>
                <w:i/>
                <w:iCs/>
                <w:sz w:val="20"/>
                <w:szCs w:val="20"/>
                <w:lang w:val="en-US" w:eastAsia="en-GB"/>
              </w:rPr>
              <w:t>Ruminococcaceae</w:t>
            </w:r>
            <w:proofErr w:type="spellEnd"/>
            <w:r w:rsidRPr="00817B92">
              <w:rPr>
                <w:rFonts w:eastAsia="Times New Roman"/>
                <w:sz w:val="20"/>
                <w:szCs w:val="20"/>
                <w:lang w:val="en-US" w:eastAsia="en-GB"/>
              </w:rPr>
              <w:t xml:space="preserve"> is known to enhance gut health, support epithelial cell function and morphology, and regulate the balance of intestinal </w:t>
            </w:r>
            <w:proofErr w:type="spellStart"/>
            <w:r w:rsidRPr="00817B92">
              <w:rPr>
                <w:rFonts w:eastAsia="Times New Roman"/>
                <w:sz w:val="20"/>
                <w:szCs w:val="20"/>
                <w:lang w:val="en-US" w:eastAsia="en-GB"/>
              </w:rPr>
              <w:t>flora.However</w:t>
            </w:r>
            <w:proofErr w:type="spellEnd"/>
            <w:r w:rsidRPr="00817B92">
              <w:rPr>
                <w:rFonts w:eastAsia="Times New Roman"/>
                <w:sz w:val="20"/>
                <w:szCs w:val="20"/>
                <w:lang w:val="en-US" w:eastAsia="en-GB"/>
              </w:rPr>
              <w:t xml:space="preserve">, it is important to note that butyrate production by </w:t>
            </w:r>
            <w:bookmarkStart w:id="12" w:name="OLE_LINK7"/>
            <w:proofErr w:type="spellStart"/>
            <w:r w:rsidRPr="00817B92">
              <w:rPr>
                <w:rFonts w:eastAsia="Times New Roman"/>
                <w:i/>
                <w:iCs/>
                <w:sz w:val="20"/>
                <w:szCs w:val="20"/>
                <w:lang w:val="en-US" w:eastAsia="en-GB"/>
              </w:rPr>
              <w:t>Ruminococcaceae</w:t>
            </w:r>
            <w:bookmarkEnd w:id="12"/>
            <w:proofErr w:type="spellEnd"/>
            <w:r w:rsidRPr="00817B92">
              <w:rPr>
                <w:rFonts w:eastAsia="Times New Roman"/>
                <w:sz w:val="20"/>
                <w:szCs w:val="20"/>
                <w:lang w:val="en-US" w:eastAsia="en-GB"/>
              </w:rPr>
              <w:t xml:space="preserve"> </w:t>
            </w:r>
            <w:bookmarkStart w:id="13" w:name="_Hlk147777359"/>
            <w:r w:rsidRPr="00817B92">
              <w:rPr>
                <w:rFonts w:eastAsia="Times New Roman"/>
                <w:sz w:val="20"/>
                <w:szCs w:val="20"/>
                <w:lang w:val="en-US" w:eastAsia="en-GB"/>
              </w:rPr>
              <w:t>inhibits histone deacetylase</w:t>
            </w:r>
            <w:bookmarkEnd w:id="13"/>
            <w:r w:rsidRPr="00817B92">
              <w:rPr>
                <w:rFonts w:eastAsia="Times New Roman"/>
                <w:sz w:val="20"/>
                <w:szCs w:val="20"/>
                <w:lang w:val="en-US" w:eastAsia="en-GB"/>
              </w:rPr>
              <w:t xml:space="preserve"> (</w:t>
            </w:r>
            <w:bookmarkStart w:id="14" w:name="_Hlk147777349"/>
            <w:r w:rsidRPr="00817B92">
              <w:rPr>
                <w:rFonts w:eastAsia="Times New Roman"/>
                <w:sz w:val="20"/>
                <w:szCs w:val="20"/>
                <w:lang w:val="en-US" w:eastAsia="en-GB"/>
              </w:rPr>
              <w:t>HDAC</w:t>
            </w:r>
            <w:bookmarkEnd w:id="14"/>
            <w:r w:rsidRPr="00817B92">
              <w:rPr>
                <w:rFonts w:eastAsia="Times New Roman"/>
                <w:sz w:val="20"/>
                <w:szCs w:val="20"/>
                <w:lang w:val="en-US" w:eastAsia="en-GB"/>
              </w:rPr>
              <w:t xml:space="preserve">), which can affect the accumulation of immune-related molecules and CD8+ T cells. The increase in CD8+ T cells has been associated with muscle fiber destruction observed in PM, suggesting a potential mechanism linking </w:t>
            </w:r>
            <w:proofErr w:type="spellStart"/>
            <w:r w:rsidRPr="00817B92">
              <w:rPr>
                <w:rFonts w:eastAsia="Times New Roman"/>
                <w:i/>
                <w:iCs/>
                <w:sz w:val="20"/>
                <w:szCs w:val="20"/>
                <w:lang w:val="en-US" w:eastAsia="en-GB"/>
              </w:rPr>
              <w:t>Ruminococcaceae</w:t>
            </w:r>
            <w:proofErr w:type="spellEnd"/>
            <w:r w:rsidRPr="00817B92">
              <w:rPr>
                <w:rFonts w:eastAsia="Times New Roman"/>
                <w:sz w:val="20"/>
                <w:szCs w:val="20"/>
                <w:lang w:val="en-US" w:eastAsia="en-GB"/>
              </w:rPr>
              <w:t xml:space="preserve"> and an increased risk of PM. Furthermore, evidence from observational studies, MR </w:t>
            </w:r>
            <w:r w:rsidRPr="00817B92">
              <w:rPr>
                <w:rFonts w:eastAsia="Times New Roman"/>
                <w:sz w:val="20"/>
                <w:szCs w:val="20"/>
                <w:lang w:val="en-US" w:eastAsia="en-GB"/>
              </w:rPr>
              <w:lastRenderedPageBreak/>
              <w:t>analyses, and clinical trials suggests that the effects of</w:t>
            </w:r>
            <w:r w:rsidRPr="00817B92">
              <w:rPr>
                <w:rFonts w:eastAsia="Times New Roman"/>
                <w:i/>
                <w:iCs/>
                <w:sz w:val="20"/>
                <w:szCs w:val="20"/>
                <w:lang w:val="en-US" w:eastAsia="en-GB"/>
              </w:rPr>
              <w:t xml:space="preserve"> </w:t>
            </w:r>
            <w:proofErr w:type="spellStart"/>
            <w:r w:rsidRPr="00817B92">
              <w:rPr>
                <w:rFonts w:eastAsia="Times New Roman"/>
                <w:i/>
                <w:iCs/>
                <w:sz w:val="20"/>
                <w:szCs w:val="20"/>
                <w:lang w:val="en-US" w:eastAsia="en-GB"/>
              </w:rPr>
              <w:t>Ruminococcaceae</w:t>
            </w:r>
            <w:proofErr w:type="spellEnd"/>
            <w:r w:rsidRPr="00817B92">
              <w:rPr>
                <w:rFonts w:eastAsia="Times New Roman"/>
                <w:sz w:val="20"/>
                <w:szCs w:val="20"/>
                <w:lang w:val="en-US" w:eastAsia="en-GB"/>
              </w:rPr>
              <w:t xml:space="preserve"> may vary depending on the specific species and strain. Genomic analysis has revealed that certain </w:t>
            </w:r>
            <w:proofErr w:type="spellStart"/>
            <w:r w:rsidRPr="00817B92">
              <w:rPr>
                <w:rFonts w:eastAsia="Times New Roman"/>
                <w:i/>
                <w:iCs/>
                <w:sz w:val="20"/>
                <w:szCs w:val="20"/>
                <w:lang w:val="en-US" w:eastAsia="en-GB"/>
              </w:rPr>
              <w:t>Ruminococcaceae</w:t>
            </w:r>
            <w:proofErr w:type="spellEnd"/>
            <w:r w:rsidRPr="00817B92">
              <w:rPr>
                <w:rFonts w:eastAsia="Times New Roman"/>
                <w:sz w:val="20"/>
                <w:szCs w:val="20"/>
                <w:lang w:val="en-US" w:eastAsia="en-GB"/>
              </w:rPr>
              <w:t xml:space="preserve"> strains associated with autoimmune diseases are distinct from those found in healthy individuals. However, further investigation at a specialized genomic level is necessary to fully understand this new finding.</w:t>
            </w:r>
          </w:p>
        </w:tc>
      </w:tr>
      <w:tr w:rsidR="00817B92" w:rsidRPr="00817B92" w14:paraId="203390A0" w14:textId="367D17C4" w:rsidTr="00817B92">
        <w:tc>
          <w:tcPr>
            <w:tcW w:w="587" w:type="dxa"/>
            <w:shd w:val="clear" w:color="auto" w:fill="auto"/>
          </w:tcPr>
          <w:p w14:paraId="54CA3A27" w14:textId="77777777" w:rsidR="00817B92" w:rsidRPr="00817B92" w:rsidRDefault="00817B92" w:rsidP="00426603">
            <w:pPr>
              <w:spacing w:beforeLines="40" w:before="96" w:afterLines="40" w:after="96" w:line="24" w:lineRule="atLeast"/>
              <w:jc w:val="right"/>
              <w:rPr>
                <w:rFonts w:eastAsia="Cambria"/>
                <w:b/>
                <w:bCs/>
                <w:sz w:val="20"/>
                <w:szCs w:val="20"/>
                <w:lang w:val="en-GB" w:eastAsia="en-US"/>
              </w:rPr>
            </w:pPr>
          </w:p>
        </w:tc>
        <w:tc>
          <w:tcPr>
            <w:tcW w:w="1796" w:type="dxa"/>
            <w:shd w:val="clear" w:color="auto" w:fill="auto"/>
          </w:tcPr>
          <w:p w14:paraId="6D25BA57" w14:textId="77777777" w:rsidR="00817B92" w:rsidRPr="00817B92" w:rsidRDefault="00817B92" w:rsidP="00426603">
            <w:pPr>
              <w:spacing w:beforeLines="40" w:before="96" w:afterLines="40" w:after="96" w:line="24" w:lineRule="atLeast"/>
              <w:jc w:val="right"/>
              <w:rPr>
                <w:rFonts w:eastAsia="Cambria"/>
                <w:sz w:val="20"/>
                <w:szCs w:val="20"/>
                <w:lang w:val="en-GB" w:eastAsia="en-US"/>
              </w:rPr>
            </w:pPr>
            <w:r w:rsidRPr="00817B92">
              <w:rPr>
                <w:rFonts w:eastAsia="Cambria"/>
                <w:sz w:val="20"/>
                <w:szCs w:val="20"/>
                <w:lang w:val="en-GB" w:eastAsia="en-US"/>
              </w:rPr>
              <w:t>c)</w:t>
            </w:r>
          </w:p>
        </w:tc>
        <w:tc>
          <w:tcPr>
            <w:tcW w:w="5888" w:type="dxa"/>
            <w:shd w:val="clear" w:color="auto" w:fill="auto"/>
          </w:tcPr>
          <w:p w14:paraId="5B6A8315" w14:textId="77777777" w:rsidR="00817B92" w:rsidRPr="00817B92" w:rsidRDefault="00817B92" w:rsidP="00426603">
            <w:pPr>
              <w:tabs>
                <w:tab w:val="left" w:pos="1350"/>
              </w:tabs>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 xml:space="preserve">Clinical relevance: Discuss whether the results have clinical or public policy relevance, and </w:t>
            </w:r>
            <w:r w:rsidRPr="00817B92">
              <w:rPr>
                <w:rFonts w:eastAsia="Times New Roman"/>
                <w:color w:val="000000"/>
                <w:sz w:val="20"/>
                <w:szCs w:val="20"/>
                <w:lang w:eastAsia="en-GB"/>
              </w:rPr>
              <w:t>to what extent they inform effect sizes of possible interventions</w:t>
            </w:r>
          </w:p>
        </w:tc>
        <w:tc>
          <w:tcPr>
            <w:tcW w:w="5472" w:type="dxa"/>
          </w:tcPr>
          <w:p w14:paraId="78058AE6" w14:textId="3123FFE4" w:rsidR="00817B92" w:rsidRPr="00817B92" w:rsidRDefault="00817B92" w:rsidP="00426603">
            <w:pPr>
              <w:tabs>
                <w:tab w:val="left" w:pos="1350"/>
              </w:tabs>
              <w:spacing w:beforeLines="40" w:before="96" w:afterLines="40" w:after="96" w:line="24" w:lineRule="atLeast"/>
              <w:rPr>
                <w:rFonts w:eastAsiaTheme="minorEastAsia"/>
                <w:sz w:val="20"/>
                <w:szCs w:val="20"/>
                <w:lang w:val="en-US" w:eastAsia="zh-CN"/>
              </w:rPr>
            </w:pPr>
            <w:r w:rsidRPr="00817B92">
              <w:rPr>
                <w:rFonts w:eastAsia="Times New Roman"/>
                <w:sz w:val="20"/>
                <w:szCs w:val="20"/>
                <w:lang w:val="en-US" w:eastAsia="en-GB"/>
              </w:rPr>
              <w:t xml:space="preserve">Through our research, we discovered that the relative abundance of </w:t>
            </w:r>
            <w:proofErr w:type="spellStart"/>
            <w:r w:rsidRPr="00817B92">
              <w:rPr>
                <w:rFonts w:eastAsia="Times New Roman"/>
                <w:i/>
                <w:iCs/>
                <w:sz w:val="20"/>
                <w:szCs w:val="20"/>
                <w:lang w:val="en-US" w:eastAsia="en-GB"/>
              </w:rPr>
              <w:t>Ruminococcaceae</w:t>
            </w:r>
            <w:proofErr w:type="spellEnd"/>
            <w:r w:rsidRPr="00817B92">
              <w:rPr>
                <w:rFonts w:eastAsia="Times New Roman"/>
                <w:sz w:val="20"/>
                <w:szCs w:val="20"/>
                <w:lang w:val="en-US" w:eastAsia="en-GB"/>
              </w:rPr>
              <w:t xml:space="preserve"> may be related to disease activity in PM as well as DM. Although </w:t>
            </w:r>
            <w:proofErr w:type="spellStart"/>
            <w:r w:rsidRPr="00817B92">
              <w:rPr>
                <w:rFonts w:eastAsia="Times New Roman"/>
                <w:i/>
                <w:iCs/>
                <w:sz w:val="20"/>
                <w:szCs w:val="20"/>
                <w:lang w:val="en-US" w:eastAsia="en-GB"/>
              </w:rPr>
              <w:t>Ruminococcaceae</w:t>
            </w:r>
            <w:proofErr w:type="spellEnd"/>
            <w:r w:rsidRPr="00817B92">
              <w:rPr>
                <w:rFonts w:eastAsia="Times New Roman"/>
                <w:sz w:val="20"/>
                <w:szCs w:val="20"/>
                <w:lang w:val="en-US" w:eastAsia="en-GB"/>
              </w:rPr>
              <w:t xml:space="preserve"> are commonly found in low levels in the feces of healthy populations, even patients with mild disease activity showed higher-than-normal levels of </w:t>
            </w:r>
            <w:bookmarkStart w:id="15" w:name="_Hlk144494372"/>
            <w:proofErr w:type="spellStart"/>
            <w:r w:rsidRPr="00817B92">
              <w:rPr>
                <w:rFonts w:eastAsia="Times New Roman"/>
                <w:i/>
                <w:iCs/>
                <w:sz w:val="20"/>
                <w:szCs w:val="20"/>
                <w:lang w:val="en-US" w:eastAsia="en-GB"/>
              </w:rPr>
              <w:t>Ruminococcaceae</w:t>
            </w:r>
            <w:bookmarkEnd w:id="15"/>
            <w:proofErr w:type="spellEnd"/>
            <w:r w:rsidRPr="00817B92">
              <w:rPr>
                <w:rFonts w:eastAsia="Times New Roman"/>
                <w:sz w:val="20"/>
                <w:szCs w:val="20"/>
                <w:lang w:val="en-US" w:eastAsia="en-GB"/>
              </w:rPr>
              <w:t xml:space="preserve">. We observed that patients with high disease activity had even higher levels of </w:t>
            </w:r>
            <w:proofErr w:type="spellStart"/>
            <w:r w:rsidRPr="00817B92">
              <w:rPr>
                <w:rFonts w:eastAsia="Times New Roman"/>
                <w:i/>
                <w:iCs/>
                <w:sz w:val="20"/>
                <w:szCs w:val="20"/>
                <w:lang w:val="en-US" w:eastAsia="en-GB"/>
              </w:rPr>
              <w:t>Ruminococcaceae</w:t>
            </w:r>
            <w:proofErr w:type="spellEnd"/>
            <w:r w:rsidRPr="00817B92">
              <w:rPr>
                <w:rFonts w:eastAsia="Times New Roman"/>
                <w:sz w:val="20"/>
                <w:szCs w:val="20"/>
                <w:lang w:val="en-US" w:eastAsia="en-GB"/>
              </w:rPr>
              <w:t>, leading us to hypothesize that increased activity of this bacterium could raise the risk of developing PM/DM. Considering this association, monitoring the abundance of</w:t>
            </w:r>
            <w:r w:rsidRPr="00817B92">
              <w:rPr>
                <w:rFonts w:eastAsia="Times New Roman"/>
                <w:i/>
                <w:iCs/>
                <w:sz w:val="20"/>
                <w:szCs w:val="20"/>
                <w:lang w:val="en-US" w:eastAsia="en-GB"/>
              </w:rPr>
              <w:t xml:space="preserve"> </w:t>
            </w:r>
            <w:proofErr w:type="spellStart"/>
            <w:r w:rsidRPr="00817B92">
              <w:rPr>
                <w:rFonts w:eastAsia="Times New Roman"/>
                <w:i/>
                <w:iCs/>
                <w:sz w:val="20"/>
                <w:szCs w:val="20"/>
                <w:lang w:val="en-US" w:eastAsia="en-GB"/>
              </w:rPr>
              <w:t>Rumenococcaceae</w:t>
            </w:r>
            <w:proofErr w:type="spellEnd"/>
            <w:r w:rsidRPr="00817B92">
              <w:rPr>
                <w:rFonts w:eastAsia="Times New Roman"/>
                <w:sz w:val="20"/>
                <w:szCs w:val="20"/>
                <w:lang w:val="en-US" w:eastAsia="en-GB"/>
              </w:rPr>
              <w:t xml:space="preserve"> flora at an early stage can provide targeted recommendations for preventive and therapeutic approaches.</w:t>
            </w:r>
          </w:p>
        </w:tc>
      </w:tr>
      <w:tr w:rsidR="00817B92" w:rsidRPr="00817B92" w14:paraId="71FDAFC1" w14:textId="00A47F15" w:rsidTr="00817B92">
        <w:tc>
          <w:tcPr>
            <w:tcW w:w="587" w:type="dxa"/>
            <w:tcBorders>
              <w:bottom w:val="single" w:sz="6" w:space="0" w:color="7F7F7F"/>
            </w:tcBorders>
            <w:shd w:val="clear" w:color="auto" w:fill="EEEEEE"/>
          </w:tcPr>
          <w:p w14:paraId="7540155A"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17</w:t>
            </w:r>
          </w:p>
        </w:tc>
        <w:tc>
          <w:tcPr>
            <w:tcW w:w="1796" w:type="dxa"/>
            <w:tcBorders>
              <w:bottom w:val="single" w:sz="6" w:space="0" w:color="7F7F7F"/>
            </w:tcBorders>
            <w:shd w:val="clear" w:color="auto" w:fill="EEEEEE"/>
          </w:tcPr>
          <w:p w14:paraId="3680059F"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 xml:space="preserve">Generalizability  </w:t>
            </w:r>
            <w:r w:rsidRPr="00817B92">
              <w:rPr>
                <w:rFonts w:eastAsia="Times New Roman"/>
                <w:sz w:val="20"/>
                <w:szCs w:val="20"/>
                <w:lang w:val="en-GB" w:eastAsia="en-GB"/>
              </w:rPr>
              <w:t> </w:t>
            </w:r>
          </w:p>
        </w:tc>
        <w:tc>
          <w:tcPr>
            <w:tcW w:w="5888" w:type="dxa"/>
            <w:tcBorders>
              <w:bottom w:val="single" w:sz="6" w:space="0" w:color="7F7F7F"/>
            </w:tcBorders>
            <w:shd w:val="clear" w:color="auto" w:fill="EEEEEE"/>
          </w:tcPr>
          <w:p w14:paraId="68647C33"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sz w:val="20"/>
                <w:szCs w:val="20"/>
                <w:lang w:val="en-GB" w:eastAsia="en-GB"/>
              </w:rPr>
              <w:t>Discuss the generalizability of the study results (a) to other populations, (b) across other exposure periods/timings, and (c) across other levels of exposure</w:t>
            </w:r>
          </w:p>
        </w:tc>
        <w:tc>
          <w:tcPr>
            <w:tcW w:w="5472" w:type="dxa"/>
            <w:tcBorders>
              <w:bottom w:val="single" w:sz="6" w:space="0" w:color="7F7F7F"/>
            </w:tcBorders>
            <w:shd w:val="clear" w:color="auto" w:fill="EEEEEE"/>
          </w:tcPr>
          <w:p w14:paraId="395A68CF" w14:textId="69E30135" w:rsidR="00817B92" w:rsidRPr="00817B92" w:rsidRDefault="00817B92" w:rsidP="00C21D43">
            <w:pPr>
              <w:spacing w:beforeLines="40" w:before="96" w:afterLines="40" w:after="96" w:line="24" w:lineRule="atLeast"/>
              <w:rPr>
                <w:rFonts w:eastAsia="Times New Roman"/>
                <w:sz w:val="20"/>
                <w:szCs w:val="20"/>
                <w:lang w:val="en-US" w:eastAsia="en-GB"/>
              </w:rPr>
            </w:pPr>
            <w:r w:rsidRPr="00817B92">
              <w:rPr>
                <w:rFonts w:eastAsia="Times New Roman"/>
                <w:sz w:val="20"/>
                <w:szCs w:val="20"/>
                <w:lang w:val="en-US" w:eastAsia="en-GB"/>
              </w:rPr>
              <w:t>The strength of this study lies in the early monitoring of risk factors and the availability of effective treatment strategies that can minimize the burden of healthcare costs and disease suffering. Our study utilized MR to use genetic letters as IVs, thereby predicting the relationship between gut flora and PM/DM at the genetic level. The strengths of our study compared with previous studies are threefold: first, it is the first attempt of its kind, giving us more possibilities to study this type of disease; second, it lies in our rigorous selection of IVs and thorough sensitivity analyses to ensure the validity of our causal estimates. During the IV selection process, we employed stringent quality control measures, including the use of independent GW AS SNPs and the assessment of horizontal pleiotropy; finally, the large sample size of this study and the European origin of the participants further enhanced the reliability of our results. These advantages help to deepen our understanding of the relationship between gut flora and PM/DM and facilitate the development of therapeutic strategies for PM/DM.</w:t>
            </w:r>
          </w:p>
          <w:p w14:paraId="41ABF5A9" w14:textId="77777777" w:rsidR="00817B92" w:rsidRPr="00817B92" w:rsidRDefault="00817B92" w:rsidP="00426603">
            <w:pPr>
              <w:spacing w:beforeLines="40" w:before="96" w:afterLines="40" w:after="96" w:line="24" w:lineRule="atLeast"/>
              <w:rPr>
                <w:rFonts w:eastAsia="Times New Roman"/>
                <w:sz w:val="20"/>
                <w:szCs w:val="20"/>
                <w:lang w:val="en-US" w:eastAsia="en-GB"/>
              </w:rPr>
            </w:pPr>
          </w:p>
        </w:tc>
      </w:tr>
      <w:tr w:rsidR="00817B92" w:rsidRPr="00817B92" w14:paraId="57884E75" w14:textId="6FD41AE6" w:rsidTr="00817B92">
        <w:tc>
          <w:tcPr>
            <w:tcW w:w="587" w:type="dxa"/>
            <w:tcBorders>
              <w:top w:val="single" w:sz="6" w:space="0" w:color="7F7F7F"/>
            </w:tcBorders>
            <w:shd w:val="clear" w:color="auto" w:fill="auto"/>
          </w:tcPr>
          <w:p w14:paraId="2C4C694A"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p>
        </w:tc>
        <w:tc>
          <w:tcPr>
            <w:tcW w:w="1796" w:type="dxa"/>
            <w:tcBorders>
              <w:top w:val="single" w:sz="6" w:space="0" w:color="7F7F7F"/>
            </w:tcBorders>
            <w:shd w:val="clear" w:color="auto" w:fill="auto"/>
          </w:tcPr>
          <w:p w14:paraId="0A6FFE33"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OTHER INFORMATION</w:t>
            </w:r>
          </w:p>
        </w:tc>
        <w:tc>
          <w:tcPr>
            <w:tcW w:w="5888" w:type="dxa"/>
            <w:tcBorders>
              <w:top w:val="single" w:sz="6" w:space="0" w:color="7F7F7F"/>
            </w:tcBorders>
            <w:shd w:val="clear" w:color="auto" w:fill="auto"/>
          </w:tcPr>
          <w:p w14:paraId="0577947E" w14:textId="77777777" w:rsidR="00817B92" w:rsidRPr="00817B92" w:rsidRDefault="00817B92" w:rsidP="00426603">
            <w:pPr>
              <w:spacing w:beforeLines="40" w:before="96" w:afterLines="40" w:after="96" w:line="24" w:lineRule="atLeast"/>
              <w:rPr>
                <w:rFonts w:eastAsia="Cambria"/>
                <w:sz w:val="20"/>
                <w:szCs w:val="20"/>
                <w:lang w:val="en-GB" w:eastAsia="en-US"/>
              </w:rPr>
            </w:pPr>
          </w:p>
        </w:tc>
        <w:tc>
          <w:tcPr>
            <w:tcW w:w="5472" w:type="dxa"/>
            <w:tcBorders>
              <w:top w:val="single" w:sz="6" w:space="0" w:color="7F7F7F"/>
            </w:tcBorders>
          </w:tcPr>
          <w:p w14:paraId="3718ED5B" w14:textId="77777777" w:rsidR="00817B92" w:rsidRPr="00817B92" w:rsidRDefault="00817B92" w:rsidP="00426603">
            <w:pPr>
              <w:spacing w:beforeLines="40" w:before="96" w:afterLines="40" w:after="96" w:line="24" w:lineRule="atLeast"/>
              <w:rPr>
                <w:rFonts w:eastAsia="Cambria"/>
                <w:sz w:val="20"/>
                <w:szCs w:val="20"/>
                <w:lang w:val="en-GB" w:eastAsia="en-US"/>
              </w:rPr>
            </w:pPr>
          </w:p>
        </w:tc>
      </w:tr>
      <w:tr w:rsidR="00817B92" w:rsidRPr="00817B92" w14:paraId="0014C6D1" w14:textId="2FC4D004" w:rsidTr="00817B92">
        <w:tc>
          <w:tcPr>
            <w:tcW w:w="587" w:type="dxa"/>
            <w:shd w:val="clear" w:color="auto" w:fill="EEEEEE"/>
          </w:tcPr>
          <w:p w14:paraId="2336D08C"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18</w:t>
            </w:r>
          </w:p>
        </w:tc>
        <w:tc>
          <w:tcPr>
            <w:tcW w:w="1796" w:type="dxa"/>
            <w:shd w:val="clear" w:color="auto" w:fill="EEEEEE"/>
          </w:tcPr>
          <w:p w14:paraId="08EB4FDF" w14:textId="77777777" w:rsidR="00817B92" w:rsidRPr="00817B92" w:rsidRDefault="00817B92" w:rsidP="00426603">
            <w:pPr>
              <w:spacing w:beforeLines="40" w:before="96" w:afterLines="40" w:after="96" w:line="24" w:lineRule="atLeast"/>
              <w:rPr>
                <w:rFonts w:eastAsia="Cambria"/>
                <w:sz w:val="20"/>
                <w:szCs w:val="20"/>
                <w:lang w:val="en-GB" w:eastAsia="en-US"/>
              </w:rPr>
            </w:pPr>
            <w:r w:rsidRPr="00817B92">
              <w:rPr>
                <w:rFonts w:eastAsia="Times New Roman"/>
                <w:b/>
                <w:bCs/>
                <w:sz w:val="20"/>
                <w:szCs w:val="20"/>
                <w:lang w:val="en-GB" w:eastAsia="en-GB"/>
              </w:rPr>
              <w:t>Funding</w:t>
            </w:r>
          </w:p>
        </w:tc>
        <w:tc>
          <w:tcPr>
            <w:tcW w:w="5888" w:type="dxa"/>
            <w:shd w:val="clear" w:color="auto" w:fill="EEEEEE"/>
          </w:tcPr>
          <w:p w14:paraId="4663DCA7"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Describe sources of funding and the role of funders in the present study and, if applicable, sources of funding for the databases and original study or studies on which the present study is based</w:t>
            </w:r>
          </w:p>
        </w:tc>
        <w:tc>
          <w:tcPr>
            <w:tcW w:w="5472" w:type="dxa"/>
            <w:shd w:val="clear" w:color="auto" w:fill="EEEEEE"/>
          </w:tcPr>
          <w:p w14:paraId="2C6CE5FF" w14:textId="2E5F2A6E" w:rsidR="00817B92" w:rsidRPr="00817B92" w:rsidRDefault="00817B92" w:rsidP="00426603">
            <w:pPr>
              <w:spacing w:beforeLines="40" w:before="96" w:afterLines="40" w:after="96" w:line="24" w:lineRule="atLeast"/>
              <w:rPr>
                <w:rFonts w:eastAsiaTheme="minorEastAsia"/>
                <w:sz w:val="20"/>
                <w:szCs w:val="20"/>
                <w:lang w:val="en-US" w:eastAsia="zh-CN"/>
              </w:rPr>
            </w:pPr>
            <w:r w:rsidRPr="00817B92">
              <w:rPr>
                <w:rFonts w:eastAsia="Times New Roman"/>
                <w:sz w:val="20"/>
                <w:szCs w:val="20"/>
                <w:lang w:val="en-US" w:eastAsia="en-GB"/>
              </w:rPr>
              <w:t>This project was supported by grants from the National Natural Science Foundation of China (NO.82001740) and the Natural Science Foundation of Shanxi Province (NO.202203021221269).</w:t>
            </w:r>
          </w:p>
        </w:tc>
      </w:tr>
      <w:tr w:rsidR="00817B92" w:rsidRPr="00817B92" w14:paraId="1B22CB41" w14:textId="102364C9" w:rsidTr="00817B92">
        <w:tc>
          <w:tcPr>
            <w:tcW w:w="587" w:type="dxa"/>
            <w:shd w:val="clear" w:color="auto" w:fill="auto"/>
          </w:tcPr>
          <w:p w14:paraId="381BF2BA"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19</w:t>
            </w:r>
          </w:p>
        </w:tc>
        <w:tc>
          <w:tcPr>
            <w:tcW w:w="1796" w:type="dxa"/>
            <w:shd w:val="clear" w:color="auto" w:fill="auto"/>
          </w:tcPr>
          <w:p w14:paraId="233BA942"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Data and data sharing </w:t>
            </w:r>
          </w:p>
        </w:tc>
        <w:tc>
          <w:tcPr>
            <w:tcW w:w="5888" w:type="dxa"/>
            <w:shd w:val="clear" w:color="auto" w:fill="auto"/>
          </w:tcPr>
          <w:p w14:paraId="42D9085E"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Provide the data used to perform all analyses or report where and how the data can be accessed, and reference these sources in the article. Provide the statistical code needed to reproduce the results in the article, or report whether the code is publicly accessible and if so, where</w:t>
            </w:r>
          </w:p>
        </w:tc>
        <w:tc>
          <w:tcPr>
            <w:tcW w:w="5472" w:type="dxa"/>
          </w:tcPr>
          <w:p w14:paraId="38DE3AA7" w14:textId="05AB5965" w:rsidR="00817B92" w:rsidRPr="00817B92" w:rsidRDefault="00817B92" w:rsidP="00426603">
            <w:pPr>
              <w:spacing w:beforeLines="40" w:before="96" w:afterLines="40" w:after="96" w:line="24" w:lineRule="atLeast"/>
              <w:rPr>
                <w:rFonts w:eastAsiaTheme="minorEastAsia"/>
                <w:sz w:val="20"/>
                <w:szCs w:val="20"/>
                <w:lang w:val="en-US" w:eastAsia="zh-CN"/>
              </w:rPr>
            </w:pPr>
            <w:r w:rsidRPr="00817B92">
              <w:rPr>
                <w:rFonts w:eastAsia="Times New Roman"/>
                <w:sz w:val="20"/>
                <w:szCs w:val="20"/>
                <w:lang w:val="en-US" w:eastAsia="en-GB"/>
              </w:rPr>
              <w:t xml:space="preserve">GWAS summary statistics about Dermatomyositis and Polymyositis are available in the IEU </w:t>
            </w:r>
            <w:proofErr w:type="spellStart"/>
            <w:r w:rsidRPr="00817B92">
              <w:rPr>
                <w:rFonts w:eastAsia="Times New Roman"/>
                <w:sz w:val="20"/>
                <w:szCs w:val="20"/>
                <w:lang w:val="en-US" w:eastAsia="en-GB"/>
              </w:rPr>
              <w:t>OpenGWAS</w:t>
            </w:r>
            <w:proofErr w:type="spellEnd"/>
            <w:r w:rsidRPr="00817B92">
              <w:rPr>
                <w:rFonts w:eastAsia="Times New Roman"/>
                <w:sz w:val="20"/>
                <w:szCs w:val="20"/>
                <w:lang w:val="en-US" w:eastAsia="en-GB"/>
              </w:rPr>
              <w:t xml:space="preserve"> project(https://gwas.mrcieu.ac.uk/datasets/finn-b-M13_DERMATOPOLY/and https://gwas.mrcieu.ac.uk/datasets/finn-b-M13_POLYMYO/). And the data of gut microbiota is publicly available and its original studies are cited from (</w:t>
            </w:r>
            <w:hyperlink r:id="rId14" w:history="1">
              <w:r w:rsidRPr="00817B92">
                <w:rPr>
                  <w:rStyle w:val="Hyperlink"/>
                  <w:rFonts w:eastAsia="Times New Roman"/>
                  <w:sz w:val="20"/>
                  <w:szCs w:val="20"/>
                  <w:lang w:val="en-US" w:eastAsia="en-GB"/>
                </w:rPr>
                <w:t>https://www.nature.com/articles/s41588-020-00763-1</w:t>
              </w:r>
            </w:hyperlink>
            <w:r w:rsidRPr="00817B92">
              <w:rPr>
                <w:rFonts w:eastAsia="Times New Roman"/>
                <w:sz w:val="20"/>
                <w:szCs w:val="20"/>
                <w:lang w:val="en-US" w:eastAsia="en-GB"/>
              </w:rPr>
              <w:t>)</w:t>
            </w:r>
          </w:p>
        </w:tc>
      </w:tr>
      <w:tr w:rsidR="00817B92" w:rsidRPr="00817B92" w14:paraId="1BFE6A86" w14:textId="26747AA0" w:rsidTr="00817B92">
        <w:tc>
          <w:tcPr>
            <w:tcW w:w="587" w:type="dxa"/>
            <w:tcBorders>
              <w:bottom w:val="single" w:sz="6" w:space="0" w:color="7F7F7F"/>
            </w:tcBorders>
            <w:shd w:val="clear" w:color="auto" w:fill="EEEEEE"/>
          </w:tcPr>
          <w:p w14:paraId="20DC2C92" w14:textId="77777777" w:rsidR="00817B92" w:rsidRPr="00817B92" w:rsidRDefault="00817B92" w:rsidP="00426603">
            <w:pPr>
              <w:spacing w:beforeLines="40" w:before="96" w:afterLines="40" w:after="96" w:line="24" w:lineRule="atLeast"/>
              <w:rPr>
                <w:rFonts w:eastAsia="Times New Roman"/>
                <w:b/>
                <w:bCs/>
                <w:sz w:val="20"/>
                <w:szCs w:val="20"/>
                <w:lang w:val="en-GB" w:eastAsia="en-GB"/>
              </w:rPr>
            </w:pPr>
            <w:r w:rsidRPr="00817B92">
              <w:rPr>
                <w:rFonts w:eastAsia="Times New Roman"/>
                <w:sz w:val="20"/>
                <w:szCs w:val="20"/>
                <w:lang w:val="en-GB" w:eastAsia="en-GB"/>
              </w:rPr>
              <w:t>20</w:t>
            </w:r>
          </w:p>
        </w:tc>
        <w:tc>
          <w:tcPr>
            <w:tcW w:w="1796" w:type="dxa"/>
            <w:tcBorders>
              <w:bottom w:val="single" w:sz="6" w:space="0" w:color="7F7F7F"/>
            </w:tcBorders>
            <w:shd w:val="clear" w:color="auto" w:fill="EEEEEE"/>
          </w:tcPr>
          <w:p w14:paraId="39A69A1B"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b/>
                <w:bCs/>
                <w:sz w:val="20"/>
                <w:szCs w:val="20"/>
                <w:lang w:val="en-GB" w:eastAsia="en-GB"/>
              </w:rPr>
              <w:t>Conflicts of Interest  </w:t>
            </w:r>
          </w:p>
        </w:tc>
        <w:tc>
          <w:tcPr>
            <w:tcW w:w="5888" w:type="dxa"/>
            <w:tcBorders>
              <w:bottom w:val="single" w:sz="6" w:space="0" w:color="7F7F7F"/>
            </w:tcBorders>
            <w:shd w:val="clear" w:color="auto" w:fill="EEEEEE"/>
          </w:tcPr>
          <w:p w14:paraId="4772D912" w14:textId="77777777" w:rsidR="00817B92" w:rsidRPr="00817B92" w:rsidRDefault="00817B92" w:rsidP="00426603">
            <w:pPr>
              <w:spacing w:beforeLines="40" w:before="96" w:afterLines="40" w:after="96" w:line="24" w:lineRule="atLeast"/>
              <w:rPr>
                <w:rFonts w:eastAsia="Times New Roman"/>
                <w:sz w:val="20"/>
                <w:szCs w:val="20"/>
                <w:lang w:val="en-GB" w:eastAsia="en-GB"/>
              </w:rPr>
            </w:pPr>
            <w:r w:rsidRPr="00817B92">
              <w:rPr>
                <w:rFonts w:eastAsia="Times New Roman"/>
                <w:sz w:val="20"/>
                <w:szCs w:val="20"/>
                <w:lang w:val="en-GB" w:eastAsia="en-GB"/>
              </w:rPr>
              <w:t>All authors should declare all potential conflicts of interest</w:t>
            </w:r>
          </w:p>
        </w:tc>
        <w:tc>
          <w:tcPr>
            <w:tcW w:w="5472" w:type="dxa"/>
            <w:tcBorders>
              <w:bottom w:val="single" w:sz="6" w:space="0" w:color="7F7F7F"/>
            </w:tcBorders>
            <w:shd w:val="clear" w:color="auto" w:fill="EEEEEE"/>
          </w:tcPr>
          <w:p w14:paraId="5D9123A4" w14:textId="45E96FEA" w:rsidR="00817B92" w:rsidRPr="00817B92" w:rsidRDefault="00817B92" w:rsidP="000C1B48">
            <w:pPr>
              <w:rPr>
                <w:rFonts w:eastAsiaTheme="minorEastAsia"/>
                <w:sz w:val="20"/>
                <w:szCs w:val="20"/>
                <w:lang w:eastAsia="zh-CN"/>
              </w:rPr>
            </w:pPr>
            <w:r w:rsidRPr="00817B92">
              <w:rPr>
                <w:sz w:val="20"/>
                <w:szCs w:val="20"/>
              </w:rPr>
              <w:t>The authors declare no competing interests</w:t>
            </w:r>
            <w:r w:rsidRPr="00817B92">
              <w:rPr>
                <w:rFonts w:eastAsiaTheme="minorEastAsia"/>
                <w:sz w:val="20"/>
                <w:szCs w:val="20"/>
                <w:lang w:eastAsia="zh-CN"/>
              </w:rPr>
              <w:t>.</w:t>
            </w:r>
          </w:p>
        </w:tc>
      </w:tr>
    </w:tbl>
    <w:p w14:paraId="386115B2" w14:textId="17D6D8D3" w:rsidR="00091308" w:rsidRPr="00817B92" w:rsidRDefault="00D65199" w:rsidP="005520ED">
      <w:pPr>
        <w:spacing w:before="240" w:after="240"/>
        <w:rPr>
          <w:sz w:val="20"/>
          <w:szCs w:val="20"/>
        </w:rPr>
      </w:pPr>
      <w:r w:rsidRPr="00817B92">
        <w:rPr>
          <w:sz w:val="20"/>
          <w:szCs w:val="20"/>
        </w:rPr>
        <w:t xml:space="preserve">This checklist is copyrighted by the Equator Network under the Creative Commons Attribution 3.0 </w:t>
      </w:r>
      <w:proofErr w:type="spellStart"/>
      <w:r w:rsidRPr="00817B92">
        <w:rPr>
          <w:sz w:val="20"/>
          <w:szCs w:val="20"/>
        </w:rPr>
        <w:t>Unported</w:t>
      </w:r>
      <w:proofErr w:type="spellEnd"/>
      <w:r w:rsidRPr="00817B92">
        <w:rPr>
          <w:sz w:val="20"/>
          <w:szCs w:val="20"/>
        </w:rPr>
        <w:t xml:space="preserve"> (CC BY 3.0) license.</w:t>
      </w:r>
    </w:p>
    <w:p w14:paraId="5DDF8A06" w14:textId="73FE4A93" w:rsidR="009854A9" w:rsidRPr="00817B92" w:rsidRDefault="00804498" w:rsidP="009854A9">
      <w:pPr>
        <w:widowControl w:val="0"/>
        <w:autoSpaceDE w:val="0"/>
        <w:autoSpaceDN w:val="0"/>
        <w:adjustRightInd w:val="0"/>
        <w:spacing w:before="240" w:after="240" w:line="240" w:lineRule="auto"/>
        <w:ind w:left="640" w:hanging="640"/>
        <w:rPr>
          <w:noProof/>
          <w:sz w:val="20"/>
          <w:szCs w:val="20"/>
        </w:rPr>
      </w:pPr>
      <w:r w:rsidRPr="00817B92">
        <w:rPr>
          <w:sz w:val="20"/>
          <w:szCs w:val="20"/>
        </w:rPr>
        <w:fldChar w:fldCharType="begin" w:fldLock="1"/>
      </w:r>
      <w:r w:rsidRPr="00817B92">
        <w:rPr>
          <w:sz w:val="20"/>
          <w:szCs w:val="20"/>
        </w:rPr>
        <w:instrText xml:space="preserve">ADDIN Mendeley Bibliography CSL_BIBLIOGRAPHY </w:instrText>
      </w:r>
      <w:r w:rsidRPr="00817B92">
        <w:rPr>
          <w:sz w:val="20"/>
          <w:szCs w:val="20"/>
        </w:rPr>
        <w:fldChar w:fldCharType="separate"/>
      </w:r>
      <w:r w:rsidR="009854A9" w:rsidRPr="00817B92">
        <w:rPr>
          <w:noProof/>
          <w:sz w:val="20"/>
          <w:szCs w:val="20"/>
        </w:rPr>
        <w:t xml:space="preserve">1. </w:t>
      </w:r>
      <w:r w:rsidR="009854A9" w:rsidRPr="00817B92">
        <w:rPr>
          <w:noProof/>
          <w:sz w:val="20"/>
          <w:szCs w:val="20"/>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817B92" w:rsidRDefault="009854A9" w:rsidP="009854A9">
      <w:pPr>
        <w:widowControl w:val="0"/>
        <w:autoSpaceDE w:val="0"/>
        <w:autoSpaceDN w:val="0"/>
        <w:adjustRightInd w:val="0"/>
        <w:spacing w:before="240" w:after="240" w:line="240" w:lineRule="auto"/>
        <w:ind w:left="640" w:hanging="640"/>
        <w:rPr>
          <w:noProof/>
          <w:sz w:val="20"/>
          <w:szCs w:val="20"/>
        </w:rPr>
      </w:pPr>
      <w:r w:rsidRPr="00817B92">
        <w:rPr>
          <w:noProof/>
          <w:sz w:val="20"/>
          <w:szCs w:val="20"/>
        </w:rPr>
        <w:t xml:space="preserve">2. </w:t>
      </w:r>
      <w:r w:rsidRPr="00817B92">
        <w:rPr>
          <w:noProof/>
          <w:sz w:val="20"/>
          <w:szCs w:val="20"/>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2A77B222" w:rsidR="00804498" w:rsidRPr="00817B92" w:rsidRDefault="00804498" w:rsidP="005520ED">
      <w:pPr>
        <w:spacing w:before="240" w:after="240"/>
        <w:rPr>
          <w:rFonts w:eastAsiaTheme="minorEastAsia"/>
          <w:sz w:val="20"/>
          <w:szCs w:val="20"/>
          <w:lang w:eastAsia="zh-CN"/>
        </w:rPr>
      </w:pPr>
      <w:r w:rsidRPr="00817B92">
        <w:rPr>
          <w:sz w:val="20"/>
          <w:szCs w:val="20"/>
        </w:rPr>
        <w:fldChar w:fldCharType="end"/>
      </w:r>
    </w:p>
    <w:sectPr w:rsidR="00804498" w:rsidRPr="00817B92" w:rsidSect="00183138">
      <w:footerReference w:type="even" r:id="rId15"/>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E7134" w14:textId="77777777" w:rsidR="003164CA" w:rsidRDefault="003164CA">
      <w:pPr>
        <w:spacing w:line="240" w:lineRule="auto"/>
      </w:pPr>
      <w:r>
        <w:separator/>
      </w:r>
    </w:p>
  </w:endnote>
  <w:endnote w:type="continuationSeparator" w:id="0">
    <w:p w14:paraId="73D1C11C" w14:textId="77777777" w:rsidR="003164CA" w:rsidRDefault="00316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A166" w14:textId="77777777" w:rsidR="00091308" w:rsidRDefault="00091308" w:rsidP="00A365E5">
    <w:pPr>
      <w:pStyle w:val="Footer"/>
      <w:framePr w:wrap="none" w:vAnchor="text" w:hAnchor="margin" w:xAlign="right" w:y="1"/>
      <w:rPr>
        <w:rStyle w:val="PageNumber"/>
      </w:rPr>
    </w:pPr>
  </w:p>
  <w:p w14:paraId="40A0897E" w14:textId="77777777" w:rsidR="00091308" w:rsidRDefault="00091308" w:rsidP="00C14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FDA60" w14:textId="77777777" w:rsidR="003164CA" w:rsidRDefault="003164CA">
      <w:pPr>
        <w:spacing w:line="240" w:lineRule="auto"/>
      </w:pPr>
      <w:r>
        <w:separator/>
      </w:r>
    </w:p>
  </w:footnote>
  <w:footnote w:type="continuationSeparator" w:id="0">
    <w:p w14:paraId="68E8EDC2" w14:textId="77777777" w:rsidR="003164CA" w:rsidRDefault="003164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202B9"/>
    <w:rsid w:val="00025C30"/>
    <w:rsid w:val="00091308"/>
    <w:rsid w:val="000A4CE8"/>
    <w:rsid w:val="000C1B48"/>
    <w:rsid w:val="000C6160"/>
    <w:rsid w:val="000C6265"/>
    <w:rsid w:val="001455CA"/>
    <w:rsid w:val="00183138"/>
    <w:rsid w:val="002144BD"/>
    <w:rsid w:val="002623D6"/>
    <w:rsid w:val="002663E6"/>
    <w:rsid w:val="00301566"/>
    <w:rsid w:val="00305E54"/>
    <w:rsid w:val="003164CA"/>
    <w:rsid w:val="00355876"/>
    <w:rsid w:val="003D447D"/>
    <w:rsid w:val="003D47DD"/>
    <w:rsid w:val="004433E7"/>
    <w:rsid w:val="00474D79"/>
    <w:rsid w:val="004962FB"/>
    <w:rsid w:val="004B5CBB"/>
    <w:rsid w:val="004D7AB0"/>
    <w:rsid w:val="004E11D4"/>
    <w:rsid w:val="004F0942"/>
    <w:rsid w:val="004F1AB0"/>
    <w:rsid w:val="00514462"/>
    <w:rsid w:val="005269B2"/>
    <w:rsid w:val="005520ED"/>
    <w:rsid w:val="005A0D0D"/>
    <w:rsid w:val="00600100"/>
    <w:rsid w:val="00617DDB"/>
    <w:rsid w:val="00685D31"/>
    <w:rsid w:val="00686BA0"/>
    <w:rsid w:val="006912BF"/>
    <w:rsid w:val="006A41D0"/>
    <w:rsid w:val="006B08D5"/>
    <w:rsid w:val="00786988"/>
    <w:rsid w:val="007B145B"/>
    <w:rsid w:val="00804498"/>
    <w:rsid w:val="00817B92"/>
    <w:rsid w:val="0084551F"/>
    <w:rsid w:val="008F0CE4"/>
    <w:rsid w:val="008F517E"/>
    <w:rsid w:val="00914C56"/>
    <w:rsid w:val="00950729"/>
    <w:rsid w:val="009854A9"/>
    <w:rsid w:val="009E033F"/>
    <w:rsid w:val="00AA7F1E"/>
    <w:rsid w:val="00B66A94"/>
    <w:rsid w:val="00BB6328"/>
    <w:rsid w:val="00C21D43"/>
    <w:rsid w:val="00C54526"/>
    <w:rsid w:val="00D4551F"/>
    <w:rsid w:val="00D65199"/>
    <w:rsid w:val="00D8098C"/>
    <w:rsid w:val="00E37476"/>
    <w:rsid w:val="00E8290F"/>
    <w:rsid w:val="00ED48A3"/>
    <w:rsid w:val="00EF4B94"/>
    <w:rsid w:val="00F00987"/>
    <w:rsid w:val="00F369E5"/>
    <w:rsid w:val="00F51E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4C56"/>
    <w:pPr>
      <w:spacing w:after="0" w:line="276" w:lineRule="auto"/>
    </w:pPr>
    <w:rPr>
      <w:rFonts w:ascii="Arial" w:eastAsia="Arial" w:hAnsi="Arial" w:cs="Arial"/>
      <w:lang w:val="en"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4C56"/>
    <w:pPr>
      <w:tabs>
        <w:tab w:val="center" w:pos="4680"/>
        <w:tab w:val="right" w:pos="9360"/>
      </w:tabs>
      <w:spacing w:line="240" w:lineRule="auto"/>
    </w:pPr>
  </w:style>
  <w:style w:type="character" w:customStyle="1" w:styleId="FooterChar">
    <w:name w:val="Footer Char"/>
    <w:basedOn w:val="DefaultParagraphFont"/>
    <w:link w:val="Footer"/>
    <w:uiPriority w:val="99"/>
    <w:rsid w:val="00914C56"/>
    <w:rPr>
      <w:rFonts w:ascii="Arial" w:eastAsia="Arial" w:hAnsi="Arial" w:cs="Arial"/>
      <w:lang w:val="en" w:eastAsia="de-CH"/>
    </w:rPr>
  </w:style>
  <w:style w:type="character" w:styleId="PageNumber">
    <w:name w:val="page number"/>
    <w:basedOn w:val="DefaultParagraphFont"/>
    <w:uiPriority w:val="99"/>
    <w:semiHidden/>
    <w:unhideWhenUsed/>
    <w:rsid w:val="00914C56"/>
  </w:style>
  <w:style w:type="character" w:styleId="LineNumber">
    <w:name w:val="line number"/>
    <w:basedOn w:val="DefaultParagraphFont"/>
    <w:uiPriority w:val="99"/>
    <w:semiHidden/>
    <w:unhideWhenUsed/>
    <w:rsid w:val="00914C56"/>
  </w:style>
  <w:style w:type="character" w:styleId="Hyperlink">
    <w:name w:val="Hyperlink"/>
    <w:basedOn w:val="DefaultParagraphFont"/>
    <w:uiPriority w:val="99"/>
    <w:unhideWhenUsed/>
    <w:rsid w:val="000C1B48"/>
    <w:rPr>
      <w:color w:val="0563C1" w:themeColor="hyperlink"/>
      <w:u w:val="single"/>
    </w:rPr>
  </w:style>
  <w:style w:type="character" w:styleId="UnresolvedMention">
    <w:name w:val="Unresolved Mention"/>
    <w:basedOn w:val="DefaultParagraphFont"/>
    <w:uiPriority w:val="99"/>
    <w:semiHidden/>
    <w:unhideWhenUsed/>
    <w:rsid w:val="000C1B48"/>
    <w:rPr>
      <w:color w:val="605E5C"/>
      <w:shd w:val="clear" w:color="auto" w:fill="E1DFDD"/>
    </w:rPr>
  </w:style>
  <w:style w:type="paragraph" w:styleId="Header">
    <w:name w:val="header"/>
    <w:basedOn w:val="Normal"/>
    <w:link w:val="HeaderChar"/>
    <w:uiPriority w:val="99"/>
    <w:unhideWhenUsed/>
    <w:rsid w:val="002623D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2623D6"/>
    <w:rPr>
      <w:rFonts w:ascii="Arial" w:eastAsia="Arial" w:hAnsi="Arial" w:cs="Arial"/>
      <w:sz w:val="18"/>
      <w:szCs w:val="18"/>
      <w:lang w:val="en"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ature.com/articles/s41588-020-007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3.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6138</Words>
  <Characters>34992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41048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Matthew Attwaters</cp:lastModifiedBy>
  <cp:revision>6</cp:revision>
  <cp:lastPrinted>2021-09-28T07:08:00Z</cp:lastPrinted>
  <dcterms:created xsi:type="dcterms:W3CDTF">2024-04-04T05:28:00Z</dcterms:created>
  <dcterms:modified xsi:type="dcterms:W3CDTF">2024-08-09T10:07:00Z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