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3F2038B4" w14:textId="42113A8E" w:rsidR="00905A6B" w:rsidRPr="00905A6B" w:rsidRDefault="00654E8F" w:rsidP="00905A6B">
      <w:pPr>
        <w:pStyle w:val="Heading1"/>
      </w:pPr>
      <w:r w:rsidRPr="00994A3D">
        <w:t>Supplementary Data</w:t>
      </w:r>
      <w:r w:rsidR="00905A6B" w:rsidRPr="00C9380A">
        <w:rPr>
          <w:noProof/>
        </w:rPr>
        <w:drawing>
          <wp:anchor distT="0" distB="0" distL="114300" distR="114300" simplePos="0" relativeHeight="251659264" behindDoc="1" locked="0" layoutInCell="1" allowOverlap="1" wp14:anchorId="58AC30A5" wp14:editId="60D31191">
            <wp:simplePos x="0" y="0"/>
            <wp:positionH relativeFrom="column">
              <wp:posOffset>390525</wp:posOffset>
            </wp:positionH>
            <wp:positionV relativeFrom="paragraph">
              <wp:posOffset>272415</wp:posOffset>
            </wp:positionV>
            <wp:extent cx="5943600" cy="2910205"/>
            <wp:effectExtent l="0" t="0" r="0" b="4445"/>
            <wp:wrapTight wrapText="bothSides">
              <wp:wrapPolygon edited="0">
                <wp:start x="0" y="0"/>
                <wp:lineTo x="0" y="21492"/>
                <wp:lineTo x="21531" y="21492"/>
                <wp:lineTo x="21531" y="0"/>
                <wp:lineTo x="0" y="0"/>
              </wp:wrapPolygon>
            </wp:wrapTight>
            <wp:docPr id="2" name="Picture 4" descr="A diagram of a graph&#10;&#10;Description automatically generated with medium confidence">
              <a:extLst xmlns:a="http://schemas.openxmlformats.org/drawingml/2006/main">
                <a:ext uri="{FF2B5EF4-FFF2-40B4-BE49-F238E27FC236}">
                  <a16:creationId xmlns:a16="http://schemas.microsoft.com/office/drawing/2014/main" id="{93A2E62D-570B-4D2F-B7FB-BB3BFB826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graph&#10;&#10;Description automatically generated with medium confidence">
                      <a:extLst>
                        <a:ext uri="{FF2B5EF4-FFF2-40B4-BE49-F238E27FC236}">
                          <a16:creationId xmlns:a16="http://schemas.microsoft.com/office/drawing/2014/main" id="{93A2E62D-570B-4D2F-B7FB-BB3BFB826FD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4919"/>
                    <a:stretch/>
                  </pic:blipFill>
                  <pic:spPr>
                    <a:xfrm>
                      <a:off x="0" y="0"/>
                      <a:ext cx="5943600" cy="2910205"/>
                    </a:xfrm>
                    <a:prstGeom prst="rect">
                      <a:avLst/>
                    </a:prstGeom>
                  </pic:spPr>
                </pic:pic>
              </a:graphicData>
            </a:graphic>
            <wp14:sizeRelH relativeFrom="page">
              <wp14:pctWidth>0</wp14:pctWidth>
            </wp14:sizeRelH>
            <wp14:sizeRelV relativeFrom="page">
              <wp14:pctHeight>0</wp14:pctHeight>
            </wp14:sizeRelV>
          </wp:anchor>
        </w:drawing>
      </w:r>
    </w:p>
    <w:p w14:paraId="522C1965" w14:textId="77777777" w:rsidR="00905A6B" w:rsidRPr="009A6CA3" w:rsidRDefault="00905A6B" w:rsidP="00905A6B">
      <w:pPr>
        <w:rPr>
          <w:rFonts w:ascii="Arial" w:hAnsi="Arial" w:cs="Arial"/>
        </w:rPr>
      </w:pPr>
    </w:p>
    <w:p w14:paraId="00D726E4" w14:textId="77777777" w:rsidR="00905A6B" w:rsidRPr="00905A6B" w:rsidRDefault="00905A6B" w:rsidP="00905A6B">
      <w:pPr>
        <w:rPr>
          <w:rFonts w:cs="Times New Roman"/>
        </w:rPr>
      </w:pPr>
    </w:p>
    <w:p w14:paraId="58FB9B38" w14:textId="77777777" w:rsidR="00905A6B" w:rsidRPr="00905A6B" w:rsidRDefault="00905A6B" w:rsidP="00905A6B">
      <w:pPr>
        <w:rPr>
          <w:rFonts w:cs="Times New Roman"/>
        </w:rPr>
      </w:pPr>
    </w:p>
    <w:p w14:paraId="477E9B7F" w14:textId="77777777" w:rsidR="00905A6B" w:rsidRPr="00905A6B" w:rsidRDefault="00905A6B" w:rsidP="00905A6B">
      <w:pPr>
        <w:rPr>
          <w:rFonts w:cs="Times New Roman"/>
        </w:rPr>
      </w:pPr>
    </w:p>
    <w:p w14:paraId="5F202882" w14:textId="77777777" w:rsidR="00905A6B" w:rsidRPr="00905A6B" w:rsidRDefault="00905A6B" w:rsidP="00905A6B">
      <w:pPr>
        <w:rPr>
          <w:rFonts w:cs="Times New Roman"/>
          <w:b/>
          <w:bCs/>
        </w:rPr>
      </w:pPr>
    </w:p>
    <w:p w14:paraId="6FBEE71A" w14:textId="77777777" w:rsidR="00905A6B" w:rsidRPr="00905A6B" w:rsidRDefault="00905A6B" w:rsidP="00905A6B">
      <w:pPr>
        <w:jc w:val="center"/>
        <w:rPr>
          <w:rFonts w:cs="Times New Roman"/>
        </w:rPr>
      </w:pPr>
    </w:p>
    <w:p w14:paraId="09B4D586" w14:textId="77777777" w:rsidR="00905A6B" w:rsidRPr="00905A6B" w:rsidRDefault="00905A6B" w:rsidP="00905A6B">
      <w:pPr>
        <w:jc w:val="center"/>
        <w:rPr>
          <w:rFonts w:cs="Times New Roman"/>
        </w:rPr>
      </w:pPr>
    </w:p>
    <w:p w14:paraId="79701991" w14:textId="77777777" w:rsidR="00905A6B" w:rsidRPr="00905A6B" w:rsidRDefault="00905A6B" w:rsidP="00905A6B">
      <w:pPr>
        <w:rPr>
          <w:rFonts w:cs="Times New Roman"/>
        </w:rPr>
      </w:pPr>
    </w:p>
    <w:p w14:paraId="5C91D01A" w14:textId="77777777" w:rsidR="00905A6B" w:rsidRPr="00905A6B" w:rsidRDefault="00905A6B" w:rsidP="00905A6B">
      <w:pPr>
        <w:jc w:val="both"/>
        <w:rPr>
          <w:rFonts w:cs="Times New Roman"/>
        </w:rPr>
      </w:pPr>
    </w:p>
    <w:p w14:paraId="60E95C2C" w14:textId="77777777" w:rsidR="00905A6B" w:rsidRPr="00905A6B" w:rsidRDefault="00905A6B" w:rsidP="00905A6B">
      <w:pPr>
        <w:jc w:val="both"/>
        <w:rPr>
          <w:rFonts w:cs="Times New Roman"/>
        </w:rPr>
      </w:pPr>
    </w:p>
    <w:p w14:paraId="14ECCA8D" w14:textId="3D9AD625" w:rsidR="00905A6B" w:rsidRPr="00905A6B" w:rsidRDefault="00905A6B" w:rsidP="00905A6B">
      <w:pPr>
        <w:spacing w:after="0"/>
        <w:rPr>
          <w:rFonts w:cs="Times New Roman"/>
          <w:b/>
          <w:bCs/>
          <w:color w:val="000000" w:themeColor="text1"/>
          <w:kern w:val="24"/>
        </w:rPr>
      </w:pPr>
      <w:r w:rsidRPr="00905A6B">
        <w:rPr>
          <w:rFonts w:cs="Times New Roman"/>
          <w:b/>
          <w:bCs/>
          <w:color w:val="000000" w:themeColor="text1"/>
          <w:kern w:val="24"/>
        </w:rPr>
        <w:t xml:space="preserve">Supplemental </w:t>
      </w:r>
      <w:r w:rsidR="00BB0AB0">
        <w:rPr>
          <w:rFonts w:cs="Times New Roman"/>
          <w:b/>
          <w:bCs/>
          <w:color w:val="000000" w:themeColor="text1"/>
          <w:kern w:val="24"/>
        </w:rPr>
        <w:t>Figure</w:t>
      </w:r>
      <w:r w:rsidRPr="00905A6B">
        <w:rPr>
          <w:rFonts w:cs="Times New Roman"/>
          <w:b/>
          <w:bCs/>
          <w:color w:val="000000" w:themeColor="text1"/>
          <w:kern w:val="24"/>
        </w:rPr>
        <w:t xml:space="preserve"> 1. </w:t>
      </w:r>
      <w:r w:rsidRPr="00905A6B">
        <w:rPr>
          <w:rFonts w:cs="Times New Roman"/>
          <w:color w:val="000000" w:themeColor="text1"/>
          <w:kern w:val="24"/>
        </w:rPr>
        <w:t xml:space="preserve">Flow cytometry gating strategy defining cell populations from adipose tissues from </w:t>
      </w:r>
      <w:proofErr w:type="spellStart"/>
      <w:r w:rsidRPr="00905A6B">
        <w:rPr>
          <w:rFonts w:cs="Times New Roman"/>
          <w:color w:val="000000" w:themeColor="text1"/>
          <w:kern w:val="24"/>
        </w:rPr>
        <w:t>Pdgfra</w:t>
      </w:r>
      <w:proofErr w:type="spellEnd"/>
      <w:r w:rsidRPr="00905A6B">
        <w:rPr>
          <w:rFonts w:cs="Times New Roman"/>
          <w:color w:val="000000" w:themeColor="text1"/>
          <w:kern w:val="24"/>
        </w:rPr>
        <w:t>-Cre-LSL-</w:t>
      </w:r>
      <w:proofErr w:type="spellStart"/>
      <w:r w:rsidRPr="00905A6B">
        <w:rPr>
          <w:rFonts w:cs="Times New Roman"/>
          <w:color w:val="000000" w:themeColor="text1"/>
          <w:kern w:val="24"/>
        </w:rPr>
        <w:t>tdTomato</w:t>
      </w:r>
      <w:proofErr w:type="spellEnd"/>
      <w:r w:rsidRPr="00905A6B">
        <w:rPr>
          <w:rFonts w:cs="Times New Roman"/>
          <w:color w:val="000000" w:themeColor="text1"/>
          <w:kern w:val="24"/>
        </w:rPr>
        <w:t xml:space="preserve"> mice. The gating strategy flow: A) Inclusion of cells without debris, and B) singlets events. C) Exclusion of dead cell with fixable viability dye, and D) CD45</w:t>
      </w:r>
      <w:r w:rsidRPr="00905A6B">
        <w:rPr>
          <w:rFonts w:cs="Times New Roman"/>
          <w:color w:val="000000" w:themeColor="text1"/>
          <w:kern w:val="24"/>
          <w:position w:val="8"/>
          <w:vertAlign w:val="superscript"/>
        </w:rPr>
        <w:t>+</w:t>
      </w:r>
      <w:r w:rsidRPr="00905A6B">
        <w:rPr>
          <w:rFonts w:cs="Times New Roman"/>
          <w:color w:val="000000" w:themeColor="text1"/>
          <w:kern w:val="24"/>
        </w:rPr>
        <w:t>, E) CD31</w:t>
      </w:r>
      <w:r w:rsidRPr="00905A6B">
        <w:rPr>
          <w:rFonts w:cs="Times New Roman"/>
          <w:color w:val="000000" w:themeColor="text1"/>
          <w:kern w:val="24"/>
          <w:position w:val="8"/>
          <w:vertAlign w:val="superscript"/>
        </w:rPr>
        <w:t>+</w:t>
      </w:r>
      <w:r w:rsidRPr="00905A6B">
        <w:rPr>
          <w:rFonts w:cs="Times New Roman"/>
          <w:color w:val="000000" w:themeColor="text1"/>
          <w:kern w:val="24"/>
        </w:rPr>
        <w:t xml:space="preserve"> cells. Finally, APC were identified as F) inclusion of </w:t>
      </w:r>
      <w:proofErr w:type="spellStart"/>
      <w:r w:rsidRPr="00905A6B">
        <w:rPr>
          <w:rFonts w:cs="Times New Roman"/>
          <w:color w:val="000000" w:themeColor="text1"/>
          <w:kern w:val="24"/>
        </w:rPr>
        <w:t>tdTomato</w:t>
      </w:r>
      <w:proofErr w:type="spellEnd"/>
      <w:r w:rsidRPr="00905A6B">
        <w:rPr>
          <w:rFonts w:cs="Times New Roman"/>
          <w:color w:val="000000" w:themeColor="text1"/>
          <w:kern w:val="24"/>
          <w:position w:val="8"/>
          <w:vertAlign w:val="superscript"/>
        </w:rPr>
        <w:t>+</w:t>
      </w:r>
      <w:r w:rsidRPr="00905A6B">
        <w:rPr>
          <w:rFonts w:cs="Times New Roman"/>
          <w:color w:val="000000" w:themeColor="text1"/>
          <w:kern w:val="24"/>
        </w:rPr>
        <w:t xml:space="preserve">. </w:t>
      </w:r>
    </w:p>
    <w:p w14:paraId="7D1DB2F9" w14:textId="70D0E461" w:rsidR="00905A6B" w:rsidRPr="00905A6B" w:rsidRDefault="00905A6B" w:rsidP="00905A6B">
      <w:pPr>
        <w:jc w:val="both"/>
        <w:rPr>
          <w:rFonts w:cs="Times New Roman"/>
          <w:noProof/>
        </w:rPr>
      </w:pPr>
    </w:p>
    <w:p w14:paraId="45318138" w14:textId="77777777" w:rsidR="00905A6B" w:rsidRPr="00905A6B" w:rsidRDefault="00905A6B" w:rsidP="00905A6B">
      <w:pPr>
        <w:tabs>
          <w:tab w:val="left" w:pos="8355"/>
        </w:tabs>
        <w:jc w:val="both"/>
        <w:rPr>
          <w:rFonts w:cs="Times New Roman"/>
          <w:noProof/>
        </w:rPr>
      </w:pPr>
    </w:p>
    <w:p w14:paraId="17371B7C" w14:textId="77777777" w:rsidR="00905A6B" w:rsidRPr="00905A6B" w:rsidRDefault="00905A6B" w:rsidP="00905A6B">
      <w:pPr>
        <w:tabs>
          <w:tab w:val="left" w:pos="8355"/>
        </w:tabs>
        <w:jc w:val="both"/>
        <w:rPr>
          <w:rFonts w:cs="Times New Roman"/>
          <w:noProof/>
        </w:rPr>
      </w:pPr>
    </w:p>
    <w:p w14:paraId="38262B3B" w14:textId="77777777" w:rsidR="00905A6B" w:rsidRPr="00905A6B" w:rsidRDefault="00905A6B" w:rsidP="00905A6B">
      <w:pPr>
        <w:tabs>
          <w:tab w:val="left" w:pos="8355"/>
        </w:tabs>
        <w:jc w:val="both"/>
        <w:rPr>
          <w:rFonts w:cs="Times New Roman"/>
          <w:noProof/>
        </w:rPr>
      </w:pPr>
    </w:p>
    <w:p w14:paraId="2B553F57" w14:textId="77777777" w:rsidR="00905A6B" w:rsidRPr="00905A6B" w:rsidRDefault="00905A6B" w:rsidP="00905A6B">
      <w:pPr>
        <w:tabs>
          <w:tab w:val="left" w:pos="8355"/>
        </w:tabs>
        <w:jc w:val="both"/>
        <w:rPr>
          <w:rFonts w:cs="Times New Roman"/>
          <w:noProof/>
        </w:rPr>
      </w:pPr>
    </w:p>
    <w:p w14:paraId="006BBC55" w14:textId="77777777" w:rsidR="00905A6B" w:rsidRPr="00905A6B" w:rsidRDefault="00905A6B" w:rsidP="00905A6B">
      <w:pPr>
        <w:tabs>
          <w:tab w:val="left" w:pos="8355"/>
        </w:tabs>
        <w:jc w:val="both"/>
        <w:rPr>
          <w:rFonts w:cs="Times New Roman"/>
          <w:noProof/>
        </w:rPr>
      </w:pPr>
    </w:p>
    <w:p w14:paraId="4024C68C" w14:textId="77777777" w:rsidR="00905A6B" w:rsidRPr="00905A6B" w:rsidRDefault="00905A6B" w:rsidP="00905A6B">
      <w:pPr>
        <w:tabs>
          <w:tab w:val="left" w:pos="8355"/>
        </w:tabs>
        <w:jc w:val="both"/>
        <w:rPr>
          <w:rFonts w:cs="Times New Roman"/>
          <w:noProof/>
        </w:rPr>
      </w:pPr>
      <w:r w:rsidRPr="00905A6B">
        <w:rPr>
          <w:rFonts w:cs="Times New Roman"/>
          <w:noProof/>
        </w:rPr>
        <w:tab/>
      </w:r>
    </w:p>
    <w:p w14:paraId="5DE1AF24" w14:textId="77777777" w:rsidR="00905A6B" w:rsidRPr="00905A6B" w:rsidRDefault="00905A6B" w:rsidP="00905A6B">
      <w:pPr>
        <w:tabs>
          <w:tab w:val="left" w:pos="8355"/>
        </w:tabs>
        <w:jc w:val="both"/>
        <w:rPr>
          <w:rFonts w:cs="Times New Roman"/>
          <w:noProof/>
        </w:rPr>
      </w:pPr>
    </w:p>
    <w:p w14:paraId="3608EBEB" w14:textId="77777777" w:rsidR="00905A6B" w:rsidRPr="00905A6B" w:rsidRDefault="00905A6B" w:rsidP="00905A6B">
      <w:pPr>
        <w:jc w:val="both"/>
        <w:rPr>
          <w:rFonts w:cs="Times New Roman"/>
        </w:rPr>
      </w:pPr>
      <w:r w:rsidRPr="00905A6B">
        <w:rPr>
          <w:rFonts w:cs="Times New Roman"/>
          <w:noProof/>
        </w:rPr>
        <w:lastRenderedPageBreak/>
        <w:drawing>
          <wp:anchor distT="0" distB="0" distL="114300" distR="114300" simplePos="0" relativeHeight="251663360" behindDoc="0" locked="0" layoutInCell="1" allowOverlap="1" wp14:anchorId="71F233D0" wp14:editId="73BAA8DF">
            <wp:simplePos x="0" y="0"/>
            <wp:positionH relativeFrom="margin">
              <wp:posOffset>-61595</wp:posOffset>
            </wp:positionH>
            <wp:positionV relativeFrom="paragraph">
              <wp:posOffset>210185</wp:posOffset>
            </wp:positionV>
            <wp:extent cx="6858000" cy="2308860"/>
            <wp:effectExtent l="0" t="0" r="0" b="0"/>
            <wp:wrapSquare wrapText="bothSides"/>
            <wp:docPr id="20" name="Picture 20" descr="A black background with white text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white text and blue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2308860"/>
                    </a:xfrm>
                    <a:prstGeom prst="rect">
                      <a:avLst/>
                    </a:prstGeom>
                  </pic:spPr>
                </pic:pic>
              </a:graphicData>
            </a:graphic>
          </wp:anchor>
        </w:drawing>
      </w:r>
    </w:p>
    <w:p w14:paraId="6F421275" w14:textId="56F8BB09" w:rsidR="00905A6B" w:rsidRPr="00905A6B" w:rsidRDefault="00905A6B" w:rsidP="00905A6B">
      <w:pPr>
        <w:rPr>
          <w:rFonts w:cs="Times New Roman"/>
          <w:color w:val="000000" w:themeColor="text1"/>
          <w:kern w:val="24"/>
        </w:rPr>
      </w:pPr>
      <w:r w:rsidRPr="00905A6B">
        <w:rPr>
          <w:rFonts w:cs="Times New Roman"/>
          <w:b/>
          <w:bCs/>
          <w:color w:val="000000" w:themeColor="text1"/>
          <w:kern w:val="24"/>
        </w:rPr>
        <w:t xml:space="preserve">Supplemental </w:t>
      </w:r>
      <w:r w:rsidR="00BB0AB0">
        <w:rPr>
          <w:rFonts w:cs="Times New Roman"/>
          <w:b/>
          <w:bCs/>
          <w:color w:val="000000" w:themeColor="text1"/>
          <w:kern w:val="24"/>
        </w:rPr>
        <w:t>Figure</w:t>
      </w:r>
      <w:r w:rsidRPr="00905A6B">
        <w:rPr>
          <w:rFonts w:cs="Times New Roman"/>
          <w:b/>
          <w:bCs/>
          <w:color w:val="000000" w:themeColor="text1"/>
          <w:kern w:val="24"/>
        </w:rPr>
        <w:t xml:space="preserve"> 2. </w:t>
      </w:r>
      <w:r w:rsidRPr="00905A6B">
        <w:rPr>
          <w:rFonts w:cs="Times New Roman"/>
          <w:kern w:val="24"/>
        </w:rPr>
        <w:t>Representative images of immunofluorescence negative primary antibody controls in A) thoracic (ATPVAT), B) abdominal (ABPVAT), and C) mesenteric (MESPVAT) sections. A cocktail of secondary antibodies was only included with nuclear stain DAPI blue. (A= aorta/arteries,</w:t>
      </w:r>
      <w:r w:rsidRPr="00905A6B">
        <w:rPr>
          <w:rFonts w:cs="Times New Roman"/>
          <w:color w:val="000000" w:themeColor="text1"/>
          <w:kern w:val="24"/>
        </w:rPr>
        <w:t xml:space="preserve"> P= PVAT). Scale bar: 200µm</w:t>
      </w:r>
      <w:r w:rsidR="009D182A">
        <w:rPr>
          <w:rFonts w:cs="Times New Roman"/>
          <w:color w:val="000000" w:themeColor="text1"/>
          <w:kern w:val="24"/>
        </w:rPr>
        <w:t>.</w:t>
      </w:r>
    </w:p>
    <w:p w14:paraId="0F4F692C" w14:textId="54CB0C09" w:rsidR="00905A6B" w:rsidRDefault="00905A6B" w:rsidP="00905A6B">
      <w:pPr>
        <w:jc w:val="both"/>
        <w:rPr>
          <w:rFonts w:ascii="Arial" w:hAnsi="Arial" w:cs="Arial"/>
        </w:rPr>
      </w:pPr>
    </w:p>
    <w:p w14:paraId="74826571" w14:textId="77777777" w:rsidR="00905A6B" w:rsidRDefault="00905A6B" w:rsidP="00905A6B">
      <w:pPr>
        <w:jc w:val="both"/>
        <w:rPr>
          <w:rFonts w:ascii="Arial" w:hAnsi="Arial" w:cs="Arial"/>
        </w:rPr>
      </w:pPr>
    </w:p>
    <w:p w14:paraId="497AA38D" w14:textId="77777777" w:rsidR="00905A6B" w:rsidRDefault="00905A6B" w:rsidP="00905A6B">
      <w:pPr>
        <w:jc w:val="both"/>
        <w:rPr>
          <w:rFonts w:ascii="Arial" w:hAnsi="Arial" w:cs="Arial"/>
        </w:rPr>
      </w:pPr>
    </w:p>
    <w:p w14:paraId="00E129AD" w14:textId="77777777" w:rsidR="00905A6B" w:rsidRDefault="00905A6B" w:rsidP="00905A6B">
      <w:pPr>
        <w:jc w:val="both"/>
        <w:rPr>
          <w:rFonts w:ascii="Arial" w:hAnsi="Arial" w:cs="Arial"/>
        </w:rPr>
      </w:pPr>
    </w:p>
    <w:p w14:paraId="59086FF8" w14:textId="77777777" w:rsidR="00905A6B" w:rsidRDefault="00905A6B" w:rsidP="00905A6B">
      <w:pPr>
        <w:jc w:val="both"/>
        <w:rPr>
          <w:rFonts w:ascii="Arial" w:hAnsi="Arial" w:cs="Arial"/>
        </w:rPr>
      </w:pPr>
    </w:p>
    <w:p w14:paraId="33BC57AF" w14:textId="77777777" w:rsidR="00905A6B" w:rsidRDefault="00905A6B" w:rsidP="00905A6B">
      <w:pPr>
        <w:jc w:val="both"/>
        <w:rPr>
          <w:rFonts w:ascii="Arial" w:hAnsi="Arial" w:cs="Arial"/>
        </w:rPr>
      </w:pPr>
    </w:p>
    <w:p w14:paraId="5B7CAAAA" w14:textId="29EB8D77" w:rsidR="00905A6B" w:rsidRPr="009A6CA3" w:rsidRDefault="00905A6B" w:rsidP="00905A6B">
      <w:pPr>
        <w:jc w:val="both"/>
        <w:rPr>
          <w:rFonts w:ascii="Arial" w:hAnsi="Arial" w:cs="Arial"/>
        </w:rPr>
      </w:pPr>
      <w:r>
        <w:rPr>
          <w:rFonts w:ascii="Arial" w:hAnsi="Arial" w:cs="Arial"/>
          <w:noProof/>
        </w:rPr>
        <w:lastRenderedPageBreak/>
        <w:drawing>
          <wp:inline distT="0" distB="0" distL="0" distR="0" wp14:anchorId="16E60C62" wp14:editId="4C9EE73F">
            <wp:extent cx="6400800" cy="3736848"/>
            <wp:effectExtent l="0" t="0" r="0" b="0"/>
            <wp:docPr id="21" name="Picture 21"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images of different colo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736848"/>
                    </a:xfrm>
                    <a:prstGeom prst="rect">
                      <a:avLst/>
                    </a:prstGeom>
                  </pic:spPr>
                </pic:pic>
              </a:graphicData>
            </a:graphic>
          </wp:inline>
        </w:drawing>
      </w:r>
    </w:p>
    <w:p w14:paraId="31E1439C" w14:textId="2FB7DEB5" w:rsidR="00905A6B" w:rsidRPr="00905A6B" w:rsidRDefault="00905A6B" w:rsidP="00905A6B">
      <w:pPr>
        <w:rPr>
          <w:rFonts w:eastAsia="Arial" w:cs="Times New Roman"/>
          <w:color w:val="000000" w:themeColor="text1"/>
          <w:kern w:val="24"/>
        </w:rPr>
      </w:pPr>
      <w:r w:rsidRPr="00905A6B">
        <w:rPr>
          <w:rFonts w:cs="Times New Roman"/>
          <w:b/>
          <w:bCs/>
          <w:color w:val="000000" w:themeColor="text1"/>
          <w:kern w:val="24"/>
          <w:szCs w:val="24"/>
        </w:rPr>
        <w:t xml:space="preserve">Supplemental </w:t>
      </w:r>
      <w:r w:rsidR="00BB0AB0">
        <w:rPr>
          <w:rFonts w:cs="Times New Roman"/>
          <w:b/>
          <w:bCs/>
          <w:color w:val="000000" w:themeColor="text1"/>
          <w:kern w:val="24"/>
          <w:szCs w:val="24"/>
        </w:rPr>
        <w:t>Figure</w:t>
      </w:r>
      <w:r w:rsidRPr="00905A6B">
        <w:rPr>
          <w:rFonts w:cs="Times New Roman"/>
          <w:b/>
          <w:bCs/>
          <w:color w:val="000000" w:themeColor="text1"/>
          <w:kern w:val="24"/>
          <w:szCs w:val="24"/>
        </w:rPr>
        <w:t xml:space="preserve"> 3. </w:t>
      </w:r>
      <w:r w:rsidRPr="00905A6B">
        <w:rPr>
          <w:rFonts w:eastAsia="Arial" w:cs="Times New Roman"/>
          <w:color w:val="000000" w:themeColor="text1"/>
          <w:kern w:val="24"/>
        </w:rPr>
        <w:t xml:space="preserve">4-plex immunohistochemistry of BMPER in the yellow arrow, while </w:t>
      </w:r>
      <w:proofErr w:type="spellStart"/>
      <w:r w:rsidRPr="00905A6B">
        <w:rPr>
          <w:rFonts w:eastAsia="Arial" w:cs="Times New Roman"/>
          <w:color w:val="000000" w:themeColor="text1"/>
          <w:kern w:val="24"/>
        </w:rPr>
        <w:t>PPARγ</w:t>
      </w:r>
      <w:proofErr w:type="spellEnd"/>
      <w:r w:rsidRPr="00905A6B">
        <w:rPr>
          <w:rFonts w:eastAsia="Arial" w:cs="Times New Roman"/>
          <w:color w:val="000000" w:themeColor="text1"/>
          <w:kern w:val="24"/>
        </w:rPr>
        <w:t xml:space="preserve"> in green arrows of A) thoracic PVAT (ATPVAT), B) abdominal PVAT (ABPVAT), and C) mesenteric arteries (MESPVAT). Signals of PI16 in red arrows, while GDF10 in cyan are depicted for D) ATPVAT, E) ABPVAT, and F MESPVAT. (P: PVAT, A: Adventitia). Scale bar: 200</w:t>
      </w:r>
      <w:r w:rsidRPr="00905A6B">
        <w:rPr>
          <w:rFonts w:cs="Times New Roman"/>
          <w:color w:val="000000" w:themeColor="text1"/>
          <w:kern w:val="24"/>
        </w:rPr>
        <w:t>µ</w:t>
      </w:r>
      <w:r w:rsidRPr="00905A6B">
        <w:rPr>
          <w:rFonts w:eastAsia="Arial" w:cs="Times New Roman"/>
          <w:color w:val="000000" w:themeColor="text1"/>
          <w:kern w:val="24"/>
        </w:rPr>
        <w:t>m.</w:t>
      </w:r>
    </w:p>
    <w:p w14:paraId="4916FCC9" w14:textId="77777777" w:rsidR="00994A3D" w:rsidRPr="001549D3" w:rsidRDefault="00994A3D" w:rsidP="00994A3D">
      <w:pPr>
        <w:keepNext/>
        <w:rPr>
          <w:rFonts w:cs="Times New Roman"/>
          <w:szCs w:val="24"/>
        </w:rPr>
      </w:pPr>
    </w:p>
    <w:p w14:paraId="11EC8DA1" w14:textId="1F2C3298" w:rsidR="00994A3D" w:rsidRPr="001549D3" w:rsidRDefault="00994A3D" w:rsidP="00994A3D">
      <w:pPr>
        <w:keepNext/>
        <w:jc w:val="center"/>
        <w:rPr>
          <w:rFonts w:cs="Times New Roman"/>
          <w:szCs w:val="24"/>
        </w:rPr>
      </w:pPr>
    </w:p>
    <w:p w14:paraId="58F1AED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34650" w14:textId="77777777" w:rsidR="00BE3F54" w:rsidRDefault="00BE3F54" w:rsidP="00117666">
      <w:pPr>
        <w:spacing w:after="0"/>
      </w:pPr>
      <w:r>
        <w:separator/>
      </w:r>
    </w:p>
  </w:endnote>
  <w:endnote w:type="continuationSeparator" w:id="0">
    <w:p w14:paraId="099329B0" w14:textId="77777777" w:rsidR="00BE3F54" w:rsidRDefault="00BE3F5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841F0" w14:textId="77777777" w:rsidR="00BE3F54" w:rsidRDefault="00BE3F54" w:rsidP="00117666">
      <w:pPr>
        <w:spacing w:after="0"/>
      </w:pPr>
      <w:r>
        <w:separator/>
      </w:r>
    </w:p>
  </w:footnote>
  <w:footnote w:type="continuationSeparator" w:id="0">
    <w:p w14:paraId="445A0C32" w14:textId="77777777" w:rsidR="00BE3F54" w:rsidRDefault="00BE3F5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3575220">
    <w:abstractNumId w:val="0"/>
  </w:num>
  <w:num w:numId="2" w16cid:durableId="1827235007">
    <w:abstractNumId w:val="4"/>
  </w:num>
  <w:num w:numId="3" w16cid:durableId="1874342409">
    <w:abstractNumId w:val="1"/>
  </w:num>
  <w:num w:numId="4" w16cid:durableId="83041099">
    <w:abstractNumId w:val="5"/>
  </w:num>
  <w:num w:numId="5" w16cid:durableId="2109082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4100845">
    <w:abstractNumId w:val="3"/>
  </w:num>
  <w:num w:numId="7" w16cid:durableId="1679186662">
    <w:abstractNumId w:val="6"/>
  </w:num>
  <w:num w:numId="8" w16cid:durableId="925966881">
    <w:abstractNumId w:val="6"/>
  </w:num>
  <w:num w:numId="9" w16cid:durableId="1100643811">
    <w:abstractNumId w:val="6"/>
  </w:num>
  <w:num w:numId="10" w16cid:durableId="1331327682">
    <w:abstractNumId w:val="6"/>
  </w:num>
  <w:num w:numId="11" w16cid:durableId="1142039126">
    <w:abstractNumId w:val="6"/>
  </w:num>
  <w:num w:numId="12" w16cid:durableId="1488279577">
    <w:abstractNumId w:val="6"/>
  </w:num>
  <w:num w:numId="13" w16cid:durableId="2104185163">
    <w:abstractNumId w:val="3"/>
  </w:num>
  <w:num w:numId="14" w16cid:durableId="1427380514">
    <w:abstractNumId w:val="2"/>
  </w:num>
  <w:num w:numId="15" w16cid:durableId="2017807826">
    <w:abstractNumId w:val="2"/>
  </w:num>
  <w:num w:numId="16" w16cid:durableId="80566314">
    <w:abstractNumId w:val="2"/>
  </w:num>
  <w:num w:numId="17" w16cid:durableId="737821110">
    <w:abstractNumId w:val="2"/>
  </w:num>
  <w:num w:numId="18" w16cid:durableId="1009135310">
    <w:abstractNumId w:val="2"/>
  </w:num>
  <w:num w:numId="19" w16cid:durableId="161505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xN7UwNja3MDUzNzBX0lEKTi0uzszPAykwrAUAbr2FTiwAAAA="/>
  </w:docVars>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31994"/>
    <w:rsid w:val="00577B20"/>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05A6B"/>
    <w:rsid w:val="009151AA"/>
    <w:rsid w:val="0093429D"/>
    <w:rsid w:val="00943573"/>
    <w:rsid w:val="00970F7D"/>
    <w:rsid w:val="00994A3D"/>
    <w:rsid w:val="009C2B12"/>
    <w:rsid w:val="009C70F3"/>
    <w:rsid w:val="009D182A"/>
    <w:rsid w:val="00A174D9"/>
    <w:rsid w:val="00A569CD"/>
    <w:rsid w:val="00AB5EE2"/>
    <w:rsid w:val="00AB6715"/>
    <w:rsid w:val="00B1671E"/>
    <w:rsid w:val="00B25EB8"/>
    <w:rsid w:val="00B354E1"/>
    <w:rsid w:val="00B37F4D"/>
    <w:rsid w:val="00BB0AB0"/>
    <w:rsid w:val="00BE3F54"/>
    <w:rsid w:val="00C52A7B"/>
    <w:rsid w:val="00C56BAF"/>
    <w:rsid w:val="00C679AA"/>
    <w:rsid w:val="00C75972"/>
    <w:rsid w:val="00CC0A3A"/>
    <w:rsid w:val="00CD066B"/>
    <w:rsid w:val="00CE4FEE"/>
    <w:rsid w:val="00D12BEF"/>
    <w:rsid w:val="00DB59C3"/>
    <w:rsid w:val="00DC259A"/>
    <w:rsid w:val="00DE23E8"/>
    <w:rsid w:val="00E32B6C"/>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3</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Elisabetta Zancan</cp:lastModifiedBy>
  <cp:revision>2</cp:revision>
  <cp:lastPrinted>2013-10-03T12:51:00Z</cp:lastPrinted>
  <dcterms:created xsi:type="dcterms:W3CDTF">2024-06-20T09:12:00Z</dcterms:created>
  <dcterms:modified xsi:type="dcterms:W3CDTF">2024-06-20T09:12:00Z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6a601c60051aeea0434cdec6d4fb71a6de868198e435226ba9afc71e38b4f8f4</vt:lpwstr>
  </property>
</Properties>
</file>