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8902" w14:textId="77777777" w:rsidR="008D49E7" w:rsidRPr="008D49E7" w:rsidRDefault="008D49E7" w:rsidP="008D49E7">
      <w:pPr>
        <w:jc w:val="center"/>
        <w:rPr>
          <w:b/>
          <w:bCs/>
          <w:sz w:val="24"/>
        </w:rPr>
      </w:pPr>
      <w:bookmarkStart w:id="0" w:name="_Hlk170143313"/>
      <w:r w:rsidRPr="008D49E7">
        <w:rPr>
          <w:b/>
          <w:bCs/>
          <w:sz w:val="24"/>
        </w:rPr>
        <w:t xml:space="preserve">Exploring </w:t>
      </w:r>
      <w:r w:rsidRPr="008D49E7">
        <w:rPr>
          <w:rFonts w:hint="eastAsia"/>
          <w:b/>
          <w:bCs/>
          <w:sz w:val="24"/>
        </w:rPr>
        <w:t>N</w:t>
      </w:r>
      <w:r w:rsidRPr="008D49E7">
        <w:rPr>
          <w:b/>
          <w:bCs/>
          <w:sz w:val="24"/>
        </w:rPr>
        <w:t xml:space="preserve">oninvasive </w:t>
      </w:r>
      <w:r w:rsidRPr="008D49E7">
        <w:rPr>
          <w:rFonts w:hint="eastAsia"/>
          <w:b/>
          <w:bCs/>
          <w:sz w:val="24"/>
        </w:rPr>
        <w:t>M</w:t>
      </w:r>
      <w:r w:rsidRPr="008D49E7">
        <w:rPr>
          <w:b/>
          <w:bCs/>
          <w:sz w:val="24"/>
        </w:rPr>
        <w:t xml:space="preserve">atrices for </w:t>
      </w:r>
      <w:r w:rsidRPr="008D49E7">
        <w:rPr>
          <w:rFonts w:hint="eastAsia"/>
          <w:b/>
          <w:bCs/>
          <w:sz w:val="24"/>
        </w:rPr>
        <w:t>A</w:t>
      </w:r>
      <w:r w:rsidRPr="008D49E7">
        <w:rPr>
          <w:b/>
          <w:bCs/>
          <w:sz w:val="24"/>
        </w:rPr>
        <w:t xml:space="preserve">ssessing </w:t>
      </w:r>
      <w:r w:rsidRPr="008D49E7">
        <w:rPr>
          <w:rFonts w:hint="eastAsia"/>
          <w:b/>
          <w:bCs/>
          <w:sz w:val="24"/>
        </w:rPr>
        <w:t>L</w:t>
      </w:r>
      <w:r w:rsidRPr="008D49E7">
        <w:rPr>
          <w:b/>
          <w:bCs/>
          <w:sz w:val="24"/>
        </w:rPr>
        <w:t xml:space="preserve">ong-term </w:t>
      </w:r>
      <w:r w:rsidRPr="008D49E7">
        <w:rPr>
          <w:rFonts w:hint="eastAsia"/>
          <w:b/>
          <w:bCs/>
          <w:sz w:val="24"/>
        </w:rPr>
        <w:t>E</w:t>
      </w:r>
      <w:r w:rsidRPr="008D49E7">
        <w:rPr>
          <w:b/>
          <w:bCs/>
          <w:sz w:val="24"/>
        </w:rPr>
        <w:t xml:space="preserve">xposure to </w:t>
      </w:r>
      <w:r w:rsidRPr="008D49E7">
        <w:rPr>
          <w:rFonts w:hint="eastAsia"/>
          <w:b/>
          <w:bCs/>
          <w:sz w:val="24"/>
        </w:rPr>
        <w:t>P</w:t>
      </w:r>
      <w:r w:rsidRPr="008D49E7">
        <w:rPr>
          <w:b/>
          <w:bCs/>
          <w:sz w:val="24"/>
        </w:rPr>
        <w:t xml:space="preserve">hthalates: A </w:t>
      </w:r>
      <w:r w:rsidRPr="008D49E7">
        <w:rPr>
          <w:rFonts w:hint="eastAsia"/>
          <w:b/>
          <w:bCs/>
          <w:sz w:val="24"/>
        </w:rPr>
        <w:t>S</w:t>
      </w:r>
      <w:r w:rsidRPr="008D49E7">
        <w:rPr>
          <w:b/>
          <w:bCs/>
          <w:sz w:val="24"/>
        </w:rPr>
        <w:t xml:space="preserve">coping </w:t>
      </w:r>
      <w:r w:rsidRPr="008D49E7">
        <w:rPr>
          <w:rFonts w:hint="eastAsia"/>
          <w:b/>
          <w:bCs/>
          <w:sz w:val="24"/>
        </w:rPr>
        <w:t>R</w:t>
      </w:r>
      <w:r w:rsidRPr="008D49E7">
        <w:rPr>
          <w:b/>
          <w:bCs/>
          <w:sz w:val="24"/>
        </w:rPr>
        <w:t>eview</w:t>
      </w:r>
    </w:p>
    <w:bookmarkEnd w:id="0"/>
    <w:p w14:paraId="3A3F01AC" w14:textId="77777777" w:rsidR="008D49E7" w:rsidRPr="00452661" w:rsidRDefault="008D49E7" w:rsidP="008D49E7">
      <w:pPr>
        <w:jc w:val="center"/>
        <w:rPr>
          <w:sz w:val="24"/>
        </w:rPr>
      </w:pPr>
      <w:r w:rsidRPr="00452661">
        <w:rPr>
          <w:rFonts w:hint="eastAsia"/>
          <w:sz w:val="24"/>
        </w:rPr>
        <w:t xml:space="preserve">Li-wen Chen </w:t>
      </w:r>
      <w:r w:rsidRPr="00452661">
        <w:rPr>
          <w:rFonts w:hint="eastAsia"/>
          <w:sz w:val="24"/>
          <w:vertAlign w:val="superscript"/>
        </w:rPr>
        <w:t>1,#</w:t>
      </w:r>
      <w:r w:rsidRPr="00452661">
        <w:rPr>
          <w:rFonts w:hint="eastAsia"/>
          <w:sz w:val="24"/>
        </w:rPr>
        <w:t xml:space="preserve">, Xin Chen </w:t>
      </w:r>
      <w:r w:rsidRPr="00452661">
        <w:rPr>
          <w:rFonts w:hint="eastAsia"/>
          <w:sz w:val="24"/>
          <w:vertAlign w:val="superscript"/>
        </w:rPr>
        <w:t>1,#</w:t>
      </w:r>
      <w:r w:rsidRPr="00452661">
        <w:rPr>
          <w:rFonts w:hint="eastAsia"/>
          <w:sz w:val="24"/>
        </w:rPr>
        <w:t xml:space="preserve">, Hua-yan Mo </w:t>
      </w:r>
      <w:r w:rsidRPr="00452661">
        <w:rPr>
          <w:rFonts w:hint="eastAsia"/>
          <w:sz w:val="24"/>
          <w:vertAlign w:val="superscript"/>
        </w:rPr>
        <w:t>1</w:t>
      </w:r>
      <w:r w:rsidRPr="00452661">
        <w:rPr>
          <w:rFonts w:hint="eastAsia"/>
          <w:sz w:val="24"/>
        </w:rPr>
        <w:t xml:space="preserve">, Chun-han Shan </w:t>
      </w:r>
      <w:r w:rsidRPr="00452661">
        <w:rPr>
          <w:rFonts w:hint="eastAsia"/>
          <w:sz w:val="24"/>
          <w:vertAlign w:val="superscript"/>
        </w:rPr>
        <w:t>1</w:t>
      </w:r>
      <w:r w:rsidRPr="00452661">
        <w:rPr>
          <w:rFonts w:hint="eastAsia"/>
          <w:sz w:val="24"/>
        </w:rPr>
        <w:t xml:space="preserve">, </w:t>
      </w:r>
      <w:r w:rsidRPr="00452661">
        <w:rPr>
          <w:sz w:val="24"/>
        </w:rPr>
        <w:t>R</w:t>
      </w:r>
      <w:r w:rsidRPr="00452661">
        <w:rPr>
          <w:rFonts w:hint="eastAsia"/>
          <w:sz w:val="24"/>
        </w:rPr>
        <w:t>uo-ping</w:t>
      </w:r>
      <w:r w:rsidRPr="00452661">
        <w:rPr>
          <w:sz w:val="24"/>
        </w:rPr>
        <w:t xml:space="preserve"> Z</w:t>
      </w:r>
      <w:r w:rsidRPr="00452661">
        <w:rPr>
          <w:rFonts w:hint="eastAsia"/>
          <w:sz w:val="24"/>
        </w:rPr>
        <w:t>hu</w:t>
      </w:r>
      <w:r w:rsidRPr="00452661">
        <w:rPr>
          <w:sz w:val="24"/>
          <w:vertAlign w:val="superscript"/>
        </w:rPr>
        <w:t>2,*</w:t>
      </w:r>
      <w:r w:rsidRPr="00452661">
        <w:rPr>
          <w:rFonts w:hint="eastAsia"/>
          <w:sz w:val="24"/>
        </w:rPr>
        <w:t>,</w:t>
      </w:r>
      <w:r w:rsidRPr="00452661">
        <w:rPr>
          <w:sz w:val="24"/>
        </w:rPr>
        <w:t xml:space="preserve"> </w:t>
      </w:r>
      <w:r w:rsidRPr="00452661">
        <w:rPr>
          <w:rFonts w:hint="eastAsia"/>
          <w:sz w:val="24"/>
        </w:rPr>
        <w:t xml:space="preserve">Hui Gao </w:t>
      </w:r>
      <w:r w:rsidRPr="00452661">
        <w:rPr>
          <w:rFonts w:hint="eastAsia"/>
          <w:sz w:val="24"/>
          <w:vertAlign w:val="superscript"/>
        </w:rPr>
        <w:t>1,*</w:t>
      </w:r>
      <w:r w:rsidRPr="00452661">
        <w:rPr>
          <w:rFonts w:hint="eastAsia"/>
          <w:sz w:val="24"/>
        </w:rPr>
        <w:t xml:space="preserve">, Fang-biao Tao </w:t>
      </w:r>
      <w:r w:rsidRPr="00452661">
        <w:rPr>
          <w:rFonts w:hint="eastAsia"/>
          <w:sz w:val="24"/>
          <w:vertAlign w:val="superscript"/>
        </w:rPr>
        <w:t>3</w:t>
      </w:r>
    </w:p>
    <w:p w14:paraId="1E2FE559" w14:textId="77777777" w:rsidR="008D49E7" w:rsidRPr="00CC4496" w:rsidRDefault="008D49E7" w:rsidP="008D49E7">
      <w:pPr>
        <w:rPr>
          <w:szCs w:val="21"/>
        </w:rPr>
      </w:pPr>
      <w:r w:rsidRPr="00CC4496">
        <w:rPr>
          <w:szCs w:val="21"/>
          <w:vertAlign w:val="superscript"/>
        </w:rPr>
        <w:t>1</w:t>
      </w:r>
      <w:r w:rsidRPr="00CC4496">
        <w:rPr>
          <w:szCs w:val="21"/>
        </w:rPr>
        <w:t xml:space="preserve"> Department of Pediatrics, the First Affiliated Hospital of Anhui Medical University, No.218 </w:t>
      </w:r>
      <w:r w:rsidRPr="00CC4496">
        <w:rPr>
          <w:i/>
          <w:szCs w:val="21"/>
        </w:rPr>
        <w:t xml:space="preserve">Jixi </w:t>
      </w:r>
      <w:r w:rsidRPr="00CC4496">
        <w:rPr>
          <w:szCs w:val="21"/>
        </w:rPr>
        <w:t>Road, Hefei 230022, Anhui, China</w:t>
      </w:r>
    </w:p>
    <w:p w14:paraId="2E7E5436" w14:textId="77777777" w:rsidR="008D49E7" w:rsidRPr="00CC4496" w:rsidRDefault="008D49E7" w:rsidP="008D49E7">
      <w:pPr>
        <w:rPr>
          <w:szCs w:val="21"/>
        </w:rPr>
      </w:pPr>
      <w:r w:rsidRPr="00CC4496">
        <w:rPr>
          <w:rFonts w:hint="eastAsia"/>
          <w:szCs w:val="21"/>
          <w:vertAlign w:val="superscript"/>
        </w:rPr>
        <w:t>2</w:t>
      </w:r>
      <w:r w:rsidRPr="00CC4496">
        <w:rPr>
          <w:szCs w:val="21"/>
          <w:vertAlign w:val="superscript"/>
        </w:rPr>
        <w:t xml:space="preserve"> </w:t>
      </w:r>
      <w:r w:rsidRPr="00CC4496">
        <w:rPr>
          <w:szCs w:val="21"/>
        </w:rPr>
        <w:t>Child Healthcare Department, Anhui Hospital Affiliated to Children’s Hospital of Fudan University/Anhui Provincial Children’s Hospital, Hefei</w:t>
      </w:r>
      <w:r>
        <w:rPr>
          <w:rFonts w:hint="eastAsia"/>
          <w:szCs w:val="21"/>
        </w:rPr>
        <w:t xml:space="preserve">, </w:t>
      </w:r>
      <w:r w:rsidRPr="00CC4496">
        <w:rPr>
          <w:szCs w:val="21"/>
        </w:rPr>
        <w:t>230022, Anhui Province, P.R. China</w:t>
      </w:r>
    </w:p>
    <w:p w14:paraId="3F715D08" w14:textId="77777777" w:rsidR="008D49E7" w:rsidRPr="00CC4496" w:rsidRDefault="008D49E7" w:rsidP="008D49E7">
      <w:pPr>
        <w:rPr>
          <w:szCs w:val="21"/>
        </w:rPr>
      </w:pPr>
      <w:r w:rsidRPr="00CC4496">
        <w:rPr>
          <w:rFonts w:hint="eastAsia"/>
          <w:szCs w:val="21"/>
          <w:vertAlign w:val="superscript"/>
        </w:rPr>
        <w:t>3</w:t>
      </w:r>
      <w:r w:rsidRPr="00CC4496">
        <w:rPr>
          <w:rFonts w:hint="eastAsia"/>
          <w:szCs w:val="21"/>
        </w:rPr>
        <w:t xml:space="preserve"> Key Laboratory of Population Health Across Life Cycle (Anhui Medical University)</w:t>
      </w:r>
      <w:r w:rsidRPr="00CC4496">
        <w:rPr>
          <w:rFonts w:hint="eastAsia"/>
          <w:szCs w:val="21"/>
        </w:rPr>
        <w:t>，</w:t>
      </w:r>
      <w:r w:rsidRPr="00CC4496">
        <w:rPr>
          <w:rFonts w:hint="eastAsia"/>
          <w:szCs w:val="21"/>
        </w:rPr>
        <w:t>Ministry of Education of the People</w:t>
      </w:r>
      <w:r w:rsidRPr="00CC4496">
        <w:rPr>
          <w:rFonts w:hint="eastAsia"/>
          <w:szCs w:val="21"/>
        </w:rPr>
        <w:t>’</w:t>
      </w:r>
      <w:r w:rsidRPr="00CC4496">
        <w:rPr>
          <w:rFonts w:hint="eastAsia"/>
          <w:szCs w:val="21"/>
        </w:rPr>
        <w:t>s Republic of China, No 81 Meishan Road, Hefei, 230032, Anhui, China</w:t>
      </w:r>
    </w:p>
    <w:p w14:paraId="7B0AC555" w14:textId="77777777" w:rsidR="008D49E7" w:rsidRPr="00CC4496" w:rsidRDefault="008D49E7" w:rsidP="008D49E7">
      <w:pPr>
        <w:rPr>
          <w:szCs w:val="21"/>
          <w:shd w:val="clear" w:color="auto" w:fill="FFFFFF"/>
        </w:rPr>
      </w:pPr>
      <w:r w:rsidRPr="00CC4496">
        <w:rPr>
          <w:rFonts w:hint="eastAsia"/>
          <w:szCs w:val="21"/>
          <w:shd w:val="clear" w:color="auto" w:fill="FFFFFF"/>
          <w:vertAlign w:val="superscript"/>
        </w:rPr>
        <w:t>#</w:t>
      </w:r>
      <w:r w:rsidRPr="00CC4496">
        <w:rPr>
          <w:szCs w:val="21"/>
          <w:shd w:val="clear" w:color="auto" w:fill="FFFFFF"/>
        </w:rPr>
        <w:t xml:space="preserve"> </w:t>
      </w:r>
      <w:bookmarkStart w:id="1" w:name="_Hlk156318415"/>
      <w:r w:rsidRPr="00CC4496">
        <w:rPr>
          <w:rFonts w:hint="eastAsia"/>
          <w:szCs w:val="21"/>
          <w:shd w:val="clear" w:color="auto" w:fill="FFFFFF"/>
        </w:rPr>
        <w:t>Li-wen Chen and Xin Chen</w:t>
      </w:r>
      <w:r w:rsidRPr="00CC4496">
        <w:rPr>
          <w:szCs w:val="21"/>
          <w:shd w:val="clear" w:color="auto" w:fill="FFFFFF"/>
        </w:rPr>
        <w:t xml:space="preserve"> </w:t>
      </w:r>
      <w:bookmarkEnd w:id="1"/>
      <w:r w:rsidRPr="00CC4496">
        <w:rPr>
          <w:szCs w:val="21"/>
          <w:shd w:val="clear" w:color="auto" w:fill="FFFFFF"/>
        </w:rPr>
        <w:t>contributed equally to this manuscript.</w:t>
      </w:r>
    </w:p>
    <w:p w14:paraId="67414E61" w14:textId="77777777" w:rsidR="008D49E7" w:rsidRDefault="008D49E7" w:rsidP="008D49E7">
      <w:pPr>
        <w:rPr>
          <w:szCs w:val="21"/>
          <w:shd w:val="clear" w:color="auto" w:fill="FFFFFF"/>
        </w:rPr>
      </w:pPr>
      <w:r w:rsidRPr="00CC4496">
        <w:rPr>
          <w:szCs w:val="21"/>
          <w:shd w:val="clear" w:color="auto" w:fill="FFFFFF"/>
        </w:rPr>
        <w:t xml:space="preserve">* Corresponding author: </w:t>
      </w:r>
      <w:r w:rsidRPr="00CC4496">
        <w:rPr>
          <w:rFonts w:hint="eastAsia"/>
          <w:szCs w:val="21"/>
          <w:shd w:val="clear" w:color="auto" w:fill="FFFFFF"/>
        </w:rPr>
        <w:t>Ruo-ping Zhu, Child Healthcare Department, Anhui Hospital Affiliated to Children</w:t>
      </w:r>
      <w:r w:rsidRPr="00CC4496">
        <w:rPr>
          <w:szCs w:val="21"/>
          <w:shd w:val="clear" w:color="auto" w:fill="FFFFFF"/>
        </w:rPr>
        <w:t>’</w:t>
      </w:r>
      <w:r w:rsidRPr="00CC4496">
        <w:rPr>
          <w:rFonts w:hint="eastAsia"/>
          <w:szCs w:val="21"/>
          <w:shd w:val="clear" w:color="auto" w:fill="FFFFFF"/>
        </w:rPr>
        <w:t>s Hospital of Fudan University/Anhui Provincial Children</w:t>
      </w:r>
      <w:r w:rsidRPr="00CC4496">
        <w:rPr>
          <w:szCs w:val="21"/>
          <w:shd w:val="clear" w:color="auto" w:fill="FFFFFF"/>
        </w:rPr>
        <w:t>’</w:t>
      </w:r>
      <w:r w:rsidRPr="00CC4496">
        <w:rPr>
          <w:rFonts w:hint="eastAsia"/>
          <w:szCs w:val="21"/>
          <w:shd w:val="clear" w:color="auto" w:fill="FFFFFF"/>
        </w:rPr>
        <w:t>s Hospital, Hefei230022</w:t>
      </w:r>
      <w:r w:rsidRPr="00CC4496">
        <w:rPr>
          <w:rFonts w:hint="eastAsia"/>
          <w:szCs w:val="21"/>
          <w:shd w:val="clear" w:color="auto" w:fill="FFFFFF"/>
        </w:rPr>
        <w:t>，</w:t>
      </w:r>
      <w:r w:rsidRPr="00CC4496">
        <w:rPr>
          <w:rFonts w:hint="eastAsia"/>
          <w:szCs w:val="21"/>
          <w:shd w:val="clear" w:color="auto" w:fill="FFFFFF"/>
        </w:rPr>
        <w:t xml:space="preserve">Anhui Province, P.R. China, Tel:+8618156999761; e-mail: </w:t>
      </w:r>
      <w:hyperlink r:id="rId6" w:history="1">
        <w:r w:rsidRPr="00CC4496">
          <w:rPr>
            <w:rStyle w:val="a7"/>
            <w:rFonts w:hint="eastAsia"/>
            <w:szCs w:val="21"/>
            <w:shd w:val="clear" w:color="auto" w:fill="FFFFFF"/>
          </w:rPr>
          <w:t>zrp0922@126.com;</w:t>
        </w:r>
      </w:hyperlink>
      <w:r w:rsidRPr="00CC4496">
        <w:rPr>
          <w:rFonts w:hint="eastAsia"/>
          <w:szCs w:val="21"/>
          <w:shd w:val="clear" w:color="auto" w:fill="FFFFFF"/>
        </w:rPr>
        <w:t xml:space="preserve"> Hui Gao</w:t>
      </w:r>
      <w:r w:rsidRPr="00CC4496">
        <w:rPr>
          <w:szCs w:val="21"/>
          <w:shd w:val="clear" w:color="auto" w:fill="FFFFFF"/>
        </w:rPr>
        <w:t xml:space="preserve">, </w:t>
      </w:r>
      <w:r w:rsidRPr="00CC4496">
        <w:rPr>
          <w:szCs w:val="21"/>
        </w:rPr>
        <w:t xml:space="preserve">Department of Pediatrics, the First Affiliated Hospital of Anhui Medical University, No.218 </w:t>
      </w:r>
      <w:r w:rsidRPr="00CC4496">
        <w:rPr>
          <w:i/>
          <w:szCs w:val="21"/>
        </w:rPr>
        <w:t xml:space="preserve">Jixi </w:t>
      </w:r>
      <w:r w:rsidRPr="00CC4496">
        <w:rPr>
          <w:szCs w:val="21"/>
        </w:rPr>
        <w:t>Road, Hefei 230022, Anhui, China</w:t>
      </w:r>
      <w:r w:rsidRPr="00CC4496">
        <w:rPr>
          <w:szCs w:val="21"/>
          <w:shd w:val="clear" w:color="auto" w:fill="FFFFFF"/>
        </w:rPr>
        <w:t xml:space="preserve">, E-mail: </w:t>
      </w:r>
      <w:hyperlink r:id="rId7" w:history="1">
        <w:r w:rsidRPr="00CC4496">
          <w:rPr>
            <w:rFonts w:hint="eastAsia"/>
            <w:color w:val="0000FF"/>
            <w:szCs w:val="21"/>
            <w:u w:val="single"/>
            <w:shd w:val="clear" w:color="auto" w:fill="FFFFFF"/>
          </w:rPr>
          <w:t>gh20190130</w:t>
        </w:r>
        <w:r w:rsidRPr="00CC4496">
          <w:rPr>
            <w:color w:val="0000FF"/>
            <w:szCs w:val="21"/>
            <w:u w:val="single"/>
            <w:shd w:val="clear" w:color="auto" w:fill="FFFFFF"/>
          </w:rPr>
          <w:t>@16</w:t>
        </w:r>
        <w:r w:rsidRPr="00CC4496">
          <w:rPr>
            <w:rFonts w:hint="eastAsia"/>
            <w:color w:val="0000FF"/>
            <w:szCs w:val="21"/>
            <w:u w:val="single"/>
            <w:shd w:val="clear" w:color="auto" w:fill="FFFFFF"/>
          </w:rPr>
          <w:t>3</w:t>
        </w:r>
        <w:r w:rsidRPr="00CC4496">
          <w:rPr>
            <w:color w:val="0000FF"/>
            <w:szCs w:val="21"/>
            <w:u w:val="single"/>
            <w:shd w:val="clear" w:color="auto" w:fill="FFFFFF"/>
          </w:rPr>
          <w:t>.com</w:t>
        </w:r>
      </w:hyperlink>
      <w:r w:rsidRPr="00CC4496">
        <w:rPr>
          <w:color w:val="0000FF"/>
          <w:szCs w:val="21"/>
          <w:u w:val="single"/>
          <w:shd w:val="clear" w:color="auto" w:fill="FFFFFF"/>
        </w:rPr>
        <w:t xml:space="preserve">, </w:t>
      </w:r>
      <w:r w:rsidRPr="00CC4496">
        <w:rPr>
          <w:szCs w:val="21"/>
          <w:shd w:val="clear" w:color="auto" w:fill="FFFFFF"/>
        </w:rPr>
        <w:t>Tel: 0086-055162922415.</w:t>
      </w:r>
    </w:p>
    <w:p w14:paraId="4955E9DE" w14:textId="6C670D0A" w:rsidR="008D49E7" w:rsidRDefault="008D49E7">
      <w:pPr>
        <w:widowControl/>
        <w:jc w:val="left"/>
        <w:rPr>
          <w:szCs w:val="21"/>
          <w:shd w:val="clear" w:color="auto" w:fill="FFFFFF"/>
        </w:rPr>
      </w:pPr>
      <w:r>
        <w:rPr>
          <w:szCs w:val="21"/>
          <w:shd w:val="clear" w:color="auto" w:fill="FFFFFF"/>
        </w:rPr>
        <w:br w:type="page"/>
      </w:r>
    </w:p>
    <w:p w14:paraId="1AA4AA43" w14:textId="35458669" w:rsidR="008D49E7" w:rsidRPr="008D49E7" w:rsidRDefault="008D49E7" w:rsidP="008D49E7">
      <w:pPr>
        <w:rPr>
          <w:b/>
          <w:bCs/>
          <w:szCs w:val="21"/>
          <w:shd w:val="clear" w:color="auto" w:fill="FFFFFF"/>
        </w:rPr>
      </w:pPr>
      <w:r w:rsidRPr="008D49E7">
        <w:rPr>
          <w:b/>
          <w:bCs/>
          <w:szCs w:val="21"/>
          <w:shd w:val="clear" w:color="auto" w:fill="FFFFFF"/>
        </w:rPr>
        <w:lastRenderedPageBreak/>
        <w:t>Table S</w:t>
      </w:r>
      <w:r w:rsidRPr="008D49E7">
        <w:rPr>
          <w:rFonts w:hint="eastAsia"/>
          <w:b/>
          <w:bCs/>
          <w:szCs w:val="21"/>
          <w:shd w:val="clear" w:color="auto" w:fill="FFFFFF"/>
        </w:rPr>
        <w:t>1</w:t>
      </w:r>
      <w:r w:rsidRPr="008D49E7">
        <w:rPr>
          <w:b/>
          <w:bCs/>
          <w:szCs w:val="21"/>
          <w:shd w:val="clear" w:color="auto" w:fill="FFFFFF"/>
        </w:rPr>
        <w:t>. PECOS criteria used in the present review</w:t>
      </w:r>
    </w:p>
    <w:p w14:paraId="3A248702" w14:textId="77777777" w:rsidR="008D49E7" w:rsidRPr="008D49E7" w:rsidRDefault="008D49E7" w:rsidP="008D49E7">
      <w:pPr>
        <w:rPr>
          <w:szCs w:val="21"/>
          <w:shd w:val="clear" w:color="auto" w:fill="FFFFFF"/>
        </w:rPr>
      </w:pP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tblGrid>
      <w:tr w:rsidR="008D49E7" w14:paraId="4E0B6C4A" w14:textId="77777777" w:rsidTr="00912A60">
        <w:tc>
          <w:tcPr>
            <w:tcW w:w="1413" w:type="dxa"/>
            <w:tcBorders>
              <w:top w:val="single" w:sz="4" w:space="0" w:color="auto"/>
              <w:bottom w:val="single" w:sz="4" w:space="0" w:color="auto"/>
            </w:tcBorders>
            <w:vAlign w:val="center"/>
          </w:tcPr>
          <w:p w14:paraId="4853C995" w14:textId="57299343" w:rsidR="008D49E7" w:rsidRPr="008D49E7" w:rsidRDefault="008D49E7" w:rsidP="00D45A53">
            <w:pPr>
              <w:spacing w:line="360" w:lineRule="auto"/>
              <w:rPr>
                <w:b/>
                <w:bCs/>
                <w:szCs w:val="21"/>
                <w:shd w:val="clear" w:color="auto" w:fill="FFFFFF"/>
              </w:rPr>
            </w:pPr>
            <w:r w:rsidRPr="008D49E7">
              <w:rPr>
                <w:b/>
                <w:bCs/>
                <w:szCs w:val="21"/>
                <w:shd w:val="clear" w:color="auto" w:fill="FFFFFF"/>
              </w:rPr>
              <w:t>Parameter</w:t>
            </w:r>
          </w:p>
        </w:tc>
        <w:tc>
          <w:tcPr>
            <w:tcW w:w="6883" w:type="dxa"/>
            <w:tcBorders>
              <w:top w:val="single" w:sz="4" w:space="0" w:color="auto"/>
              <w:bottom w:val="single" w:sz="4" w:space="0" w:color="auto"/>
            </w:tcBorders>
          </w:tcPr>
          <w:p w14:paraId="516941BA" w14:textId="437C43E7" w:rsidR="008D49E7" w:rsidRPr="008D49E7" w:rsidRDefault="008D49E7" w:rsidP="00D45A53">
            <w:pPr>
              <w:spacing w:line="360" w:lineRule="auto"/>
              <w:rPr>
                <w:b/>
                <w:bCs/>
                <w:szCs w:val="21"/>
                <w:shd w:val="clear" w:color="auto" w:fill="FFFFFF"/>
              </w:rPr>
            </w:pPr>
            <w:r w:rsidRPr="008D49E7">
              <w:rPr>
                <w:b/>
                <w:bCs/>
                <w:szCs w:val="21"/>
                <w:shd w:val="clear" w:color="auto" w:fill="FFFFFF"/>
              </w:rPr>
              <w:t>Description</w:t>
            </w:r>
          </w:p>
        </w:tc>
      </w:tr>
      <w:tr w:rsidR="008D49E7" w14:paraId="1F7E6EDC" w14:textId="77777777" w:rsidTr="00912A60">
        <w:tc>
          <w:tcPr>
            <w:tcW w:w="1413" w:type="dxa"/>
            <w:vMerge w:val="restart"/>
            <w:tcBorders>
              <w:top w:val="single" w:sz="4" w:space="0" w:color="auto"/>
              <w:bottom w:val="nil"/>
            </w:tcBorders>
            <w:vAlign w:val="center"/>
          </w:tcPr>
          <w:p w14:paraId="2746260E" w14:textId="0F4A400D" w:rsidR="008D49E7" w:rsidRPr="008D49E7" w:rsidRDefault="008D49E7" w:rsidP="00D45A53">
            <w:pPr>
              <w:spacing w:line="360" w:lineRule="auto"/>
              <w:rPr>
                <w:b/>
                <w:bCs/>
                <w:szCs w:val="21"/>
                <w:shd w:val="clear" w:color="auto" w:fill="FFFFFF"/>
              </w:rPr>
            </w:pPr>
            <w:r w:rsidRPr="008D49E7">
              <w:rPr>
                <w:b/>
                <w:bCs/>
                <w:szCs w:val="21"/>
                <w:shd w:val="clear" w:color="auto" w:fill="FFFFFF"/>
              </w:rPr>
              <w:t>Population</w:t>
            </w:r>
          </w:p>
        </w:tc>
        <w:tc>
          <w:tcPr>
            <w:tcW w:w="6883" w:type="dxa"/>
            <w:tcBorders>
              <w:top w:val="single" w:sz="4" w:space="0" w:color="auto"/>
              <w:bottom w:val="nil"/>
            </w:tcBorders>
          </w:tcPr>
          <w:p w14:paraId="492EB263" w14:textId="2B107CB8" w:rsidR="008D49E7" w:rsidRDefault="008D49E7" w:rsidP="00D45A53">
            <w:pPr>
              <w:spacing w:line="360" w:lineRule="auto"/>
              <w:rPr>
                <w:szCs w:val="21"/>
                <w:shd w:val="clear" w:color="auto" w:fill="FFFFFF"/>
              </w:rPr>
            </w:pPr>
            <w:r w:rsidRPr="008D49E7">
              <w:rPr>
                <w:szCs w:val="21"/>
                <w:u w:val="single"/>
                <w:shd w:val="clear" w:color="auto" w:fill="FFFFFF"/>
              </w:rPr>
              <w:t>Inclusion:</w:t>
            </w:r>
            <w:r w:rsidRPr="008D49E7">
              <w:rPr>
                <w:szCs w:val="21"/>
                <w:shd w:val="clear" w:color="auto" w:fill="FFFFFF"/>
              </w:rPr>
              <w:t xml:space="preserve"> human</w:t>
            </w:r>
          </w:p>
        </w:tc>
      </w:tr>
      <w:tr w:rsidR="008D49E7" w14:paraId="755BF599" w14:textId="77777777" w:rsidTr="00912A60">
        <w:tc>
          <w:tcPr>
            <w:tcW w:w="1413" w:type="dxa"/>
            <w:vMerge/>
            <w:tcBorders>
              <w:top w:val="nil"/>
              <w:bottom w:val="single" w:sz="4" w:space="0" w:color="auto"/>
            </w:tcBorders>
            <w:vAlign w:val="center"/>
          </w:tcPr>
          <w:p w14:paraId="506FC12B" w14:textId="77777777" w:rsidR="008D49E7" w:rsidRPr="008D49E7" w:rsidRDefault="008D49E7" w:rsidP="00D45A53">
            <w:pPr>
              <w:spacing w:line="360" w:lineRule="auto"/>
              <w:rPr>
                <w:b/>
                <w:bCs/>
                <w:szCs w:val="21"/>
                <w:shd w:val="clear" w:color="auto" w:fill="FFFFFF"/>
              </w:rPr>
            </w:pPr>
          </w:p>
        </w:tc>
        <w:tc>
          <w:tcPr>
            <w:tcW w:w="6883" w:type="dxa"/>
            <w:tcBorders>
              <w:top w:val="nil"/>
              <w:bottom w:val="single" w:sz="4" w:space="0" w:color="auto"/>
            </w:tcBorders>
          </w:tcPr>
          <w:p w14:paraId="6A5260E4" w14:textId="162D491E" w:rsidR="008D49E7" w:rsidRPr="008D49E7" w:rsidRDefault="008D49E7" w:rsidP="00D45A53">
            <w:pPr>
              <w:spacing w:line="360" w:lineRule="auto"/>
              <w:rPr>
                <w:rFonts w:hint="eastAsia"/>
                <w:szCs w:val="21"/>
                <w:shd w:val="clear" w:color="auto" w:fill="FFFFFF"/>
              </w:rPr>
            </w:pPr>
            <w:r w:rsidRPr="008D49E7">
              <w:rPr>
                <w:szCs w:val="21"/>
                <w:u w:val="single"/>
                <w:shd w:val="clear" w:color="auto" w:fill="FFFFFF"/>
              </w:rPr>
              <w:t>Exclusion:</w:t>
            </w:r>
            <w:r w:rsidRPr="008D49E7">
              <w:rPr>
                <w:szCs w:val="21"/>
                <w:shd w:val="clear" w:color="auto" w:fill="FFFFFF"/>
              </w:rPr>
              <w:t xml:space="preserve"> animals</w:t>
            </w:r>
            <w:r>
              <w:rPr>
                <w:rFonts w:hint="eastAsia"/>
                <w:szCs w:val="21"/>
                <w:shd w:val="clear" w:color="auto" w:fill="FFFFFF"/>
              </w:rPr>
              <w:t>, soil, air</w:t>
            </w:r>
            <w:r w:rsidR="00C94EF4">
              <w:rPr>
                <w:rFonts w:hint="eastAsia"/>
                <w:szCs w:val="21"/>
                <w:shd w:val="clear" w:color="auto" w:fill="FFFFFF"/>
              </w:rPr>
              <w:t xml:space="preserve">, </w:t>
            </w:r>
            <w:r>
              <w:rPr>
                <w:rFonts w:hint="eastAsia"/>
                <w:szCs w:val="21"/>
                <w:shd w:val="clear" w:color="auto" w:fill="FFFFFF"/>
              </w:rPr>
              <w:t>water</w:t>
            </w:r>
            <w:r w:rsidR="00C94EF4">
              <w:rPr>
                <w:rFonts w:hint="eastAsia"/>
                <w:szCs w:val="21"/>
                <w:shd w:val="clear" w:color="auto" w:fill="FFFFFF"/>
              </w:rPr>
              <w:t xml:space="preserve"> or other non-human participants</w:t>
            </w:r>
          </w:p>
        </w:tc>
      </w:tr>
      <w:tr w:rsidR="008D49E7" w14:paraId="51EE18C4" w14:textId="77777777" w:rsidTr="00912A60">
        <w:tc>
          <w:tcPr>
            <w:tcW w:w="1413" w:type="dxa"/>
            <w:vMerge w:val="restart"/>
            <w:tcBorders>
              <w:top w:val="single" w:sz="4" w:space="0" w:color="auto"/>
              <w:bottom w:val="nil"/>
            </w:tcBorders>
            <w:vAlign w:val="center"/>
          </w:tcPr>
          <w:p w14:paraId="63E9E890" w14:textId="201AFE5C" w:rsidR="008D49E7" w:rsidRPr="008D49E7" w:rsidRDefault="008D49E7" w:rsidP="00D45A53">
            <w:pPr>
              <w:spacing w:line="360" w:lineRule="auto"/>
              <w:rPr>
                <w:b/>
                <w:bCs/>
                <w:szCs w:val="21"/>
                <w:shd w:val="clear" w:color="auto" w:fill="FFFFFF"/>
              </w:rPr>
            </w:pPr>
            <w:r w:rsidRPr="008D49E7">
              <w:rPr>
                <w:b/>
                <w:bCs/>
                <w:szCs w:val="21"/>
                <w:shd w:val="clear" w:color="auto" w:fill="FFFFFF"/>
              </w:rPr>
              <w:t>Exposure</w:t>
            </w:r>
          </w:p>
        </w:tc>
        <w:tc>
          <w:tcPr>
            <w:tcW w:w="6883" w:type="dxa"/>
            <w:tcBorders>
              <w:top w:val="single" w:sz="4" w:space="0" w:color="auto"/>
              <w:bottom w:val="nil"/>
            </w:tcBorders>
          </w:tcPr>
          <w:p w14:paraId="1F8BD16D" w14:textId="4A55EE9B" w:rsidR="008D49E7" w:rsidRDefault="008D49E7" w:rsidP="00D45A53">
            <w:pPr>
              <w:spacing w:line="360" w:lineRule="auto"/>
              <w:rPr>
                <w:szCs w:val="21"/>
                <w:shd w:val="clear" w:color="auto" w:fill="FFFFFF"/>
              </w:rPr>
            </w:pPr>
            <w:r w:rsidRPr="00976767">
              <w:rPr>
                <w:szCs w:val="21"/>
                <w:u w:val="single"/>
                <w:shd w:val="clear" w:color="auto" w:fill="FFFFFF"/>
              </w:rPr>
              <w:t>Inclusion:</w:t>
            </w:r>
            <w:r w:rsidRPr="008D49E7">
              <w:rPr>
                <w:szCs w:val="21"/>
                <w:shd w:val="clear" w:color="auto" w:fill="FFFFFF"/>
              </w:rPr>
              <w:t xml:space="preserve"> </w:t>
            </w:r>
            <w:r w:rsidR="00976767">
              <w:rPr>
                <w:rFonts w:hint="eastAsia"/>
                <w:szCs w:val="21"/>
                <w:shd w:val="clear" w:color="auto" w:fill="FFFFFF"/>
              </w:rPr>
              <w:t>a</w:t>
            </w:r>
            <w:r w:rsidR="00976767" w:rsidRPr="00976767">
              <w:rPr>
                <w:szCs w:val="21"/>
                <w:shd w:val="clear" w:color="auto" w:fill="FFFFFF"/>
              </w:rPr>
              <w:t>ll phthalates or phthalate metabolites exposure</w:t>
            </w:r>
          </w:p>
        </w:tc>
      </w:tr>
      <w:tr w:rsidR="008D49E7" w14:paraId="04BFEFDB" w14:textId="77777777" w:rsidTr="00912A60">
        <w:tc>
          <w:tcPr>
            <w:tcW w:w="1413" w:type="dxa"/>
            <w:vMerge/>
            <w:tcBorders>
              <w:top w:val="nil"/>
              <w:bottom w:val="single" w:sz="4" w:space="0" w:color="auto"/>
            </w:tcBorders>
            <w:vAlign w:val="center"/>
          </w:tcPr>
          <w:p w14:paraId="3638ECB2" w14:textId="77777777" w:rsidR="008D49E7" w:rsidRPr="008D49E7" w:rsidRDefault="008D49E7" w:rsidP="00D45A53">
            <w:pPr>
              <w:spacing w:line="360" w:lineRule="auto"/>
              <w:rPr>
                <w:b/>
                <w:bCs/>
                <w:szCs w:val="21"/>
                <w:shd w:val="clear" w:color="auto" w:fill="FFFFFF"/>
              </w:rPr>
            </w:pPr>
          </w:p>
        </w:tc>
        <w:tc>
          <w:tcPr>
            <w:tcW w:w="6883" w:type="dxa"/>
            <w:tcBorders>
              <w:top w:val="nil"/>
              <w:bottom w:val="single" w:sz="4" w:space="0" w:color="auto"/>
            </w:tcBorders>
          </w:tcPr>
          <w:p w14:paraId="40DD4C2B" w14:textId="0027AA2B" w:rsidR="008D49E7" w:rsidRDefault="008D49E7" w:rsidP="00D45A53">
            <w:pPr>
              <w:spacing w:line="360" w:lineRule="auto"/>
              <w:rPr>
                <w:szCs w:val="21"/>
                <w:shd w:val="clear" w:color="auto" w:fill="FFFFFF"/>
              </w:rPr>
            </w:pPr>
            <w:r w:rsidRPr="00976767">
              <w:rPr>
                <w:szCs w:val="21"/>
                <w:u w:val="single"/>
                <w:shd w:val="clear" w:color="auto" w:fill="FFFFFF"/>
              </w:rPr>
              <w:t>Exclusion:</w:t>
            </w:r>
            <w:r w:rsidRPr="008D49E7">
              <w:rPr>
                <w:szCs w:val="21"/>
                <w:shd w:val="clear" w:color="auto" w:fill="FFFFFF"/>
              </w:rPr>
              <w:t xml:space="preserve"> not </w:t>
            </w:r>
            <w:r w:rsidR="00976767" w:rsidRPr="00976767">
              <w:rPr>
                <w:szCs w:val="21"/>
                <w:shd w:val="clear" w:color="auto" w:fill="FFFFFF"/>
              </w:rPr>
              <w:t>phthalate</w:t>
            </w:r>
            <w:r w:rsidRPr="008D49E7">
              <w:rPr>
                <w:szCs w:val="21"/>
                <w:shd w:val="clear" w:color="auto" w:fill="FFFFFF"/>
              </w:rPr>
              <w:t xml:space="preserve"> or its metabolite exposure</w:t>
            </w:r>
          </w:p>
        </w:tc>
      </w:tr>
      <w:tr w:rsidR="008D49E7" w14:paraId="1A66079E" w14:textId="77777777" w:rsidTr="00912A60">
        <w:tc>
          <w:tcPr>
            <w:tcW w:w="1413" w:type="dxa"/>
            <w:vMerge w:val="restart"/>
            <w:tcBorders>
              <w:top w:val="single" w:sz="4" w:space="0" w:color="auto"/>
              <w:bottom w:val="nil"/>
            </w:tcBorders>
            <w:vAlign w:val="center"/>
          </w:tcPr>
          <w:p w14:paraId="52615D0E" w14:textId="7B176B7D" w:rsidR="008D49E7" w:rsidRPr="008D49E7" w:rsidRDefault="008D49E7" w:rsidP="00D45A53">
            <w:pPr>
              <w:spacing w:line="360" w:lineRule="auto"/>
              <w:rPr>
                <w:b/>
                <w:bCs/>
                <w:szCs w:val="21"/>
                <w:shd w:val="clear" w:color="auto" w:fill="FFFFFF"/>
              </w:rPr>
            </w:pPr>
            <w:r w:rsidRPr="008D49E7">
              <w:rPr>
                <w:b/>
                <w:bCs/>
                <w:szCs w:val="21"/>
                <w:shd w:val="clear" w:color="auto" w:fill="FFFFFF"/>
              </w:rPr>
              <w:t>Comparison</w:t>
            </w:r>
          </w:p>
        </w:tc>
        <w:tc>
          <w:tcPr>
            <w:tcW w:w="6883" w:type="dxa"/>
            <w:tcBorders>
              <w:top w:val="single" w:sz="4" w:space="0" w:color="auto"/>
              <w:bottom w:val="nil"/>
            </w:tcBorders>
          </w:tcPr>
          <w:p w14:paraId="7C3BBA46" w14:textId="2E26E086" w:rsidR="008D49E7" w:rsidRDefault="008D49E7" w:rsidP="00D45A53">
            <w:pPr>
              <w:spacing w:line="360" w:lineRule="auto"/>
              <w:rPr>
                <w:szCs w:val="21"/>
                <w:shd w:val="clear" w:color="auto" w:fill="FFFFFF"/>
              </w:rPr>
            </w:pPr>
            <w:r w:rsidRPr="00976767">
              <w:rPr>
                <w:szCs w:val="21"/>
                <w:u w:val="single"/>
                <w:shd w:val="clear" w:color="auto" w:fill="FFFFFF"/>
              </w:rPr>
              <w:t>Inclusion:</w:t>
            </w:r>
            <w:r w:rsidRPr="008D49E7">
              <w:rPr>
                <w:szCs w:val="21"/>
                <w:shd w:val="clear" w:color="auto" w:fill="FFFFFF"/>
              </w:rPr>
              <w:t xml:space="preserve"> </w:t>
            </w:r>
            <w:r w:rsidR="00147177">
              <w:rPr>
                <w:rFonts w:hint="eastAsia"/>
                <w:szCs w:val="21"/>
                <w:shd w:val="clear" w:color="auto" w:fill="FFFFFF"/>
              </w:rPr>
              <w:t>c</w:t>
            </w:r>
            <w:r w:rsidR="00147177" w:rsidRPr="00147177">
              <w:rPr>
                <w:szCs w:val="21"/>
                <w:shd w:val="clear" w:color="auto" w:fill="FFFFFF"/>
              </w:rPr>
              <w:t>oncentrations of phthalates or their phthalate metabolites in blood or urine</w:t>
            </w:r>
          </w:p>
        </w:tc>
      </w:tr>
      <w:tr w:rsidR="008D49E7" w14:paraId="30029412" w14:textId="77777777" w:rsidTr="00912A60">
        <w:tc>
          <w:tcPr>
            <w:tcW w:w="1413" w:type="dxa"/>
            <w:vMerge/>
            <w:tcBorders>
              <w:top w:val="nil"/>
              <w:bottom w:val="single" w:sz="4" w:space="0" w:color="auto"/>
            </w:tcBorders>
            <w:vAlign w:val="center"/>
          </w:tcPr>
          <w:p w14:paraId="573EF95C" w14:textId="77777777" w:rsidR="008D49E7" w:rsidRPr="008D49E7" w:rsidRDefault="008D49E7" w:rsidP="00D45A53">
            <w:pPr>
              <w:spacing w:line="360" w:lineRule="auto"/>
              <w:rPr>
                <w:b/>
                <w:bCs/>
                <w:szCs w:val="21"/>
                <w:shd w:val="clear" w:color="auto" w:fill="FFFFFF"/>
              </w:rPr>
            </w:pPr>
          </w:p>
        </w:tc>
        <w:tc>
          <w:tcPr>
            <w:tcW w:w="6883" w:type="dxa"/>
            <w:tcBorders>
              <w:top w:val="nil"/>
              <w:bottom w:val="single" w:sz="4" w:space="0" w:color="auto"/>
            </w:tcBorders>
          </w:tcPr>
          <w:p w14:paraId="25F12AC5" w14:textId="7F5898CB" w:rsidR="008D49E7" w:rsidRDefault="008D49E7" w:rsidP="00D45A53">
            <w:pPr>
              <w:spacing w:line="360" w:lineRule="auto"/>
              <w:rPr>
                <w:szCs w:val="21"/>
                <w:shd w:val="clear" w:color="auto" w:fill="FFFFFF"/>
              </w:rPr>
            </w:pPr>
            <w:r w:rsidRPr="00976767">
              <w:rPr>
                <w:szCs w:val="21"/>
                <w:u w:val="single"/>
                <w:shd w:val="clear" w:color="auto" w:fill="FFFFFF"/>
              </w:rPr>
              <w:t>Exclusion:</w:t>
            </w:r>
            <w:r w:rsidRPr="008D49E7">
              <w:rPr>
                <w:szCs w:val="21"/>
                <w:shd w:val="clear" w:color="auto" w:fill="FFFFFF"/>
              </w:rPr>
              <w:t xml:space="preserve"> other controls</w:t>
            </w:r>
          </w:p>
        </w:tc>
      </w:tr>
      <w:tr w:rsidR="008D49E7" w14:paraId="71FBDE9C" w14:textId="77777777" w:rsidTr="00912A60">
        <w:tc>
          <w:tcPr>
            <w:tcW w:w="1413" w:type="dxa"/>
            <w:vMerge w:val="restart"/>
            <w:tcBorders>
              <w:top w:val="single" w:sz="4" w:space="0" w:color="auto"/>
              <w:bottom w:val="nil"/>
            </w:tcBorders>
            <w:vAlign w:val="center"/>
          </w:tcPr>
          <w:p w14:paraId="6DF73B78" w14:textId="746AA4CA" w:rsidR="008D49E7" w:rsidRPr="008D49E7" w:rsidRDefault="008D49E7" w:rsidP="00D45A53">
            <w:pPr>
              <w:spacing w:line="360" w:lineRule="auto"/>
              <w:rPr>
                <w:b/>
                <w:bCs/>
                <w:szCs w:val="21"/>
                <w:shd w:val="clear" w:color="auto" w:fill="FFFFFF"/>
              </w:rPr>
            </w:pPr>
            <w:r w:rsidRPr="008D49E7">
              <w:rPr>
                <w:b/>
                <w:bCs/>
                <w:szCs w:val="21"/>
                <w:shd w:val="clear" w:color="auto" w:fill="FFFFFF"/>
              </w:rPr>
              <w:t>Outcome</w:t>
            </w:r>
          </w:p>
        </w:tc>
        <w:tc>
          <w:tcPr>
            <w:tcW w:w="6883" w:type="dxa"/>
            <w:tcBorders>
              <w:top w:val="single" w:sz="4" w:space="0" w:color="auto"/>
              <w:bottom w:val="nil"/>
            </w:tcBorders>
          </w:tcPr>
          <w:p w14:paraId="40B16EFE" w14:textId="112A9FBF" w:rsidR="008D49E7" w:rsidRDefault="008D49E7" w:rsidP="00D45A53">
            <w:pPr>
              <w:spacing w:line="360" w:lineRule="auto"/>
              <w:rPr>
                <w:rFonts w:hint="eastAsia"/>
                <w:szCs w:val="21"/>
                <w:shd w:val="clear" w:color="auto" w:fill="FFFFFF"/>
              </w:rPr>
            </w:pPr>
            <w:r w:rsidRPr="00976767">
              <w:rPr>
                <w:szCs w:val="21"/>
                <w:u w:val="single"/>
                <w:shd w:val="clear" w:color="auto" w:fill="FFFFFF"/>
              </w:rPr>
              <w:t>Inclusion:</w:t>
            </w:r>
            <w:r w:rsidRPr="008D49E7">
              <w:rPr>
                <w:szCs w:val="21"/>
                <w:shd w:val="clear" w:color="auto" w:fill="FFFFFF"/>
              </w:rPr>
              <w:t xml:space="preserve"> </w:t>
            </w:r>
            <w:r w:rsidR="00147177" w:rsidRPr="00147177">
              <w:rPr>
                <w:szCs w:val="21"/>
                <w:shd w:val="clear" w:color="auto" w:fill="FFFFFF"/>
              </w:rPr>
              <w:t xml:space="preserve">concentrations of phthalates or their phthalate metabolites in </w:t>
            </w:r>
            <w:r w:rsidR="00147177">
              <w:rPr>
                <w:rFonts w:hint="eastAsia"/>
                <w:szCs w:val="21"/>
                <w:shd w:val="clear" w:color="auto" w:fill="FFFFFF"/>
              </w:rPr>
              <w:t>nail</w:t>
            </w:r>
            <w:r w:rsidR="00147177" w:rsidRPr="00147177">
              <w:rPr>
                <w:szCs w:val="21"/>
                <w:shd w:val="clear" w:color="auto" w:fill="FFFFFF"/>
              </w:rPr>
              <w:t xml:space="preserve"> or </w:t>
            </w:r>
            <w:r w:rsidR="00147177">
              <w:rPr>
                <w:rFonts w:hint="eastAsia"/>
                <w:szCs w:val="21"/>
                <w:shd w:val="clear" w:color="auto" w:fill="FFFFFF"/>
              </w:rPr>
              <w:t>hair</w:t>
            </w:r>
            <w:r w:rsidR="00C94EF4">
              <w:rPr>
                <w:rFonts w:hint="eastAsia"/>
                <w:szCs w:val="21"/>
                <w:shd w:val="clear" w:color="auto" w:fill="FFFFFF"/>
              </w:rPr>
              <w:t xml:space="preserve"> </w:t>
            </w:r>
          </w:p>
        </w:tc>
      </w:tr>
      <w:tr w:rsidR="008D49E7" w14:paraId="2925BFDB" w14:textId="77777777" w:rsidTr="00912A60">
        <w:tc>
          <w:tcPr>
            <w:tcW w:w="1413" w:type="dxa"/>
            <w:vMerge/>
            <w:tcBorders>
              <w:top w:val="nil"/>
              <w:bottom w:val="single" w:sz="4" w:space="0" w:color="auto"/>
            </w:tcBorders>
            <w:vAlign w:val="center"/>
          </w:tcPr>
          <w:p w14:paraId="66980CCB" w14:textId="77777777" w:rsidR="008D49E7" w:rsidRPr="008D49E7" w:rsidRDefault="008D49E7" w:rsidP="00D45A53">
            <w:pPr>
              <w:spacing w:line="360" w:lineRule="auto"/>
              <w:rPr>
                <w:b/>
                <w:bCs/>
                <w:szCs w:val="21"/>
                <w:shd w:val="clear" w:color="auto" w:fill="FFFFFF"/>
              </w:rPr>
            </w:pPr>
          </w:p>
        </w:tc>
        <w:tc>
          <w:tcPr>
            <w:tcW w:w="6883" w:type="dxa"/>
            <w:tcBorders>
              <w:top w:val="nil"/>
              <w:bottom w:val="single" w:sz="4" w:space="0" w:color="auto"/>
            </w:tcBorders>
          </w:tcPr>
          <w:p w14:paraId="722FA6FA" w14:textId="11E1EE93" w:rsidR="008D49E7" w:rsidRPr="008D49E7" w:rsidRDefault="008D49E7" w:rsidP="00D45A53">
            <w:pPr>
              <w:spacing w:line="360" w:lineRule="auto"/>
              <w:rPr>
                <w:szCs w:val="21"/>
                <w:shd w:val="clear" w:color="auto" w:fill="FFFFFF"/>
              </w:rPr>
            </w:pPr>
            <w:r w:rsidRPr="00976767">
              <w:rPr>
                <w:szCs w:val="21"/>
                <w:u w:val="single"/>
                <w:shd w:val="clear" w:color="auto" w:fill="FFFFFF"/>
              </w:rPr>
              <w:t>Exclusion:</w:t>
            </w:r>
            <w:r w:rsidRPr="008D49E7">
              <w:rPr>
                <w:szCs w:val="21"/>
                <w:shd w:val="clear" w:color="auto" w:fill="FFFFFF"/>
              </w:rPr>
              <w:t xml:space="preserve"> </w:t>
            </w:r>
            <w:r w:rsidR="00147177">
              <w:rPr>
                <w:rFonts w:hint="eastAsia"/>
                <w:szCs w:val="21"/>
                <w:shd w:val="clear" w:color="auto" w:fill="FFFFFF"/>
              </w:rPr>
              <w:t>n</w:t>
            </w:r>
            <w:r w:rsidR="00147177" w:rsidRPr="00147177">
              <w:rPr>
                <w:szCs w:val="21"/>
                <w:shd w:val="clear" w:color="auto" w:fill="FFFFFF"/>
              </w:rPr>
              <w:t>o concentrations of phthalates and their metabolites in nails or hair</w:t>
            </w:r>
          </w:p>
        </w:tc>
      </w:tr>
      <w:tr w:rsidR="008D49E7" w14:paraId="4AC3FA82" w14:textId="77777777" w:rsidTr="00912A60">
        <w:tc>
          <w:tcPr>
            <w:tcW w:w="1413" w:type="dxa"/>
            <w:vMerge w:val="restart"/>
            <w:tcBorders>
              <w:top w:val="single" w:sz="4" w:space="0" w:color="auto"/>
            </w:tcBorders>
            <w:vAlign w:val="center"/>
          </w:tcPr>
          <w:p w14:paraId="283DF1ED" w14:textId="08B7B2E2" w:rsidR="008D49E7" w:rsidRPr="008D49E7" w:rsidRDefault="008D49E7" w:rsidP="00D45A53">
            <w:pPr>
              <w:spacing w:line="360" w:lineRule="auto"/>
              <w:rPr>
                <w:b/>
                <w:bCs/>
                <w:szCs w:val="21"/>
                <w:shd w:val="clear" w:color="auto" w:fill="FFFFFF"/>
              </w:rPr>
            </w:pPr>
            <w:r w:rsidRPr="008D49E7">
              <w:rPr>
                <w:b/>
                <w:bCs/>
                <w:szCs w:val="21"/>
                <w:shd w:val="clear" w:color="auto" w:fill="FFFFFF"/>
              </w:rPr>
              <w:t>Study design</w:t>
            </w:r>
          </w:p>
        </w:tc>
        <w:tc>
          <w:tcPr>
            <w:tcW w:w="6883" w:type="dxa"/>
            <w:tcBorders>
              <w:top w:val="single" w:sz="4" w:space="0" w:color="auto"/>
            </w:tcBorders>
          </w:tcPr>
          <w:p w14:paraId="6B76E1DE" w14:textId="331A78E4" w:rsidR="008D49E7" w:rsidRDefault="008D49E7" w:rsidP="00D45A53">
            <w:pPr>
              <w:spacing w:line="360" w:lineRule="auto"/>
              <w:rPr>
                <w:rFonts w:hint="eastAsia"/>
                <w:szCs w:val="21"/>
                <w:shd w:val="clear" w:color="auto" w:fill="FFFFFF"/>
              </w:rPr>
            </w:pPr>
            <w:r w:rsidRPr="00976767">
              <w:rPr>
                <w:szCs w:val="21"/>
                <w:u w:val="single"/>
                <w:shd w:val="clear" w:color="auto" w:fill="FFFFFF"/>
              </w:rPr>
              <w:t>Inclusion:</w:t>
            </w:r>
            <w:r w:rsidRPr="008D49E7">
              <w:rPr>
                <w:szCs w:val="21"/>
                <w:shd w:val="clear" w:color="auto" w:fill="FFFFFF"/>
              </w:rPr>
              <w:t xml:space="preserve"> all observational studies, including cohort study, case–control study, cross-sectional surve</w:t>
            </w:r>
            <w:r w:rsidR="00147177">
              <w:rPr>
                <w:rFonts w:hint="eastAsia"/>
                <w:szCs w:val="21"/>
                <w:shd w:val="clear" w:color="auto" w:fill="FFFFFF"/>
              </w:rPr>
              <w:t>y,</w:t>
            </w:r>
            <w:r w:rsidR="00C94EF4">
              <w:rPr>
                <w:rFonts w:hint="eastAsia"/>
                <w:szCs w:val="21"/>
                <w:shd w:val="clear" w:color="auto" w:fill="FFFFFF"/>
              </w:rPr>
              <w:t xml:space="preserve"> </w:t>
            </w:r>
            <w:r w:rsidR="00147177" w:rsidRPr="00147177">
              <w:rPr>
                <w:szCs w:val="21"/>
                <w:shd w:val="clear" w:color="auto" w:fill="FFFFFF"/>
              </w:rPr>
              <w:t>matched pair design</w:t>
            </w:r>
          </w:p>
        </w:tc>
      </w:tr>
      <w:tr w:rsidR="008D49E7" w14:paraId="57314AE0" w14:textId="77777777" w:rsidTr="00912A60">
        <w:tc>
          <w:tcPr>
            <w:tcW w:w="1413" w:type="dxa"/>
            <w:vMerge/>
          </w:tcPr>
          <w:p w14:paraId="5B6E269D" w14:textId="77777777" w:rsidR="008D49E7" w:rsidRPr="008D49E7" w:rsidRDefault="008D49E7" w:rsidP="00D45A53">
            <w:pPr>
              <w:spacing w:line="360" w:lineRule="auto"/>
              <w:rPr>
                <w:b/>
                <w:bCs/>
                <w:szCs w:val="21"/>
                <w:shd w:val="clear" w:color="auto" w:fill="FFFFFF"/>
              </w:rPr>
            </w:pPr>
          </w:p>
        </w:tc>
        <w:tc>
          <w:tcPr>
            <w:tcW w:w="6883" w:type="dxa"/>
          </w:tcPr>
          <w:p w14:paraId="2BCC49A0" w14:textId="547A5CD4" w:rsidR="008D49E7" w:rsidRPr="008D49E7" w:rsidRDefault="008D49E7" w:rsidP="00D45A53">
            <w:pPr>
              <w:spacing w:line="360" w:lineRule="auto"/>
              <w:rPr>
                <w:szCs w:val="21"/>
                <w:shd w:val="clear" w:color="auto" w:fill="FFFFFF"/>
              </w:rPr>
            </w:pPr>
            <w:r w:rsidRPr="00976767">
              <w:rPr>
                <w:szCs w:val="21"/>
                <w:u w:val="single"/>
                <w:shd w:val="clear" w:color="auto" w:fill="FFFFFF"/>
              </w:rPr>
              <w:t>Exclusion:</w:t>
            </w:r>
            <w:r w:rsidRPr="008D49E7">
              <w:rPr>
                <w:szCs w:val="21"/>
                <w:shd w:val="clear" w:color="auto" w:fill="FFFFFF"/>
              </w:rPr>
              <w:t xml:space="preserve"> review, systematic review, meta-analysis, comment, meeting report, </w:t>
            </w:r>
            <w:r w:rsidR="00976767">
              <w:rPr>
                <w:rFonts w:hint="eastAsia"/>
                <w:szCs w:val="21"/>
                <w:shd w:val="clear" w:color="auto" w:fill="FFFFFF"/>
              </w:rPr>
              <w:t xml:space="preserve">letter, </w:t>
            </w:r>
            <w:r w:rsidRPr="008D49E7">
              <w:rPr>
                <w:szCs w:val="21"/>
                <w:shd w:val="clear" w:color="auto" w:fill="FFFFFF"/>
              </w:rPr>
              <w:t>etc.</w:t>
            </w:r>
          </w:p>
        </w:tc>
      </w:tr>
    </w:tbl>
    <w:p w14:paraId="3B30EA7A" w14:textId="77777777" w:rsidR="008D49E7" w:rsidRPr="008D49E7" w:rsidRDefault="008D49E7" w:rsidP="008D49E7">
      <w:pPr>
        <w:rPr>
          <w:szCs w:val="21"/>
          <w:shd w:val="clear" w:color="auto" w:fill="FFFFFF"/>
        </w:rPr>
      </w:pPr>
    </w:p>
    <w:p w14:paraId="3E7E82C0" w14:textId="77777777" w:rsidR="008D49E7" w:rsidRPr="008D49E7" w:rsidRDefault="008D49E7" w:rsidP="008D49E7">
      <w:pPr>
        <w:rPr>
          <w:szCs w:val="21"/>
          <w:shd w:val="clear" w:color="auto" w:fill="FFFFFF"/>
        </w:rPr>
      </w:pPr>
    </w:p>
    <w:p w14:paraId="6FB053F5" w14:textId="7DF18968" w:rsidR="00D0578C" w:rsidRPr="004228BC" w:rsidRDefault="00D0578C" w:rsidP="004228BC">
      <w:pPr>
        <w:widowControl/>
        <w:jc w:val="left"/>
      </w:pPr>
    </w:p>
    <w:sectPr w:rsidR="00D0578C" w:rsidRPr="00422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F697" w14:textId="77777777" w:rsidR="00832C75" w:rsidRDefault="00832C75" w:rsidP="008D49E7">
      <w:r>
        <w:separator/>
      </w:r>
    </w:p>
  </w:endnote>
  <w:endnote w:type="continuationSeparator" w:id="0">
    <w:p w14:paraId="631FF215" w14:textId="77777777" w:rsidR="00832C75" w:rsidRDefault="00832C75" w:rsidP="008D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4FB37" w14:textId="77777777" w:rsidR="00832C75" w:rsidRDefault="00832C75" w:rsidP="008D49E7">
      <w:r>
        <w:separator/>
      </w:r>
    </w:p>
  </w:footnote>
  <w:footnote w:type="continuationSeparator" w:id="0">
    <w:p w14:paraId="5B5006B4" w14:textId="77777777" w:rsidR="00832C75" w:rsidRDefault="00832C75" w:rsidP="008D4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1651D5CB-283D-4B8D-A5E1-16E8ECC515BA}" w:val=" ADDIN NE.Ref.{1651D5CB-283D-4B8D-A5E1-16E8ECC515BA}&lt;Citation&gt;&lt;Group&gt;&lt;References&gt;&lt;Item&gt;&lt;ID&gt;11502&lt;/ID&gt;&lt;UID&gt;{7CCFBCA5-6950-4025-8091-241FBF507149}&lt;/UID&gt;&lt;Title&gt;Biomonitoring of fast-elimination endocrine disruptors - Results from a 6-month  follow up on human volunteers with repeated urine and hair collection&lt;/Title&gt;&lt;Template&gt;Journal Article&lt;/Template&gt;&lt;Star&gt;0&lt;/Star&gt;&lt;Tag&gt;0&lt;/Tag&gt;&lt;Author&gt;Fäys, F; Hardy, E M; Palazzi, P; Haan, S; Beausoleil, C; Appenzeller, BMR&lt;/Author&gt;&lt;Year&gt;2021&lt;/Year&gt;&lt;Details&gt;&lt;_accessed&gt;65236340&lt;/_accessed&gt;&lt;_accession_num&gt;34030378&lt;/_accession_num&gt;&lt;_author_adr&gt;Human Biomonitoring Research Unit, Department of Population Health, Luxembourg  Institute of Health, 1 A-B rue Thomas Edison, 1445 Strassen, Luxembourg;  University of Luxembourg, 2, avenue de l&amp;apos;Université, L-4365 Esch-sur-Alzette,  Luxembourg.; Human Biomonitoring Research Unit, Department of Population Health, Luxembourg  Institute of Health, 1 A-B rue Thomas Edison, 1445 Strassen, Luxembourg.; Human Biomonitoring Research Unit, Department of Population Health, Luxembourg  Institute of Health, 1 A-B rue Thomas Edison, 1445 Strassen, Luxembourg.; Life Sciences Research Unit, University of Luxembourg, 6 Avenue du Swing,  Belvaux, Luxembourg.; ANSES, Risk Assessment Department, 14 rue Pierre et Marie Curie, 94701  Maisons-Alfort, France.; Human Biomonitoring Research Unit, Department of Population Health, Luxembourg  Institute of Health, 1 A-B rue Thomas Edison, 1445 Strassen, Luxembourg.  Electronic address: brice.appenzeller@lih.lu.&lt;/_author_adr&gt;&lt;_collection_scope&gt;SCIE;EI&lt;/_collection_scope&gt;&lt;_created&gt;65236328&lt;/_created&gt;&lt;_date&gt;2021-07-15&lt;/_date&gt;&lt;_date_display&gt;2021 Jul 15&lt;/_date_display&gt;&lt;_doi&gt;10.1016/j.scitotenv.2021.146330&lt;/_doi&gt;&lt;_impact_factor&gt;  10.753&lt;/_impact_factor&gt;&lt;_isbn&gt;1879-1026 (Electronic); 0048-9697 (Linking)&lt;/_isbn&gt;&lt;_journal&gt;Sci Total Environ&lt;/_journal&gt;&lt;_keywords&gt;Biomarkers of exposure; Biomonitoring; Endocrine disruptor; Hair; Urine&lt;/_keywords&gt;&lt;_language&gt;eng&lt;/_language&gt;&lt;_modified&gt;65257546&lt;/_modified&gt;&lt;_ori_publication&gt;Copyright © 2021 The Authors. Published by Elsevier B.V. All rights reserved.&lt;/_ori_publication&gt;&lt;_pages&gt;146330&lt;/_pages&gt;&lt;_social_category&gt;环境科学(1)&lt;/_social_category&gt;&lt;_subject_headings&gt;Biological Monitoring; *Endocrine Disruptors; Environmental Exposure/analysis; Follow-Up Studies; Healthy Volunteers; Humans; *Phthalic Acids&lt;/_subject_headings&gt;&lt;_tertiary_title&gt;The Science of the total environment&lt;/_tertiary_title&gt;&lt;_type_work&gt;Journal Article&lt;/_type_work&gt;&lt;_url&gt;http://www.ncbi.nlm.nih.gov/entrez/query.fcgi?cmd=Retrieve&amp;amp;db=pubmed&amp;amp;dopt=Abstract&amp;amp;list_uids=34030378&amp;amp;query_hl=1&lt;/_url&gt;&lt;_volume&gt;778&lt;/_volume&gt;&lt;/Details&gt;&lt;Extra&gt;&lt;DBUID&gt;{F96A950B-833F-4880-A151-76DA2D6A2879}&lt;/DBUID&gt;&lt;/Extra&gt;&lt;/Item&gt;&lt;/References&gt;&lt;/Group&gt;&lt;/Citation&gt;_x000a_"/>
    <w:docVar w:name="NE.Ref{64FAE405-79BE-449B-89B9-7AF0770500C2}" w:val=" ADDIN NE.Ref.{64FAE405-79BE-449B-89B9-7AF0770500C2}&lt;Citation&gt;&lt;Group&gt;&lt;References&gt;&lt;Item&gt;&lt;ID&gt;11500&lt;/ID&gt;&lt;UID&gt;{B2680799-32E9-4CCC-B0CA-2D8AA74C2920}&lt;/UID&gt;&lt;Title&gt;Distribution of phthalate metabolites, benzophenone-type ultraviolet filters,  parabens, triclosan and triclocarban in paired human hair, nail and urine  samples&lt;/Title&gt;&lt;Template&gt;Journal Article&lt;/Template&gt;&lt;Star&gt;0&lt;/Star&gt;&lt;Tag&gt;0&lt;/Tag&gt;&lt;Author&gt;Tian, X; Huang, K; Liu, Y; Jiang, K; Liu, R; Cui, J; Wang, F; Yu, Y; Zhang, H; Lin, M; Ma, S&lt;/Author&gt;&lt;Year&gt;2023&lt;/Year&gt;&lt;Details&gt;&lt;_accessed&gt;65236336&lt;/_accessed&gt;&lt;_accession_num&gt;37343917&lt;/_accession_num&gt;&lt;_author_adr&gt;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 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 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 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 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 State Key Laboratory of Organic Geochemistry, Guangdong Key Laboratory of  Environment Protection and Resource Utilization, Guangzhou Institute of  Geochemistry, Chinese Academy of Sciences, Guangzhou 510640, PR China.; Analysis and Test Center, Guangdong University of Technology, Guangzhou 510006,  PR China.; 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 Department of Laboratory Medicine, Tongren Hospital, Shanghai Jiao Tong  University School of Medicine, Shanghai 200336, PR China.; 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 Electronic address: linmeiqing@gdut.edu.cn.; Guangdong-Hong Kong-Macao Joint Laboratory for Contaminants Exposure and Health,  Guangdong Key Laboratory of Environmental Catalysis and Health Risk Control,  School of Environmental Science and Engineering, Institute of Environmental  Health and Pollution Control, Guangdong University of Technology, Guangzhou  510006, PR China.&lt;/_author_adr&gt;&lt;_collection_scope&gt;SCIE;EI&lt;/_collection_scope&gt;&lt;_created&gt;65236328&lt;/_created&gt;&lt;_date&gt;2023-09-15&lt;/_date&gt;&lt;_date_display&gt;2023 Sep 15&lt;/_date_display&gt;&lt;_doi&gt;10.1016/j.envpol.2023.122083&lt;/_doi&gt;&lt;_impact_factor&gt;   9.988&lt;/_impact_factor&gt;&lt;_isbn&gt;1873-6424 (Electronic); 0269-7491 (Linking)&lt;/_isbn&gt;&lt;_journal&gt;Environ Pollut&lt;/_journal&gt;&lt;_keywords&gt;Hair; Human biomonitoring; Nail; Personal care product; Urine&lt;/_keywords&gt;&lt;_language&gt;eng&lt;/_language&gt;&lt;_modified&gt;65257546&lt;/_modified&gt;&lt;_ori_publication&gt;Copyright © 2023 Elsevier Ltd. All rights reserved.&lt;/_ori_publication&gt;&lt;_pages&gt;122083&lt;/_pages&gt;&lt;_social_category&gt;环境科学(2)&lt;/_social_category&gt;&lt;_subject_headings&gt;Humans; Male; Female; Parabens/analysis; *Triclosan/urine; Nails/chemistry; *Phthalic Acids/urine; Benzophenones; Environmental Exposure/analysis&lt;/_subject_headings&gt;&lt;_tertiary_title&gt;Environmental pollution (Barking, Essex : 1987)&lt;/_tertiary_title&gt;&lt;_type_work&gt;Journal Article&lt;/_type_work&gt;&lt;_url&gt;http://www.ncbi.nlm.nih.gov/entrez/query.fcgi?cmd=Retrieve&amp;amp;db=pubmed&amp;amp;dopt=Abstract&amp;amp;list_uids=37343917&amp;amp;query_hl=1&lt;/_url&gt;&lt;_volume&gt;333&lt;/_volume&gt;&lt;/Details&gt;&lt;Extra&gt;&lt;DBUID&gt;{F96A950B-833F-4880-A151-76DA2D6A2879}&lt;/DBUID&gt;&lt;/Extra&gt;&lt;/Item&gt;&lt;/References&gt;&lt;/Group&gt;&lt;/Citation&gt;_x000a_"/>
    <w:docVar w:name="NE.Ref{D0BF5F35-15E2-43A2-A5B8-E4FA3A179B9D}" w:val=" ADDIN NE.Ref.{D0BF5F35-15E2-43A2-A5B8-E4FA3A179B9D}&lt;Citation&gt;&lt;Group&gt;&lt;References&gt;&lt;Item&gt;&lt;ID&gt;11503&lt;/ID&gt;&lt;UID&gt;{C22F6BD5-60FF-4186-BCBE-945DD6E926C2}&lt;/UID&gt;&lt;Title&gt;Plasticizer contamination in the urine and hair of preschool children, airborne  particles in kindergartens, and drinking water in Hong Kong&lt;/Title&gt;&lt;Template&gt;Journal Article&lt;/Template&gt;&lt;Star&gt;0&lt;/Star&gt;&lt;Tag&gt;0&lt;/Tag&gt;&lt;Author&gt;Li, N; Ying, G G; Hong, H; Tsang, EPK; Deng, W J&lt;/Author&gt;&lt;Year&gt;2021&lt;/Year&gt;&lt;Details&gt;&lt;_accessed&gt;65236341&lt;/_accessed&gt;&lt;_accession_num&gt;33388685&lt;/_accession_num&gt;&lt;_author_adr&gt;Department of Science and Environmental Studies, The Education University of Hong  Kong, Tai Po, N.T., Hong Kong, SAR, China; Key Laboratory of Drinking Water  Science and Technology, Research Center for Eco-Environmental Sciences, Chinese  Academy of Sciences, Beijing, 100085, China.; SCNU Environmental Research Institute, Guangdong Provincial Key Laboratory of  Chemical Pollution and Environmental Safety &amp;amp; MOE Key Laboratory of Theoretical  Chemistry of Environment, South China Normal University, Guangzhou, 510006,  China; School of Environment, South China Normal University, University Town,  Guangzhou, 510006, China.; College of Geography and Environmental Sciences, Zhejiang Normal University,  Jinhua, 321004, China.; Department of Science and Environmental Studies, The Education University of Hong  Kong, Tai Po, N.T., Hong Kong, SAR, China.; Department of Science and Environmental Studies, The Education University of Hong  Kong, Tai Po, N.T., Hong Kong, SAR, China; SCNU Environmental Research Institute,  Guangdong Provincial Key Laboratory of Chemical Pollution and Environmental  Safety &amp;amp; MOE Key Laboratory of Theoretical Chemistry of Environment, South China  Normal University, Guangzhou, 510006, China; School of Environment, South China  Normal University, University Town, Guangzhou, 510006, China. Electronic address:  wdeng@eduhk.hk.&lt;/_author_adr&gt;&lt;_collection_scope&gt;SCIE;EI&lt;/_collection_scope&gt;&lt;_created&gt;65236328&lt;/_created&gt;&lt;_date&gt;2021-02-15&lt;/_date&gt;&lt;_date_display&gt;2021 Feb 15&lt;/_date_display&gt;&lt;_doi&gt;10.1016/j.envpol.2020.116394&lt;/_doi&gt;&lt;_impact_factor&gt;   9.988&lt;/_impact_factor&gt;&lt;_isbn&gt;1873-6424 (Electronic); 0269-7491 (Linking)&lt;/_isbn&gt;&lt;_journal&gt;Environ Pollut&lt;/_journal&gt;&lt;_keywords&gt;Airborne particles; Children; Drinking water; Plasticizers; Urine&lt;/_keywords&gt;&lt;_language&gt;eng&lt;/_language&gt;&lt;_modified&gt;65257546&lt;/_modified&gt;&lt;_ori_publication&gt;Copyright © 2020 Elsevier Ltd. All rights reserved.&lt;/_ori_publication&gt;&lt;_pages&gt;116394&lt;/_pages&gt;&lt;_social_category&gt;环境科学(2)&lt;/_social_category&gt;&lt;_subject_headings&gt;Child, Preschool; *Drinking Water; Dust/analysis; Environmental Exposure/analysis; Hong Kong; Humans; *Phthalic Acids/analysis; Plasticizers/analysis; Schools&lt;/_subject_headings&gt;&lt;_tertiary_title&gt;Environmental pollution (Barking, Essex : 1987)&lt;/_tertiary_title&gt;&lt;_type_work&gt;Journal Article&lt;/_type_work&gt;&lt;_url&gt;http://www.ncbi.nlm.nih.gov/entrez/query.fcgi?cmd=Retrieve&amp;amp;db=pubmed&amp;amp;dopt=Abstract&amp;amp;list_uids=33388685&amp;amp;query_hl=1&lt;/_url&gt;&lt;_volume&gt;271&lt;/_volume&gt;&lt;/Details&gt;&lt;Extra&gt;&lt;DBUID&gt;{F96A950B-833F-4880-A151-76DA2D6A2879}&lt;/DBUID&gt;&lt;/Extra&gt;&lt;/Item&gt;&lt;/References&gt;&lt;/Group&gt;&lt;/Citation&gt;_x000a_"/>
    <w:docVar w:name="NE.Ref{DC7CF5DB-EDBF-479C-9A54-9A544E5C018B}" w:val=" ADDIN NE.Ref.{DC7CF5DB-EDBF-479C-9A54-9A544E5C018B}&lt;Citation&gt;&lt;Group&gt;&lt;References&gt;&lt;Item&gt;&lt;ID&gt;793&lt;/ID&gt;&lt;UID&gt;{3014967B-0053-4246-A02B-735067327F68}&lt;/UID&gt;&lt;Title&gt;Ultrasound assisted extraction combined with dispersive liquid-liquid microextraction (US-DLLME)-a fast new approach to measure phthalate metabolites in nails&lt;/Title&gt;&lt;Template&gt;Journal Article&lt;/Template&gt;&lt;Star&gt;0&lt;/Star&gt;&lt;Tag&gt;0&lt;/Tag&gt;&lt;Author&gt;Alves, Andreia; Vanermen, Guido; Covaci, Adrian; Voorspoels, Stefan&lt;/Author&gt;&lt;Year&gt;2016&lt;/Year&gt;&lt;Details&gt;&lt;_alternate_title&gt;ANALYTICAL AND BIOANALYTICAL CHEMISTRY&lt;/_alternate_title&gt;&lt;_author_adr&gt;Flemish Inst Technol Res VITO NV, Boeretang 200, B-2400 Mol, Belgium; Univ Antwerp, Toxicol Ctr, Dept Pharmaceut Sci, Univ Pl 1, B-2610 Antwerp, Belgium&lt;/_author_adr&gt;&lt;_collection_scope&gt;SCIE;EI&lt;/_collection_scope&gt;&lt;_created&gt;65177516&lt;/_created&gt;&lt;_date&gt;2016-01-01&lt;/_date&gt;&lt;_date_display&gt;2016&lt;/_date_display&gt;&lt;_doi&gt;10.1007/s00216-016-9727-1&lt;/_doi&gt;&lt;_impact_factor&gt;   4.478&lt;/_impact_factor&gt;&lt;_isbn&gt;1618-2642&lt;/_isbn&gt;&lt;_issue&gt;22&lt;/_issue&gt;&lt;_journal&gt;ANALYTICAL AND BIOANALYTICAL CHEMISTRY&lt;/_journal&gt;&lt;_modified&gt;65177516&lt;/_modified&gt;&lt;_pages&gt;6169-6180&lt;/_pages&gt;&lt;_social_category&gt;生化研究方法(3) &amp;amp; 分析化学(2)&lt;/_social_category&gt;&lt;_volume&gt;408&lt;/_volume&gt;&lt;/Details&gt;&lt;Extra&gt;&lt;DBUID&gt;{F96A950B-833F-4880-A151-76DA2D6A2879}&lt;/DBUID&gt;&lt;/Extra&gt;&lt;/Item&gt;&lt;/References&gt;&lt;/Group&gt;&lt;/Citation&gt;_x000a_"/>
    <w:docVar w:name="NE.Ref{ED171D2E-37AA-426B-96B9-ED01077234AE}" w:val=" ADDIN NE.Ref.{ED171D2E-37AA-426B-96B9-ED01077234AE}&lt;Citation&gt;&lt;Group&gt;&lt;References&gt;&lt;Item&gt;&lt;ID&gt;11510&lt;/ID&gt;&lt;UID&gt;{854353DB-9964-4F83-851B-FBEF4D24CC87}&lt;/UID&gt;&lt;Title&gt;Are nails a valuable non-invasive alternative for estimating human exposure to  phthalate esters?&lt;/Title&gt;&lt;Template&gt;Journal Article&lt;/Template&gt;&lt;Star&gt;0&lt;/Star&gt;&lt;Tag&gt;0&lt;/Tag&gt;&lt;Author&gt;Alves, A; Covaci, A; Voorspoels, S&lt;/Author&gt;&lt;Year&gt;2016&lt;/Year&gt;&lt;Details&gt;&lt;_accessed&gt;65236357&lt;/_accessed&gt;&lt;_accession_num&gt;27494538&lt;/_accession_num&gt;&lt;_author_adr&gt;Flemish Institute for Technological Research (VITO NV), Boeretang 200, 2400 Mol,  Belgium; Toxicological Centre, Department of Pharmaceutical Sciences, University  of Antwerp, Universiteitsplein 1, B-2610 Wilrijk, Belgium. Electronic address:  andreia.alves@vito.be.; Toxicological Centre, Department of Pharmaceutical Sciences, University of  Antwerp, Universiteitsplein 1, B-2610 Wilrijk, Belgium.; Flemish Institute for Technological Research (VITO NV), Boeretang 200, 2400 Mol,  Belgium.&lt;/_author_adr&gt;&lt;_collection_scope&gt;SCIE&lt;/_collection_scope&gt;&lt;_created&gt;65236328&lt;/_created&gt;&lt;_date&gt;2016-11-01&lt;/_date&gt;&lt;_date_display&gt;2016 Nov&lt;/_date_display&gt;&lt;_doi&gt;10.1016/j.envres.2016.07.023&lt;/_doi&gt;&lt;_impact_factor&gt;   8.431&lt;/_impact_factor&gt;&lt;_isbn&gt;1096-0953 (Electronic); 0013-9351 (Linking)&lt;/_isbn&gt;&lt;_journal&gt;Environ Res&lt;/_journal&gt;&lt;_keywords&gt;Human biomonitoring; Long-term exposure; Nails; Phthalate metabolites; Urine&lt;/_keywords&gt;&lt;_language&gt;eng&lt;/_language&gt;&lt;_modified&gt;65236357&lt;/_modified&gt;&lt;_ori_publication&gt;Copyright © 2016 Elsevier Inc. All rights reserved.&lt;/_ori_publication&gt;&lt;_pages&gt;184-194&lt;/_pages&gt;&lt;_social_category&gt;环境科学(2) &amp;amp; 公共卫生、环境卫生与职业卫生(2)&lt;/_social_category&gt;&lt;_subject_headings&gt;Environmental Exposure/*analysis; Esters/*analysis; Humans; Nails/*chemistry; Phthalic Acids/*analysis&lt;/_subject_headings&gt;&lt;_tertiary_title&gt;Environmental research&lt;/_tertiary_title&gt;&lt;_type_work&gt;Evaluation Study; Journal Article&lt;/_type_work&gt;&lt;_url&gt;http://www.ncbi.nlm.nih.gov/entrez/query.fcgi?cmd=Retrieve&amp;amp;db=pubmed&amp;amp;dopt=Abstract&amp;amp;list_uids=27494538&amp;amp;query_hl=1&lt;/_url&gt;&lt;_volume&gt;151&lt;/_volume&gt;&lt;/Details&gt;&lt;Extra&gt;&lt;DBUID&gt;{F96A950B-833F-4880-A151-76DA2D6A2879}&lt;/DBUID&gt;&lt;/Extra&gt;&lt;/Item&gt;&lt;/References&gt;&lt;/Group&gt;&lt;/Citation&gt;_x000a_"/>
    <w:docVar w:name="NE.Ref{F818043A-3794-48DF-9F2D-4B7CDDE8F0AB}" w:val=" ADDIN NE.Ref.{F818043A-3794-48DF-9F2D-4B7CDDE8F0AB}&lt;Citation&gt;&lt;Group&gt;&lt;References&gt;&lt;Item&gt;&lt;ID&gt;11511&lt;/ID&gt;&lt;UID&gt;{33AC7C21-6467-466B-8EC4-B9D00F800012}&lt;/UID&gt;&lt;Title&gt;Evaluation of exposure to phthalate esters and DINCH in urine and nails from a  Norwegian study population&lt;/Title&gt;&lt;Template&gt;Journal Article&lt;/Template&gt;&lt;Star&gt;0&lt;/Star&gt;&lt;Tag&gt;0&lt;/Tag&gt;&lt;Author&gt;Giovanoulis, G; Alves, A; Papadopoulou, E; Cousins, A P; Schütze, A; Koch, H M; Haug, L S; Covaci, A; Magnér, J; Voorspoels, S&lt;/Author&gt;&lt;Year&gt;2016&lt;/Year&gt;&lt;Details&gt;&lt;_accessed&gt;65236360&lt;/_accessed&gt;&lt;_accession_num&gt;27466754&lt;/_accession_num&gt;&lt;_author_adr&gt;IVL Swedish Environmental Research Institute, SE-100 31 Stockholm, Sweden;  Department of Environmental Science and Analytical Chemistry (ACES), Stockholm  University, SE-106 91 Stockholm, Sweden. Electronic address:  georgios.giovanoulis@ivl.se.; VITO NV Flemish Institute for Technological Research, Boeretang 200, 2400 Mol,  Belgium; Toxicological Center, Department of Pharmaceutical Sciences, University  of Antwerp, Universiteitplein 1, B-2610 Wilrijk, Belgium.; Domain of Infection Control and Environmental Health, Norwegian Institute of  Public Health, Lovisenberggata 8, 0477 Oslo, Norway.; IVL Swedish Environmental Research Institute, SE-100 31 Stockholm, Sweden.; Institute for Prevention and Occupational Medicine of the German Social Accident  Insurance, Institute of the Ruhr-University Bochum (IPA), Bochum, Germany.; Institute for Prevention and Occupational Medicine of the German Social Accident  Insurance, Institute of the Ruhr-University Bochum (IPA), Bochum, Germany.; Domain of Infection Control and Environmental Health, Norwegian Institute of  Public Health, Lovisenberggata 8, 0477 Oslo, Norway.; Toxicological Center, Department of Pharmaceutical Sciences, University of  Antwerp, Universiteitplein 1, B-2610 Wilrijk, Belgium.; IVL Swedish Environmental Research Institute, SE-100 31 Stockholm, Sweden.  Electronic address: jorgen.magner@ivl.se.; VITO NV Flemish Institute for Technological Research, Boeretang 200, 2400 Mol,  Belgium.&lt;/_author_adr&gt;&lt;_collection_scope&gt;SCIE&lt;/_collection_scope&gt;&lt;_created&gt;65236328&lt;/_created&gt;&lt;_date&gt;2016-11-01&lt;/_date&gt;&lt;_date_display&gt;2016 Nov&lt;/_date_display&gt;&lt;_doi&gt;10.1016/j.envres.2016.07.025&lt;/_doi&gt;&lt;_impact_factor&gt;   8.431&lt;/_impact_factor&gt;&lt;_isbn&gt;1096-0953 (Electronic); 0013-9351 (Linking)&lt;/_isbn&gt;&lt;_journal&gt;Environ Res&lt;/_journal&gt;&lt;_keywords&gt;Biomonitoring; DINCH; Nails; Phthalates; Urine&lt;/_keywords&gt;&lt;_language&gt;eng&lt;/_language&gt;&lt;_modified&gt;65236360&lt;/_modified&gt;&lt;_ori_publication&gt;Copyright © 2016 Elsevier Inc. All rights reserved.&lt;/_ori_publication&gt;&lt;_pages&gt;80-90&lt;/_pages&gt;&lt;_social_category&gt;环境科学(2) &amp;amp; 公共卫生、环境卫生与职业卫生(2)&lt;/_social_category&gt;&lt;_subject_headings&gt;Adult; Aged; Cyclohexanecarboxylic Acids/*analysis/urine; Dicarboxylic Acids/*analysis/urine; Environmental Monitoring; Environmental Pollutants/*analysis/urine; Esters; Female; Humans; Male; Middle Aged; Nails/chemistry; Norway; Phthalic Acids/*analysis/urine&lt;/_subject_headings&gt;&lt;_tertiary_title&gt;Environmental research&lt;/_tertiary_title&gt;&lt;_type_work&gt;Journal Article&lt;/_type_work&gt;&lt;_url&gt;http://www.ncbi.nlm.nih.gov/entrez/query.fcgi?cmd=Retrieve&amp;amp;db=pubmed&amp;amp;dopt=Abstract&amp;amp;list_uids=27466754&amp;amp;query_hl=1&lt;/_url&gt;&lt;_volume&gt;151&lt;/_volume&gt;&lt;/Details&gt;&lt;Extra&gt;&lt;DBUID&gt;{F96A950B-833F-4880-A151-76DA2D6A2879}&lt;/DBUID&gt;&lt;/Extra&gt;&lt;/Item&gt;&lt;/References&gt;&lt;/Group&gt;&lt;/Citation&gt;_x000a_"/>
  </w:docVars>
  <w:rsids>
    <w:rsidRoot w:val="00D0578C"/>
    <w:rsid w:val="00105760"/>
    <w:rsid w:val="00147177"/>
    <w:rsid w:val="00162E12"/>
    <w:rsid w:val="002F004B"/>
    <w:rsid w:val="003D36ED"/>
    <w:rsid w:val="004228BC"/>
    <w:rsid w:val="005C36A0"/>
    <w:rsid w:val="005D62F9"/>
    <w:rsid w:val="00611BEC"/>
    <w:rsid w:val="006C6689"/>
    <w:rsid w:val="007678FB"/>
    <w:rsid w:val="00832C75"/>
    <w:rsid w:val="008D49E7"/>
    <w:rsid w:val="00903C91"/>
    <w:rsid w:val="00912A60"/>
    <w:rsid w:val="00976767"/>
    <w:rsid w:val="00C623C9"/>
    <w:rsid w:val="00C94EF4"/>
    <w:rsid w:val="00D0578C"/>
    <w:rsid w:val="00D45A53"/>
    <w:rsid w:val="00E22CEA"/>
    <w:rsid w:val="00FD2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9741E"/>
  <w15:chartTrackingRefBased/>
  <w15:docId w15:val="{4808EA2D-05CB-4975-BF78-58FD8C6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9E7"/>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9E7"/>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8D49E7"/>
    <w:rPr>
      <w:sz w:val="18"/>
      <w:szCs w:val="18"/>
    </w:rPr>
  </w:style>
  <w:style w:type="paragraph" w:styleId="a5">
    <w:name w:val="footer"/>
    <w:basedOn w:val="a"/>
    <w:link w:val="a6"/>
    <w:uiPriority w:val="99"/>
    <w:unhideWhenUsed/>
    <w:rsid w:val="008D49E7"/>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8D49E7"/>
    <w:rPr>
      <w:sz w:val="18"/>
      <w:szCs w:val="18"/>
    </w:rPr>
  </w:style>
  <w:style w:type="character" w:styleId="a7">
    <w:name w:val="Hyperlink"/>
    <w:basedOn w:val="a0"/>
    <w:uiPriority w:val="99"/>
    <w:semiHidden/>
    <w:unhideWhenUsed/>
    <w:qFormat/>
    <w:rsid w:val="008D49E7"/>
    <w:rPr>
      <w:color w:val="0000FF"/>
      <w:u w:val="single"/>
    </w:rPr>
  </w:style>
  <w:style w:type="table" w:styleId="a8">
    <w:name w:val="Table Grid"/>
    <w:basedOn w:val="a1"/>
    <w:uiPriority w:val="39"/>
    <w:rsid w:val="008D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ofangbiao@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rp0922@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丽文 陈</dc:creator>
  <cp:keywords/>
  <dc:description/>
  <cp:lastModifiedBy>丽文 陈</cp:lastModifiedBy>
  <cp:revision>33</cp:revision>
  <dcterms:created xsi:type="dcterms:W3CDTF">2024-06-24T12:45:00Z</dcterms:created>
  <dcterms:modified xsi:type="dcterms:W3CDTF">2024-06-26T02:59:00Z</dcterms:modified>
</cp:coreProperties>
</file>