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DFF75" w14:textId="240AE77A" w:rsidR="009A52E2" w:rsidRPr="00C21C90" w:rsidRDefault="009A52E2" w:rsidP="002100A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21C90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Supplemental Material</w:t>
      </w:r>
      <w:r w:rsidR="00CF0C6A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</w:p>
    <w:p w14:paraId="7DEDE964" w14:textId="77777777" w:rsidR="009A52E2" w:rsidRPr="00C21C90" w:rsidRDefault="009A52E2" w:rsidP="002100A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B1FA2E1" w14:textId="48BBFB07" w:rsidR="009A52E2" w:rsidRPr="00C21C90" w:rsidRDefault="009A52E2" w:rsidP="002100A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21C90">
        <w:rPr>
          <w:rFonts w:ascii="Times New Roman" w:hAnsi="Times New Roman" w:cs="Times New Roman"/>
          <w:b/>
          <w:bCs/>
          <w:sz w:val="24"/>
          <w:szCs w:val="24"/>
        </w:rPr>
        <w:t>Overview of studies included in this systematic review</w:t>
      </w:r>
      <w:r w:rsidR="0027749E" w:rsidRPr="00C21C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="0015289E" w:rsidRPr="00C21C90">
        <w:rPr>
          <w:rFonts w:ascii="Times New Roman" w:hAnsi="Times New Roman" w:cs="Times New Roman"/>
          <w:b/>
          <w:bCs/>
          <w:sz w:val="24"/>
          <w:szCs w:val="24"/>
          <w:lang w:val="en-US"/>
        </w:rPr>
        <w:t>N=</w:t>
      </w:r>
      <w:r w:rsidR="00FB5F88" w:rsidRPr="00C21C90">
        <w:rPr>
          <w:rFonts w:ascii="Times New Roman" w:hAnsi="Times New Roman" w:cs="Times New Roman"/>
          <w:b/>
          <w:bCs/>
          <w:sz w:val="24"/>
          <w:szCs w:val="24"/>
          <w:lang w:val="en-US"/>
        </w:rPr>
        <w:t>60</w:t>
      </w:r>
      <w:r w:rsidR="0015289E" w:rsidRPr="00C21C90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77B86DD2" w14:textId="024D67C8" w:rsidR="009A52E2" w:rsidRPr="00C21C90" w:rsidRDefault="009A52E2" w:rsidP="002100A9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n-GB" w:eastAsia="nl-NL"/>
        </w:rPr>
      </w:pPr>
      <w:r w:rsidRPr="00C21C90">
        <w:rPr>
          <w:rFonts w:ascii="Times New Roman" w:hAnsi="Times New Roman" w:cs="Times New Roman"/>
          <w:sz w:val="24"/>
          <w:szCs w:val="24"/>
          <w:u w:val="single"/>
          <w:lang w:val="en-GB" w:eastAsia="nl-NL"/>
        </w:rPr>
        <w:t xml:space="preserve">Studies found </w:t>
      </w:r>
      <w:r w:rsidR="00737685">
        <w:rPr>
          <w:rFonts w:ascii="Times New Roman" w:hAnsi="Times New Roman" w:cs="Times New Roman"/>
          <w:sz w:val="24"/>
          <w:szCs w:val="24"/>
          <w:u w:val="single"/>
          <w:lang w:val="en-GB" w:eastAsia="nl-NL"/>
        </w:rPr>
        <w:t>through the PubMed search</w:t>
      </w:r>
      <w:r w:rsidRPr="00C21C90">
        <w:rPr>
          <w:rFonts w:ascii="Times New Roman" w:hAnsi="Times New Roman" w:cs="Times New Roman"/>
          <w:sz w:val="24"/>
          <w:szCs w:val="24"/>
          <w:u w:val="single"/>
          <w:lang w:val="en-GB" w:eastAsia="nl-NL"/>
        </w:rPr>
        <w:t xml:space="preserve"> (n=</w:t>
      </w:r>
      <w:r w:rsidR="00A45A9C" w:rsidRPr="00C21C90">
        <w:rPr>
          <w:rFonts w:ascii="Times New Roman" w:hAnsi="Times New Roman" w:cs="Times New Roman"/>
          <w:sz w:val="24"/>
          <w:szCs w:val="24"/>
          <w:u w:val="single"/>
          <w:lang w:val="en-GB" w:eastAsia="nl-NL"/>
        </w:rPr>
        <w:t>49</w:t>
      </w:r>
      <w:r w:rsidRPr="00C21C90">
        <w:rPr>
          <w:rFonts w:ascii="Times New Roman" w:hAnsi="Times New Roman" w:cs="Times New Roman"/>
          <w:sz w:val="24"/>
          <w:szCs w:val="24"/>
          <w:u w:val="single"/>
          <w:lang w:val="en-GB" w:eastAsia="nl-NL"/>
        </w:rPr>
        <w:t>)</w:t>
      </w:r>
    </w:p>
    <w:p w14:paraId="5EB9C975" w14:textId="77777777" w:rsidR="00A13A08" w:rsidRPr="00C21C90" w:rsidRDefault="00A13A08" w:rsidP="002100A9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n-GB" w:eastAsia="nl-NL"/>
        </w:rPr>
      </w:pPr>
    </w:p>
    <w:p w14:paraId="5AF0B744" w14:textId="60067902" w:rsidR="008910B6" w:rsidRPr="00B62A72" w:rsidRDefault="008910B6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Almog, S., Aharon-Peretz, J.,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Vulfsons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Ogintz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Abalia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H., Lupo, T., Hayon, Y., &amp; Eisenberg, E. (2020). The pharmacokinetics, efficacy, and safety of a novel selective-dose cannabis inhaler in patients with chronic pain: A randomized, double-blinded, placebo-controlled trial.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Pain (United Kingdom)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(8), 1505–1516. </w:t>
      </w:r>
      <w:hyperlink r:id="rId7" w:history="1">
        <w:r w:rsidR="00B62A72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https://doi.org/10.1002/ejp.1605</w:t>
        </w:r>
      </w:hyperlink>
      <w:r w:rsidR="00B62A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682A973" w14:textId="7475093F" w:rsidR="00FE467A" w:rsidRPr="00B62A72" w:rsidRDefault="00FE467A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Arkell, T. R.,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Vinckenbosch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F., Kevin, R. C., Theunissen, E. L., McGregor, I. S., &amp; Ramaekers, J. G. (2020). Effect of Cannabidiol and ?9-Tetrahydrocannabinol on Driving Performance: A Randomized Clinical Trial.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JAMA - Journal of the American Medical Association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324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(21), 2177–2186. </w:t>
      </w:r>
      <w:hyperlink r:id="rId8" w:history="1">
        <w:r w:rsidR="00B62A72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https://doi.org/10.1001/jama.2020.21218</w:t>
        </w:r>
      </w:hyperlink>
      <w:r w:rsidR="00B62A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234853C" w14:textId="58DBA32B" w:rsidR="00FE08A7" w:rsidRPr="00B62A72" w:rsidRDefault="00FE08A7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Baraldi, C., Lo Castro, F., Negro, A., Ferrari, A.,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Cainazzo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M. M.,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Pani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L., &amp;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Guerzoni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S. (2022). Oral Cannabinoid Preparations for the Treatment of Chronic Migraine: A Retrospective Study.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Pain Medicine (United States)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(2), 396–402. </w:t>
      </w:r>
      <w:hyperlink r:id="rId9" w:history="1">
        <w:r w:rsidR="00B62A72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https://doi.org/10.1093/pm/pnab245</w:t>
        </w:r>
      </w:hyperlink>
      <w:r w:rsidR="00B62A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3E82C9B" w14:textId="6EEC95E2" w:rsidR="00FE08A7" w:rsidRPr="00B62A72" w:rsidRDefault="00FE08A7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Battistella, G., Fornari, E., Thomas, A., Mall, J. F.,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Chtioui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H., Appenzeller, M., Annoni, J. M.,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Favrat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B., Maeder, P., &amp; Giroud, C. (2013). Weed or Wheel! fMRI, Behavioural, and Toxicological Investigations of How Cannabis Smoking Affects Skills Necessary for Driving. </w:t>
      </w:r>
      <w:proofErr w:type="spellStart"/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PLoS</w:t>
      </w:r>
      <w:proofErr w:type="spellEnd"/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ONE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(1). </w:t>
      </w:r>
      <w:hyperlink r:id="rId10" w:history="1">
        <w:r w:rsidR="00B62A72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https://doi.org/10.1371/journal.pone.0052545</w:t>
        </w:r>
      </w:hyperlink>
      <w:r w:rsidR="00B62A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EE7E8E6" w14:textId="3DB1AB1E" w:rsidR="00572E0F" w:rsidRPr="00B62A72" w:rsidRDefault="00572E0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Dar, S. (2021). Treating pain related to Ehlers-Danlos syndrome with medical cannabis.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BMJ Case Reports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(7). </w:t>
      </w:r>
      <w:hyperlink r:id="rId11" w:history="1">
        <w:r w:rsidR="00B62A72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https://doi.org/10.1136/bcr-2021-242568</w:t>
        </w:r>
      </w:hyperlink>
      <w:r w:rsidR="00B62A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FABFDDF" w14:textId="00ED8E80" w:rsidR="00D057CA" w:rsidRPr="0061621D" w:rsidRDefault="00D057CA" w:rsidP="00D057CA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37685">
        <w:rPr>
          <w:rFonts w:ascii="Times New Roman" w:eastAsia="Times New Roman" w:hAnsi="Times New Roman" w:cs="Times New Roman"/>
          <w:sz w:val="24"/>
          <w:szCs w:val="24"/>
          <w:lang w:val="en-US"/>
        </w:rPr>
        <w:t>de Wit, J., &amp; Vermetten, E. (2023)</w:t>
      </w:r>
      <w:r w:rsidR="00A1689F" w:rsidRPr="007376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A1689F" w:rsidRPr="00A1689F">
        <w:rPr>
          <w:rFonts w:ascii="Times New Roman" w:eastAsia="Times New Roman" w:hAnsi="Times New Roman" w:cs="Times New Roman"/>
          <w:sz w:val="24"/>
          <w:szCs w:val="24"/>
          <w:lang w:val="en-US"/>
        </w:rPr>
        <w:t>Medicinal Cannabis for Chronic Posttraumatic Stres</w:t>
      </w:r>
      <w:r w:rsidR="00A16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 Disorder in Dutch Veterans: A Health Care Evaluation. </w:t>
      </w:r>
      <w:r w:rsidR="0061621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Medical Research Archives, </w:t>
      </w:r>
      <w:r w:rsidR="006162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11(11). </w:t>
      </w:r>
      <w:r w:rsidR="00A1689F" w:rsidRPr="00A16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OPEN ACCESS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. (2023). </w:t>
      </w:r>
      <w:hyperlink r:id="rId12" w:history="1">
        <w:r w:rsidR="0061621D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https://doi.org/10.18103/m</w:t>
        </w:r>
      </w:hyperlink>
      <w:r w:rsidR="006162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0F78BA2" w14:textId="2CB019F6" w:rsidR="00572E0F" w:rsidRPr="00B62A72" w:rsidRDefault="00572E0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Eisenberg, E.,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Ogintz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M., &amp; Almog, S. (2014). The pharmacokinetics, efficacy, safety, and ease of use of a novel portable metered-dose cannabis inhaler in patients with chronic neuropathic pain: A phase 1a study.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Pain and Palliative Care Pharmacotherapy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(3), 216–225. </w:t>
      </w:r>
      <w:hyperlink r:id="rId13" w:history="1">
        <w:r w:rsidR="00B62A72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https://doi.org/10.3109/15360288.2014.941130</w:t>
        </w:r>
      </w:hyperlink>
      <w:r w:rsidR="00B62A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3B4B293" w14:textId="65B8C1E1" w:rsidR="00572E0F" w:rsidRPr="00B62A72" w:rsidRDefault="00572E0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Engels, F. K., de Jong, F. A.,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Sparreboom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A., Mathot, R. A. A., Loos, W. J.,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Kitzen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J. J. E. M., de Bruijn, P., Verweij, J., &amp;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Mathijssen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R. H. J. (2007). Medicinal Cannabis Does Not Influence the Clinical Pharmacokinetics of Irinotecan and Docetaxel.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The Oncologist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(3), 291–300. </w:t>
      </w:r>
      <w:hyperlink r:id="rId14" w:history="1">
        <w:r w:rsidR="00B62A72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https://doi.org/10.1634/theoncologist.12-3-291</w:t>
        </w:r>
      </w:hyperlink>
      <w:r w:rsidR="00B62A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6337A63" w14:textId="55ECAFFA" w:rsidR="00572E0F" w:rsidRPr="00CF0C6A" w:rsidRDefault="00572E0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Englund, A., Oliver, D., Chesney, E., Chester, L., Wilson, J.,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Sovi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S., De Micheli, A.,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Hodsoll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Fusar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-Poli, P., Strang, J., Murray, R. M., Freeman, T. P., &amp; McGuire, P. (2023). Does cannabidiol make cannabis safer? A randomised, double-blind, cross-over trial of cannabis with four different CBD:THC ratios.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Neuropsychopharmacology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(6), 869–876. </w:t>
      </w:r>
      <w:hyperlink r:id="rId15" w:history="1">
        <w:r w:rsidR="00B62A72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https://doi.org/10.1038/s41386-022-01478-z</w:t>
        </w:r>
      </w:hyperlink>
      <w:r w:rsidR="00B62A72" w:rsidRPr="00CF0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EAD84A" w14:textId="37F4EF22" w:rsidR="00572E0F" w:rsidRPr="00B62A72" w:rsidRDefault="00572E0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Fabritius, M.,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Chtioui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H., Battistella, G., Annoni, J. M., Dao, K.,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Favrat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B., Fornari, E., Lauer, E., Maeder, P., &amp; Giroud, C. (2013). Comparison of cannabinoid concentrations in oral fluid and whole blood between occasional and regular cannabis smokers prior to and after smoking a cannabis joint.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Analytical and Bioanalytical Chemistry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405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(30), 9791–9803. </w:t>
      </w:r>
      <w:hyperlink r:id="rId16" w:history="1">
        <w:r w:rsidR="00B62A72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https://doi.org/10.1007/s00216-013-7412-1</w:t>
        </w:r>
      </w:hyperlink>
      <w:r w:rsidR="00B62A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F789527" w14:textId="01C50F47" w:rsidR="00572E0F" w:rsidRPr="00737685" w:rsidRDefault="00572E0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Freeman, A. M.,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Mokrysz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C., Hindocha, C., Lawn, W., Morgan, C. J. A., Freeman, T. P., Saunders, R., &amp; Curran, H. V. (2021). Does variation in trait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schizotypy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 and frequency of cannabis use influence the acute subjective, cognitive and psychotomimetic effects of delta-9-tetrahydrocannabinol? A mega-analysis.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Psychopharmacology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(7), 804–813. </w:t>
      </w:r>
      <w:hyperlink r:id="rId17" w:history="1">
        <w:r w:rsidR="00B62A72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https://doi.org/10.1177/0269881120959601</w:t>
        </w:r>
      </w:hyperlink>
      <w:r w:rsidR="00B62A72" w:rsidRPr="00737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FEE62F" w14:textId="1178409C" w:rsidR="00572E0F" w:rsidRPr="00C21C90" w:rsidRDefault="007A36C0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685">
        <w:rPr>
          <w:rFonts w:ascii="Times New Roman" w:eastAsia="Times New Roman" w:hAnsi="Times New Roman" w:cs="Times New Roman"/>
          <w:sz w:val="24"/>
          <w:szCs w:val="24"/>
        </w:rPr>
        <w:t>Giorgi, V</w:t>
      </w:r>
      <w:r w:rsidR="0047329A" w:rsidRPr="00737685">
        <w:rPr>
          <w:rFonts w:ascii="Times New Roman" w:eastAsia="Times New Roman" w:hAnsi="Times New Roman" w:cs="Times New Roman"/>
          <w:sz w:val="24"/>
          <w:szCs w:val="24"/>
        </w:rPr>
        <w:t xml:space="preserve">., Bongiovanni, S., Atzeni, F., Marotto, D., </w:t>
      </w:r>
      <w:proofErr w:type="spellStart"/>
      <w:r w:rsidR="0047329A" w:rsidRPr="00737685">
        <w:rPr>
          <w:rFonts w:ascii="Times New Roman" w:eastAsia="Times New Roman" w:hAnsi="Times New Roman" w:cs="Times New Roman"/>
          <w:sz w:val="24"/>
          <w:szCs w:val="24"/>
        </w:rPr>
        <w:t>Salaffi</w:t>
      </w:r>
      <w:proofErr w:type="spellEnd"/>
      <w:r w:rsidR="0047329A" w:rsidRPr="00737685">
        <w:rPr>
          <w:rFonts w:ascii="Times New Roman" w:eastAsia="Times New Roman" w:hAnsi="Times New Roman" w:cs="Times New Roman"/>
          <w:sz w:val="24"/>
          <w:szCs w:val="24"/>
        </w:rPr>
        <w:t>, F</w:t>
      </w:r>
      <w:r w:rsidR="00CD2B61" w:rsidRPr="00737685">
        <w:rPr>
          <w:rFonts w:ascii="Times New Roman" w:eastAsia="Times New Roman" w:hAnsi="Times New Roman" w:cs="Times New Roman"/>
          <w:sz w:val="24"/>
          <w:szCs w:val="24"/>
        </w:rPr>
        <w:t xml:space="preserve">., &amp; </w:t>
      </w:r>
      <w:proofErr w:type="spellStart"/>
      <w:r w:rsidR="00CD2B61" w:rsidRPr="00737685">
        <w:rPr>
          <w:rFonts w:ascii="Times New Roman" w:eastAsia="Times New Roman" w:hAnsi="Times New Roman" w:cs="Times New Roman"/>
          <w:sz w:val="24"/>
          <w:szCs w:val="24"/>
        </w:rPr>
        <w:t>Sarzi-Puttini</w:t>
      </w:r>
      <w:proofErr w:type="spellEnd"/>
      <w:r w:rsidR="00CD2B61" w:rsidRPr="00737685">
        <w:rPr>
          <w:rFonts w:ascii="Times New Roman" w:eastAsia="Times New Roman" w:hAnsi="Times New Roman" w:cs="Times New Roman"/>
          <w:sz w:val="24"/>
          <w:szCs w:val="24"/>
        </w:rPr>
        <w:t xml:space="preserve">, P. (2020). </w:t>
      </w:r>
      <w:r w:rsidR="00CD2B61">
        <w:rPr>
          <w:rFonts w:ascii="Times New Roman" w:eastAsia="Times New Roman" w:hAnsi="Times New Roman" w:cs="Times New Roman"/>
          <w:sz w:val="24"/>
          <w:szCs w:val="24"/>
          <w:lang w:val="en-US"/>
        </w:rPr>
        <w:t>Adding medical cannabis to standard analgesic treatment</w:t>
      </w:r>
      <w:r w:rsidR="00A079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fibromyalgia: a prospective observational study. </w:t>
      </w:r>
      <w:r w:rsidR="00572E0F"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and Experimental Rheumatology</w:t>
      </w:r>
      <w:r w:rsidR="0061621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4543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5437D" w:rsidRPr="004543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38 Suppl 123(1):53-59. </w:t>
      </w:r>
      <w:proofErr w:type="spellStart"/>
      <w:r w:rsidR="0045437D" w:rsidRPr="0045437D">
        <w:rPr>
          <w:rFonts w:ascii="Times New Roman" w:eastAsia="Times New Roman" w:hAnsi="Times New Roman" w:cs="Times New Roman"/>
          <w:sz w:val="24"/>
          <w:szCs w:val="24"/>
          <w:lang w:val="en-US"/>
        </w:rPr>
        <w:t>Epub</w:t>
      </w:r>
      <w:proofErr w:type="spellEnd"/>
      <w:r w:rsidR="0045437D" w:rsidRPr="004543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2020 Feb 5. PMID: 32116208</w:t>
      </w:r>
      <w:r w:rsidR="00D0636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572E0F" w:rsidRPr="00C21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D1A45D" w14:textId="40679445" w:rsidR="00572E0F" w:rsidRPr="00CF0C6A" w:rsidRDefault="00572E0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Hunault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C. C., Böcker, K. B. E., Stellato, R. K.,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Kenemans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J. L., De Vries, I., &amp;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Meulenbelt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J. (2014). Acute subjective effects after smoking joints containing up to 69 mg Δ9-tetrahydrocannabinol in recreational users: A randomized, crossover clinical trial.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Psychopharmacology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231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(24), 4723–4733. </w:t>
      </w:r>
      <w:hyperlink r:id="rId18" w:history="1">
        <w:r w:rsidR="003A36BB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https://doi.org/10.1007/s00213-014-3630-2</w:t>
        </w:r>
      </w:hyperlink>
      <w:r w:rsidR="003A36BB" w:rsidRPr="00CF0C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14:paraId="359B7767" w14:textId="79EF71D6" w:rsidR="00572E0F" w:rsidRPr="00CF0C6A" w:rsidRDefault="00572E0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Hunault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C. C.,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Mensinga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T. T., Böcker, K. B. E., Schipper, C. M. A.,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Kruidenier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M., Leenders, M. E. C., De Vries, I., &amp;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Meulenbelt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J. (2009). Cognitive and psychomotor effects in males after smoking a combination of tobacco and cannabis containing up to 69 mg delta-9-tetrahydrocannabinol (THC).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Psychopharmacology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204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(1), 85–94. </w:t>
      </w:r>
      <w:hyperlink r:id="rId19" w:history="1">
        <w:r w:rsidR="003A36BB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https://doi.org/10.1007/s00213-008-1440-0</w:t>
        </w:r>
      </w:hyperlink>
      <w:r w:rsidR="003A36BB" w:rsidRPr="00CF0C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14:paraId="28406863" w14:textId="4FC4ED38" w:rsidR="00572E0F" w:rsidRPr="00737685" w:rsidRDefault="00572E0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Hunault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C. C.,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Mensinga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T. T., De Vries, I.,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Kelholt-Dijkman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H. H., Hoek, J.,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Kruidenier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M., Leenders, M. E. C., &amp;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Meulenbelt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J. (2008). Delta-9-tetrahydrocannabinol (THC) serum concentrations and pharmacological effects in males after smoking a combination of tobacco and cannabis containing up to 69 mg THC.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Psychopharmacology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201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(2), 171–181. </w:t>
      </w:r>
      <w:hyperlink r:id="rId20" w:history="1">
        <w:r w:rsidR="003A36BB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https://doi.org/10.1007/s00213-008-1260-2</w:t>
        </w:r>
      </w:hyperlink>
      <w:r w:rsidR="003A36BB" w:rsidRPr="00737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861B44" w14:textId="2119C96A" w:rsidR="00572E0F" w:rsidRPr="00CF0C6A" w:rsidRDefault="00572E0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Hutten, N. R. P. W., Arkell, T. R.,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Vinckenbosch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F., Schepers, J., Kevin, R. C., Theunissen, E. L., Kuypers, K. P. C., McGregor, I. S., &amp; Ramaekers, J. G. (2022). Cannabis containing equivalent concentrations of delta-9-tetrahydrocannabinol (THC) and cannabidiol (CBD) induces less state anxiety than THC-dominant cannabis.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Psychopharmacology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239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(11), 3731–3741. </w:t>
      </w:r>
      <w:hyperlink r:id="rId21" w:history="1">
        <w:r w:rsidR="003A36BB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https://doi.org/10.1007/s00213-022-06248-9</w:t>
        </w:r>
      </w:hyperlink>
      <w:r w:rsidR="003A36BB" w:rsidRPr="00CF0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D0F172" w14:textId="0B5BC209" w:rsidR="00572E0F" w:rsidRPr="00CF0C6A" w:rsidRDefault="00572E0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Jakubovski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E., &amp; Müller-Vahl, K. (2017). Speechlessness in Gilles de la Tourette Syndrome: Cannabis-based medicines improve severe vocal blocking tics in two patients.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Molecular Sciences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(8). </w:t>
      </w:r>
      <w:hyperlink r:id="rId22" w:history="1">
        <w:r w:rsidR="003A36BB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https://doi.org/10.3390/ijms18081739</w:t>
        </w:r>
      </w:hyperlink>
      <w:r w:rsidR="003A36BB" w:rsidRPr="00CF0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CB7211" w14:textId="1BEBC263" w:rsidR="00572E0F" w:rsidRPr="003A36BB" w:rsidRDefault="00572E0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Kloft, L.,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Otgaar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H., Blokland, A., Monds, L. A.,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Toennes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S. W., Loftus, E. F., &amp; Ramaekers, J. G. (2020).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Cannabis increases susceptibility to false memory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117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(9), 4585–4589. </w:t>
      </w:r>
      <w:hyperlink r:id="rId23" w:history="1">
        <w:r w:rsidR="003A36BB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https://doi.org/10.1073/pnas.1920162117/-/DCSupplemental</w:t>
        </w:r>
      </w:hyperlink>
      <w:r w:rsidR="003A36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9E3ACDF" w14:textId="679AD042" w:rsidR="00572E0F" w:rsidRPr="00CF0C6A" w:rsidRDefault="00572E0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Kowal, M. A., Hazekamp, A.,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Colzato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L. S., Van Steenbergen, H., Van Der Wee, N. J. A., Durieux, J., Manai, M., &amp; Hommel, B. (2015). Cannabis and creativity: Highly potent cannabis impairs divergent thinking in regular cannabis users.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Psychopharmacology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232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(6), 1123–1134. </w:t>
      </w:r>
      <w:hyperlink r:id="rId24" w:history="1">
        <w:r w:rsidR="003A36BB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https://doi.org/10.1007/s00213-014-3749-1</w:t>
        </w:r>
      </w:hyperlink>
      <w:r w:rsidR="003A36BB" w:rsidRPr="00CF0C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14:paraId="0E6BD7C8" w14:textId="38A17B5A" w:rsidR="00572E0F" w:rsidRPr="00737685" w:rsidRDefault="00572E0F" w:rsidP="003A36BB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Kowal, M. A., van Steenbergen, H.,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Colzato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L. S., Hazekamp, A., van der Wee, N. J. A., Manai, M., Durieux, J., &amp; Hommel, B. (2015). Dose-dependent effects of cannabis on the neural correlates of error monitoring in frequent cannabis users.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Neuropsychopharmacology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(11), 1943–1953. </w:t>
      </w:r>
      <w:hyperlink r:id="rId25" w:history="1">
        <w:r w:rsidR="003A36BB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https://doi.org/10.1016/j.euroneuro.2015.08.001</w:t>
        </w:r>
      </w:hyperlink>
      <w:r w:rsidR="003A36BB" w:rsidRPr="00737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AC4623" w14:textId="77777777" w:rsidR="003A36BB" w:rsidRDefault="003A36BB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41D54B" w14:textId="4F2E5F95" w:rsidR="00572E0F" w:rsidRPr="00CF0C6A" w:rsidRDefault="00572E0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Lawn, W., Freeman, T. P., Pope, R. A., Joye, A., Harvey, L., Hindocha, C.,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Mokrysz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>, C., Moss, A., Wall, M. B., Bloomfield, M. A., Das, R. K., Morgan, C. J., Nutt, D. J., &amp; Curran, H. V. (2016). Acute and chronic effects of cannabinoids on effort-related decision-making and reward learning: an evaluation of the cannabis ‘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amotivational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’ hypotheses.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Psychopharmacology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233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(19–20), 3537–3552. </w:t>
      </w:r>
      <w:hyperlink r:id="rId26" w:history="1">
        <w:r w:rsidR="003A36BB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https://doi.org/10.1007/s00213-016-4383-x</w:t>
        </w:r>
      </w:hyperlink>
      <w:r w:rsidR="003A36BB" w:rsidRPr="00CF0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A07C95" w14:textId="7966AF13" w:rsidR="00572E0F" w:rsidRPr="00CF0C6A" w:rsidRDefault="00572E0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Lawn, W.,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Trinci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K.,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Mokrysz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C.,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Borissova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A., Ofori, S., Petrilli, K., Bloomfield, M., Haniff, Z. R., Hall, D., Fernandez-Vinson, N., Wang, S., Englund, A., Chesney, E., Wall, M. B., Freeman, T. P., &amp; Curran, H. V. (2023). The acute effects of cannabis with and without cannabidiol in adults and adolescents: A randomised, double-blind, placebo-controlled, crossover experiment.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Addiction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118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(7), 1282–1294. </w:t>
      </w:r>
      <w:hyperlink r:id="rId27" w:history="1">
        <w:r w:rsidR="003A36BB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https://doi.org/10.1111/add.16154</w:t>
        </w:r>
      </w:hyperlink>
      <w:r w:rsidR="003A36BB" w:rsidRPr="00CF0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65E597" w14:textId="2B73D323" w:rsidR="00572E0F" w:rsidRPr="00CF0C6A" w:rsidRDefault="00572E0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Mason, N. L., Theunissen, E. L., Hutten, N. R. P. W.,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Tse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D. H. Y.,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Toennes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S. W., Jansen, J. F. A., Stiers, P., &amp; Ramaekers, J. G. (2021). Reduced responsiveness of the reward system is associated with tolerance to cannabis impairment in chronic users.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Addiction Biology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(1). </w:t>
      </w:r>
      <w:hyperlink r:id="rId28" w:history="1">
        <w:r w:rsidR="00D06366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https://doi.org/10.1111/adb.12870</w:t>
        </w:r>
      </w:hyperlink>
      <w:r w:rsidR="00D06366" w:rsidRPr="00CF0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259032" w14:textId="3846DC1D" w:rsidR="00572E0F" w:rsidRPr="00737685" w:rsidRDefault="00572E0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Mason, N. L., Theunissen, E. L., Hutten, N. R. P. W.,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Tse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D. H. Y.,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Toennes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S. W., Stiers, P., &amp; Ramaekers, J. G. (2019). Cannabis induced increase in striatal glutamate associated with loss of functional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corticostriatal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 connectivity.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Neuropsychopharmacology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(2), 247–256. </w:t>
      </w:r>
      <w:hyperlink r:id="rId29" w:history="1">
        <w:r w:rsidR="00D06366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https://doi.org/10.1016/j.euroneuro.2018.12.003</w:t>
        </w:r>
      </w:hyperlink>
      <w:r w:rsidR="00D06366" w:rsidRPr="00737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6D1B7A" w14:textId="7D205AF7" w:rsidR="00A223DE" w:rsidRPr="00D06366" w:rsidRDefault="00A223DE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Mokrysz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C., Freeman, T. P.,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Korkki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S., Griffiths, K., &amp; Curran, H. V. (2016). Are adolescents more vulnerable to the harmful effects of cannabis than adults? A placebo-controlled study in human males.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Translational Psychiatry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(11). </w:t>
      </w:r>
      <w:hyperlink r:id="rId30" w:history="1">
        <w:r w:rsidR="00D06366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https://doi.org/10.1038/tp.2016.225</w:t>
        </w:r>
      </w:hyperlink>
      <w:r w:rsidR="00D063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7C404F1" w14:textId="344F1285" w:rsidR="00A223DE" w:rsidRDefault="00A223DE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Mokrysz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C., Shaban, N. D. C., Freeman, T. P., Lawn, W., Pope, R. A., Hindocha, C., Freeman, A., Wall, M. B., Bloomfield, M. A. P., Morgan, C. J. A., Nutt, D. J., &amp; Curran, H. V. (2021). Acute effects of cannabis on speech illusions and psychotic-like symptoms: two studies testing the moderating effects of cannabidiol and adolescence.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 Medicine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(12), 2134–2142. </w:t>
      </w:r>
      <w:hyperlink r:id="rId31" w:history="1">
        <w:r w:rsidR="00A3086A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https://doi.org/10.1017/S0033291720001038</w:t>
        </w:r>
      </w:hyperlink>
    </w:p>
    <w:p w14:paraId="4E7F79EB" w14:textId="71D6A102" w:rsidR="00A3086A" w:rsidRPr="00C21C90" w:rsidRDefault="00F86423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Nunnari, P.,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Ladiana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N., Ceccarelli, G.,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Notato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P. (2022)</w:t>
      </w:r>
      <w:r w:rsidR="00E90A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A3086A" w:rsidRPr="00E90AFD">
        <w:rPr>
          <w:rFonts w:ascii="Times New Roman" w:eastAsia="Times New Roman" w:hAnsi="Times New Roman" w:cs="Times New Roman"/>
          <w:sz w:val="24"/>
          <w:szCs w:val="24"/>
        </w:rPr>
        <w:t>Long-term Cannabis-based oil therapy and pain medications prescribing patterns: an Italian observational study.</w:t>
      </w:r>
      <w:r w:rsidR="00E90A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90AFD" w:rsidRPr="00E90AF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European Review for Medical and Pharmacological Sciences</w:t>
      </w:r>
      <w:r w:rsidR="00B663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B66359" w:rsidRPr="00B66359">
        <w:rPr>
          <w:rFonts w:ascii="Times New Roman" w:eastAsia="Times New Roman" w:hAnsi="Times New Roman" w:cs="Times New Roman"/>
          <w:sz w:val="24"/>
          <w:szCs w:val="24"/>
          <w:lang w:val="en-US"/>
        </w:rPr>
        <w:t>26: 1224-1234</w:t>
      </w:r>
      <w:r w:rsidR="00B6635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D063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FA93F88" w14:textId="1864F0F4" w:rsidR="008B0B3F" w:rsidRPr="00D06366" w:rsidRDefault="008B0B3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Palmieri, B., Laurino, C., &amp;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Vadalà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M. (2019). Spontaneous, anecdotal, retrospective, open-label study on the efficacy, safety and tolerability of cannabis galenical preparation (Bedrocan).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Pharmacy Practice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(3), 264–270. </w:t>
      </w:r>
      <w:hyperlink r:id="rId32" w:history="1">
        <w:r w:rsidR="00D06366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https://doi.org/10.1111/ijpp.12514</w:t>
        </w:r>
      </w:hyperlink>
      <w:r w:rsidR="00D063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AF705BF" w14:textId="7BF32A02" w:rsidR="008B0B3F" w:rsidRPr="00D06366" w:rsidRDefault="008B0B3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Palmieri, B., &amp;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Vadalà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M. (2023). Oral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thc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cbd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 cannabis extract in main symptoms of Alzheimer disease: agitation and weight loss. </w:t>
      </w:r>
      <w:proofErr w:type="spellStart"/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Clinica</w:t>
      </w:r>
      <w:proofErr w:type="spellEnd"/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Terapeutica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174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(1), 53–60. </w:t>
      </w:r>
      <w:hyperlink r:id="rId33" w:history="1">
        <w:r w:rsidR="00D06366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https://doi.org/10.7417/CT.2023.2497</w:t>
        </w:r>
      </w:hyperlink>
      <w:r w:rsidR="00D063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1A432D9" w14:textId="2157DC3F" w:rsidR="008B0B3F" w:rsidRPr="00737685" w:rsidRDefault="008B0B3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Pane, C., &amp;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Saccà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F. (2020). The use of medical grade cannabis in Italy for drug-resistant epilepsy: a case series.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Neurological Sciences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(3), 695–698. </w:t>
      </w:r>
      <w:hyperlink r:id="rId34" w:history="1">
        <w:r w:rsidR="00D06366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https://doi.org/10.1007/s10072-019-04162-1</w:t>
        </w:r>
      </w:hyperlink>
      <w:r w:rsidR="00D06366" w:rsidRPr="0073768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533F8D17" w14:textId="7E6E6F15" w:rsidR="008B0B3F" w:rsidRPr="00737685" w:rsidRDefault="008B0B3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Poli, P., Crestani, F., Salvadori, C., Valenti, I., &amp; Sannino, C. (2018). Medical cannabis in patients with chronic pain: Effect on pain relief, pain disability, and psychological aspects. A prospective non randomized single arm clinical trial. </w:t>
      </w:r>
      <w:proofErr w:type="spellStart"/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Clinica</w:t>
      </w:r>
      <w:proofErr w:type="spellEnd"/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Terapeutica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169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(3), E102–E107. </w:t>
      </w:r>
      <w:hyperlink r:id="rId35" w:history="1">
        <w:r w:rsidR="00D06366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https://doi.org/10.7417/T.2018.2062</w:t>
        </w:r>
      </w:hyperlink>
      <w:r w:rsidR="00D06366" w:rsidRPr="007376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8149887" w14:textId="59C783FE" w:rsidR="008B0B3F" w:rsidRPr="00CF0C6A" w:rsidRDefault="008B0B3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Ramaekers, J. G., Kauert, G., Theunissen, E. L.,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Toennes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S. W., &amp; Moeller, M. R. (2009). Neurocognitive performance during acute THC intoxication in heavy and occasional cannabis users.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Psychopharmacology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(3), 266–277. </w:t>
      </w:r>
      <w:hyperlink r:id="rId36" w:history="1">
        <w:r w:rsidR="00D06366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https://doi.org/10.1177/0269881108092393</w:t>
        </w:r>
      </w:hyperlink>
      <w:r w:rsidR="00D06366" w:rsidRPr="00CF0C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14:paraId="592C3F78" w14:textId="62E325B3" w:rsidR="008B0B3F" w:rsidRPr="00CF0C6A" w:rsidRDefault="008B0B3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Ramaekers, J. G., Kauert, G., Van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Ruitenbeek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P., Theunissen, E. L., Schneider, E., &amp; Moeller, M. R. (2006). High-potency marijuana impairs executive function and inhibitory motor control.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Neuropsychopharmacology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(10), 2296–2303. </w:t>
      </w:r>
      <w:hyperlink r:id="rId37" w:history="1">
        <w:r w:rsidR="00D06366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https://doi.org/10.1038/sj.npp.1301068</w:t>
        </w:r>
      </w:hyperlink>
      <w:r w:rsidR="00D06366" w:rsidRPr="00CF0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8BC2ED" w14:textId="4696347E" w:rsidR="008B0B3F" w:rsidRPr="00CF0C6A" w:rsidRDefault="008B0B3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Ramaekers, J. G., Mason, N. L.,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Toennes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S. W., Theunissen, E. L., &amp; Amico, E. (2022). Functional brain connectomes reflect acute and chronic cannabis use.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Scientific Reports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(1). </w:t>
      </w:r>
      <w:hyperlink r:id="rId38" w:history="1">
        <w:r w:rsidR="00D06366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https://doi.org/10.1038/s41598-022-06509-9</w:t>
        </w:r>
      </w:hyperlink>
      <w:r w:rsidR="00D06366" w:rsidRPr="00CF0C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14:paraId="39C1B9E4" w14:textId="0961F829" w:rsidR="008B0B3F" w:rsidRPr="00CF0C6A" w:rsidRDefault="008B0B3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Ramaekers, J. G., Moeller, M. R., van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Ruitenbeek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P., Theunissen, E. L., Schneider, E., &amp; Kauert, G. (2006). Cognition and motor control as a function of Δ9-THC concentration in serum and oral fluid: Limits of impairment.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Drug and Alcohol Dependence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(2), 114–122. </w:t>
      </w:r>
      <w:hyperlink r:id="rId39" w:history="1">
        <w:r w:rsidR="00D06366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https://doi.org/10.1016/j.drugalcdep.2006.03.015</w:t>
        </w:r>
      </w:hyperlink>
      <w:r w:rsidR="00D06366" w:rsidRPr="00CF0C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14:paraId="580537B8" w14:textId="5DF2B60B" w:rsidR="008B0B3F" w:rsidRPr="00737685" w:rsidRDefault="008B0B3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Ramaekers, J. G., Theunissen, E. L., De Brouwer, M.,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Toennes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S. W., Moeller, M. R., &amp; Kauert, G. (2011). Tolerance and cross-tolerance to neurocognitive effects of THC and alcohol in heavy cannabis users.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Psychopharmacology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214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(2), 391–401. </w:t>
      </w:r>
      <w:hyperlink r:id="rId40" w:history="1">
        <w:r w:rsidR="00D06366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https://doi.org/10.1007/s00213-010-2042-1</w:t>
        </w:r>
      </w:hyperlink>
      <w:r w:rsidR="00D06366" w:rsidRPr="00737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376A27" w14:textId="52C0F330" w:rsidR="008B0B3F" w:rsidRPr="00737685" w:rsidRDefault="008B0B3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Saccà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F., Pane, C., Carotenuto, A., Massarelli, M., Lanzillo, R., Florio, E. B., &amp; Brescia Morra, V. (2016). The use of medical-grade cannabis in patients non-responders to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Nabiximols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Neurological Sciences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 (Vol. 368, pp. 349–351). Elsevier B.V. </w:t>
      </w:r>
      <w:hyperlink r:id="rId41" w:history="1">
        <w:r w:rsidR="00D06366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https://doi.org/10.1016/j.jns.2016.07.059</w:t>
        </w:r>
      </w:hyperlink>
      <w:r w:rsidR="00D06366" w:rsidRPr="00737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F051FA" w14:textId="0F3D4263" w:rsidR="008B0B3F" w:rsidRPr="00D06366" w:rsidRDefault="008B0B3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Skumlien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M., Freeman, T. P., Hall, D.,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Mokrysz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C., Wall, M. B., Ofori, S., Petrilli, K.,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Trinci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K.,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Borissova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A., Fernandez-Vinson, N., Langley, C., Sahakian, B. J., Curran, H. V., &amp; Lawn, W. (2023). The Effects of Acute Cannabis With and Without Cannabidiol on Neural Reward Anticipation in Adults and Adolescents.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Biological Psychiatry: Cognitive Neuroscience and Neuroimaging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(2), 219–229. </w:t>
      </w:r>
      <w:hyperlink r:id="rId42" w:history="1">
        <w:r w:rsidR="00D06366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https://doi.org/10.1016/j.bpsc.2022.10.004</w:t>
        </w:r>
      </w:hyperlink>
      <w:r w:rsidR="00D063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985CEAB" w14:textId="7A225090" w:rsidR="008B0B3F" w:rsidRPr="00CF0C6A" w:rsidRDefault="008B0B3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Spronk, D. B., De Bruijn, E. R. A., van Wel, J. H. P., Ramaekers, J. G., &amp;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Verkes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R. J. (2016). Acute effects of cocaine and cannabis on response inhibition in humans: an ERP investigation.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Addiction Biology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(6), 1186–1198. </w:t>
      </w:r>
      <w:hyperlink r:id="rId43" w:history="1">
        <w:r w:rsidR="00D06366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https://doi.org/10.1111/adb.12274</w:t>
        </w:r>
      </w:hyperlink>
      <w:r w:rsidR="00D06366" w:rsidRPr="00CF0C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14:paraId="7D5650DB" w14:textId="69EA9488" w:rsidR="008B0B3F" w:rsidRPr="00CF0C6A" w:rsidRDefault="008B0B3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Spronk, D. B., Van Der Schaaf, M. E., Cools, R., De Bruijn, E. R. A., Franke, B., Van Wel, J. H. P., Ramaekers, J. G., &amp;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Verkes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R. J. (2016). Acute effects of cocaine and cannabis on reversal learning as a function of COMT and DRD2 genotype.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Psychopharmacology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233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(2), 199–211. </w:t>
      </w:r>
      <w:hyperlink r:id="rId44" w:history="1">
        <w:r w:rsidR="00D06366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https://doi.org/10.1007/s00213-015-4141-5</w:t>
        </w:r>
      </w:hyperlink>
      <w:r w:rsidR="00D06366" w:rsidRPr="00CF0C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14:paraId="7368E07C" w14:textId="5867CF44" w:rsidR="008B0B3F" w:rsidRPr="00737685" w:rsidRDefault="008B0B3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Spronk, D. B.,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Verkes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R. J., Cools, R., Franke, B., Van Wel, J. H. P., Ramaekers, J. G., &amp; De Bruijn, E. R. A. (2016). Opposite effects of cannabis and cocaine on performance monitoring.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Neuropsychopharmacology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(7), 1127–1139. </w:t>
      </w:r>
      <w:hyperlink r:id="rId45" w:history="1">
        <w:r w:rsidR="00D06366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https://doi.org/10.1016/j.euroneuro.2016.03.015</w:t>
        </w:r>
      </w:hyperlink>
      <w:r w:rsidR="00D06366" w:rsidRPr="007376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978E9DD" w14:textId="5D444984" w:rsidR="008B0B3F" w:rsidRPr="00737685" w:rsidRDefault="008B0B3F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Szejko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N., Fremer, C., Baacke, F., Ptok, M., &amp; Müller-Vahl, K. R. (2021). Cannabis Improves Stuttering: Case Report and Interview with the Patient. In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Cannabis and Cannabinoid Research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 (Vol. 6, Issue 5, pp. 372–380). Mary Ann Liebert Inc. </w:t>
      </w:r>
      <w:hyperlink r:id="rId46" w:history="1">
        <w:r w:rsidR="00D06366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https://doi.org/10.1089/can.2021.0060</w:t>
        </w:r>
      </w:hyperlink>
      <w:r w:rsidR="00D06366" w:rsidRPr="0073768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14:paraId="7AE966B7" w14:textId="77777777" w:rsidR="00D06366" w:rsidRPr="00737685" w:rsidRDefault="00D06366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1A3F97F" w14:textId="286525AC" w:rsidR="005E083E" w:rsidRPr="00CF0C6A" w:rsidRDefault="005E083E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Tank, A., Tietz, T.,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Daldrup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T., Schwender, H., Hellen, F., Ritz-Timme, S., &amp; Hartung, B. (2019). On the impact of cannabis consumption on traffic safety: a driving simulator study with habitual cannabis consumers.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Legal Medicine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133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(5), 1411–1420. </w:t>
      </w:r>
      <w:hyperlink r:id="rId47" w:history="1">
        <w:r w:rsidR="00D06366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https://doi.org/10.1007/s00414-019-02006-3</w:t>
        </w:r>
      </w:hyperlink>
      <w:r w:rsidR="00D06366" w:rsidRPr="00CF0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A74631" w14:textId="143BC41C" w:rsidR="005E083E" w:rsidRPr="00CF0C6A" w:rsidRDefault="005E083E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Theunissen, E. L., Heckman, P., De Sousa Fernandes Perna, E. B., Kuypers, K. P. C.,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Sambeth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A., Blokland, A.,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Prickaerts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Toennes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S. W., &amp; Ramaekers, J. G. (2015). Rivastigmine but not vardenafil reverses cannabis-induced impairment of verbal memory in healthy humans.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Psychopharmacology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232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(2), 343–353. </w:t>
      </w:r>
      <w:hyperlink r:id="rId48" w:history="1">
        <w:r w:rsidR="00D06366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https://doi.org/10.1007/s00213-014-3667-2</w:t>
        </w:r>
      </w:hyperlink>
      <w:r w:rsidR="00D06366" w:rsidRPr="00CF0C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14:paraId="0E3CA377" w14:textId="2A04C52B" w:rsidR="005E083E" w:rsidRPr="00CF0C6A" w:rsidRDefault="005E083E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van Dam, C. J., van der Schrier, R., van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Velzen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M., van Lemmen, M., Simons, P., Kuijpers, K. W. K., Jansen, S., Kowal, M. A., Olofsen, E.,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Kramers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C., Dahan, A., &amp;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Niesters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M. (2023). Inhaled Δ9-tetrahydrocannabinol does not enhance oxycodone-induced respiratory depression: randomised controlled trial in healthy volunteers.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Anaesthesia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130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(4), 485–493. </w:t>
      </w:r>
      <w:hyperlink r:id="rId49" w:history="1">
        <w:r w:rsidR="00D06366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https://doi.org/10.1016/j.bja.2022.12.018</w:t>
        </w:r>
      </w:hyperlink>
      <w:r w:rsidR="00D06366" w:rsidRPr="00CF0C6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14:paraId="4757C1A7" w14:textId="0163623D" w:rsidR="005E083E" w:rsidRPr="00737685" w:rsidRDefault="005E083E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Van De Donk, T.,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Niesters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M., Kowal, M. A., Olofsen, E., Dahan, A., &amp; Van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Velzen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M. (2019). An experimental randomized study on the analgesic effects of pharmaceutical-grade cannabis in chronic pain patients with fibromyalgia.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Pain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160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(4), 860–869. </w:t>
      </w:r>
      <w:hyperlink r:id="rId50" w:history="1">
        <w:r w:rsidR="00D06366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https://doi.org/10.1097/j.pain.0000000000001464</w:t>
        </w:r>
      </w:hyperlink>
      <w:r w:rsidR="00D06366" w:rsidRPr="007376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CAD1111" w14:textId="702FA55E" w:rsidR="005E083E" w:rsidRPr="00737685" w:rsidRDefault="005E083E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Vulfsons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Ognitz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M., Bar-Sela, G., Raz-Pasteur, A., &amp; Eisenberg, E. (2020). Cannabis treatment in hospitalized patients using the SYQE inhaler: Results of a pilot open-label study.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Palliative and Supportive Care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(1), 12–17. </w:t>
      </w:r>
      <w:hyperlink r:id="rId51" w:history="1">
        <w:r w:rsidR="00D06366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https://doi.org/10.1017/S147895151900021X</w:t>
        </w:r>
      </w:hyperlink>
      <w:r w:rsidR="00D06366" w:rsidRPr="00737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747424" w14:textId="26A5606E" w:rsidR="005E083E" w:rsidRPr="00737685" w:rsidRDefault="005E083E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Wall, M. B., Freeman, T. P., Hindocha, C., Demetriou, L., Ertl, N., Freeman, A. M., Jones, A. P. M., Lawn, W., Pope, R.,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Mokrysz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C., Solomons, D., Statton, B., Walker, H. R., Yamamori, Y., Yang, Z., Yim, J. L. L., Nutt, D. J., Howes, O. D., Curran, H. V., &amp; Bloomfield, M. A. P. (2022). Individual and combined effects of cannabidiol and Δ9-tetrahydrocannabinol on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striato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-cortical connectivity in the human brain.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Psychopharmacology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(6), 732–744. </w:t>
      </w:r>
      <w:hyperlink r:id="rId52" w:history="1">
        <w:r w:rsidR="00D06366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https://doi.org/10.1177/02698811221092506</w:t>
        </w:r>
      </w:hyperlink>
      <w:r w:rsidR="00D06366" w:rsidRPr="00737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988769" w14:textId="6AB973F3" w:rsidR="005E083E" w:rsidRPr="00D06366" w:rsidRDefault="005E083E" w:rsidP="002100A9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Wall, M. B., Pope, R., Freeman, T. P., Kowalczyk, O. S., Demetriou, L., </w:t>
      </w:r>
      <w:proofErr w:type="spellStart"/>
      <w:r w:rsidRPr="00C21C90">
        <w:rPr>
          <w:rFonts w:ascii="Times New Roman" w:eastAsia="Times New Roman" w:hAnsi="Times New Roman" w:cs="Times New Roman"/>
          <w:sz w:val="24"/>
          <w:szCs w:val="24"/>
        </w:rPr>
        <w:t>Mokrysz</w:t>
      </w:r>
      <w:proofErr w:type="spellEnd"/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C., Hindocha, C., Lawn, W., Bloomfield, M. A. P., Freeman, A. M., Feilding, A., Nutt, D., &amp; Curran, H. V. (2019). Dissociable effects of cannabis with and without cannabidiol on the human brain’s resting-state functional connectivity.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Psychopharmacology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21C90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C21C90">
        <w:rPr>
          <w:rFonts w:ascii="Times New Roman" w:eastAsia="Times New Roman" w:hAnsi="Times New Roman" w:cs="Times New Roman"/>
          <w:sz w:val="24"/>
          <w:szCs w:val="24"/>
        </w:rPr>
        <w:t xml:space="preserve">(7), 822–830. </w:t>
      </w:r>
      <w:hyperlink r:id="rId53" w:history="1">
        <w:r w:rsidR="00D06366" w:rsidRPr="00C351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https://doi.org/10.1177/0269881119841568</w:t>
        </w:r>
      </w:hyperlink>
      <w:r w:rsidR="00D063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4F28CA9" w14:textId="77777777" w:rsidR="00ED2A80" w:rsidRPr="00C21C90" w:rsidRDefault="00ED2A80" w:rsidP="002100A9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eastAsia="nl-NL"/>
        </w:rPr>
      </w:pPr>
    </w:p>
    <w:p w14:paraId="57BFDD9A" w14:textId="0E803C10" w:rsidR="00A5483D" w:rsidRDefault="00A5483D">
      <w:pPr>
        <w:rPr>
          <w:rFonts w:ascii="Times New Roman" w:hAnsi="Times New Roman" w:cs="Times New Roman"/>
          <w:sz w:val="24"/>
          <w:szCs w:val="24"/>
          <w:u w:val="single"/>
          <w:lang w:val="en-GB" w:eastAsia="nl-NL"/>
        </w:rPr>
      </w:pPr>
    </w:p>
    <w:p w14:paraId="72CC97EB" w14:textId="39965822" w:rsidR="00E33AA4" w:rsidRPr="00C21C90" w:rsidRDefault="009A52E2" w:rsidP="002100A9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n-GB" w:eastAsia="nl-NL"/>
        </w:rPr>
      </w:pPr>
      <w:r w:rsidRPr="00C21C90">
        <w:rPr>
          <w:rFonts w:ascii="Times New Roman" w:hAnsi="Times New Roman" w:cs="Times New Roman"/>
          <w:sz w:val="24"/>
          <w:szCs w:val="24"/>
          <w:u w:val="single"/>
          <w:lang w:val="en-GB" w:eastAsia="nl-NL"/>
        </w:rPr>
        <w:t>Studies found through examination of references in other papers (n=</w:t>
      </w:r>
      <w:r w:rsidR="00A45A9C" w:rsidRPr="00C21C90">
        <w:rPr>
          <w:rFonts w:ascii="Times New Roman" w:hAnsi="Times New Roman" w:cs="Times New Roman"/>
          <w:sz w:val="24"/>
          <w:szCs w:val="24"/>
          <w:u w:val="single"/>
          <w:lang w:val="en-GB" w:eastAsia="nl-NL"/>
        </w:rPr>
        <w:t>1</w:t>
      </w:r>
      <w:r w:rsidRPr="00C21C90">
        <w:rPr>
          <w:rFonts w:ascii="Times New Roman" w:hAnsi="Times New Roman" w:cs="Times New Roman"/>
          <w:sz w:val="24"/>
          <w:szCs w:val="24"/>
          <w:u w:val="single"/>
          <w:lang w:val="en-GB" w:eastAsia="nl-NL"/>
        </w:rPr>
        <w:t xml:space="preserve">1) </w:t>
      </w:r>
    </w:p>
    <w:p w14:paraId="63E4AE6B" w14:textId="77777777" w:rsidR="005E083E" w:rsidRPr="00C21C90" w:rsidRDefault="005E083E" w:rsidP="002100A9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n-GB" w:eastAsia="nl-NL"/>
        </w:rPr>
      </w:pPr>
    </w:p>
    <w:sdt>
      <w:sdtPr>
        <w:rPr>
          <w:rFonts w:ascii="Times New Roman" w:hAnsi="Times New Roman" w:cs="Times New Roman"/>
          <w:b/>
          <w:bCs/>
          <w:sz w:val="24"/>
          <w:szCs w:val="24"/>
          <w:lang w:val="en-US"/>
        </w:rPr>
        <w:tag w:val="MENDELEY_BIBLIOGRAPHY"/>
        <w:id w:val="-339310024"/>
        <w:placeholder>
          <w:docPart w:val="DefaultPlaceholder_-1854013440"/>
        </w:placeholder>
      </w:sdtPr>
      <w:sdtContent>
        <w:p w14:paraId="02EE200D" w14:textId="46AE11D9" w:rsidR="00667465" w:rsidRPr="00D06366" w:rsidRDefault="00667465" w:rsidP="002100A9">
          <w:pPr>
            <w:autoSpaceDE w:val="0"/>
            <w:autoSpaceDN w:val="0"/>
            <w:spacing w:line="240" w:lineRule="auto"/>
            <w:ind w:hanging="480"/>
            <w:jc w:val="both"/>
            <w:divId w:val="654381751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Arkell, T. R., Kevin, R. C., </w:t>
          </w:r>
          <w:proofErr w:type="spellStart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>Vinckenbosch</w:t>
          </w:r>
          <w:proofErr w:type="spellEnd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F., </w:t>
          </w:r>
          <w:proofErr w:type="spellStart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>Lintzeris</w:t>
          </w:r>
          <w:proofErr w:type="spellEnd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N., Theunissen, E., Ramaekers, J. G., &amp; McGregor, I. S. (2022). Sex differences in acute cannabis effects revisited: Results from two randomized, controlled trials. </w:t>
          </w:r>
          <w:r w:rsidRPr="00C21C9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Addiction Biology</w:t>
          </w: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C21C9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27</w:t>
          </w: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(2). </w:t>
          </w:r>
          <w:hyperlink r:id="rId54" w:history="1">
            <w:r w:rsidR="00D06366" w:rsidRPr="00C35150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https://doi.org/10.1111/adb.13125</w:t>
            </w:r>
          </w:hyperlink>
          <w:r w:rsidR="00D06366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</w:t>
          </w:r>
        </w:p>
        <w:p w14:paraId="26B6EB3C" w14:textId="4CC2AE4D" w:rsidR="00D06366" w:rsidRDefault="00667465" w:rsidP="00A5483D">
          <w:pPr>
            <w:autoSpaceDE w:val="0"/>
            <w:autoSpaceDN w:val="0"/>
            <w:spacing w:line="240" w:lineRule="auto"/>
            <w:ind w:hanging="480"/>
            <w:jc w:val="both"/>
            <w:divId w:val="3998691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Aviram, J., </w:t>
          </w:r>
          <w:proofErr w:type="spellStart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>Atzmony</w:t>
          </w:r>
          <w:proofErr w:type="spellEnd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D., &amp; Eisenberg, E. (2022). Long-term effectiveness and safety of medical cannabis administered through the metered-dose </w:t>
          </w:r>
          <w:proofErr w:type="spellStart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>Syqe</w:t>
          </w:r>
          <w:proofErr w:type="spellEnd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Inhaler. </w:t>
          </w:r>
          <w:r w:rsidRPr="00C21C9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Pain Reports</w:t>
          </w: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C21C9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7</w:t>
          </w: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(3), E1011. </w:t>
          </w:r>
          <w:hyperlink r:id="rId55" w:history="1">
            <w:r w:rsidR="00D06366" w:rsidRPr="00C35150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https://doi.org/10.1097/PR9.0000000000001011</w:t>
            </w:r>
          </w:hyperlink>
          <w:r w:rsidR="00D06366" w:rsidRPr="00737685"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  <w:t xml:space="preserve"> </w:t>
          </w:r>
        </w:p>
        <w:p w14:paraId="26C5703B" w14:textId="77777777" w:rsidR="00A5483D" w:rsidRDefault="00A5483D" w:rsidP="002100A9">
          <w:pPr>
            <w:autoSpaceDE w:val="0"/>
            <w:autoSpaceDN w:val="0"/>
            <w:spacing w:line="240" w:lineRule="auto"/>
            <w:ind w:hanging="480"/>
            <w:jc w:val="both"/>
            <w:divId w:val="3998691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2A1EEC29" w14:textId="277DF8FB" w:rsidR="00667465" w:rsidRPr="00D06366" w:rsidRDefault="00667465" w:rsidP="002100A9">
          <w:pPr>
            <w:autoSpaceDE w:val="0"/>
            <w:autoSpaceDN w:val="0"/>
            <w:spacing w:line="240" w:lineRule="auto"/>
            <w:ind w:hanging="480"/>
            <w:jc w:val="both"/>
            <w:divId w:val="39986910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Brenneisen, R., Meyer, P., </w:t>
          </w:r>
          <w:proofErr w:type="spellStart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>Chtioui</w:t>
          </w:r>
          <w:proofErr w:type="spellEnd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H., </w:t>
          </w:r>
          <w:proofErr w:type="spellStart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>Saugy</w:t>
          </w:r>
          <w:proofErr w:type="spellEnd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M., &amp; Kamber, M. (2010). Plasma and urine profiles of Δ9-tetrahydrocannabinol and its metabolites 11-hydroxy-Δ9-tetrahydrocannabinol and 11-nor-9-carboxy-Δ9-tetrahydrocannabinol after cannabis smoking by male volunteers to estimate recent consumption by athletes. </w:t>
          </w:r>
          <w:r w:rsidRPr="00C21C9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Analytical and Bioanalytical Chemistry</w:t>
          </w: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C21C9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396</w:t>
          </w: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(7), 2493–2502. </w:t>
          </w:r>
          <w:hyperlink r:id="rId56" w:history="1">
            <w:r w:rsidR="00D06366" w:rsidRPr="00C35150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https://doi.org/10.1007/s00216-009-3431-3</w:t>
            </w:r>
          </w:hyperlink>
          <w:r w:rsidR="00D06366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</w:t>
          </w:r>
        </w:p>
        <w:p w14:paraId="7F56B0C4" w14:textId="0AFBE60B" w:rsidR="00667465" w:rsidRPr="00CF0C6A" w:rsidRDefault="00667465" w:rsidP="002100A9">
          <w:pPr>
            <w:autoSpaceDE w:val="0"/>
            <w:autoSpaceDN w:val="0"/>
            <w:spacing w:line="240" w:lineRule="auto"/>
            <w:ind w:hanging="480"/>
            <w:jc w:val="both"/>
            <w:divId w:val="590041307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Chester, L. A., Englund, A., Chesney, E., Oliver, D., Wilson, J., </w:t>
          </w:r>
          <w:proofErr w:type="spellStart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>Sovi</w:t>
          </w:r>
          <w:proofErr w:type="spellEnd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S., Dickens, A. M., </w:t>
          </w:r>
          <w:proofErr w:type="spellStart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>Oresic</w:t>
          </w:r>
          <w:proofErr w:type="spellEnd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M., Linderman, T., </w:t>
          </w:r>
          <w:proofErr w:type="spellStart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>Hodsoll</w:t>
          </w:r>
          <w:proofErr w:type="spellEnd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J., Minichino, A., Strang, J., Murray, R. M., Freeman, T. P., &amp; McGuire, P. (2022). Effects of Cannabidiol and Delta-9-Tetrahydrocannabinol on Plasma Endocannabinoid Levels in Healthy Volunteers: A Randomized Double-Blind Four-Arm Crossover Study. </w:t>
          </w:r>
          <w:r w:rsidRPr="00C21C9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Cannabis and Cannabinoid Research</w:t>
          </w: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hyperlink r:id="rId57" w:history="1">
            <w:r w:rsidR="00D06366" w:rsidRPr="00C35150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https://doi.org/10.1089/can.2022.0174</w:t>
            </w:r>
          </w:hyperlink>
          <w:r w:rsidR="00D06366" w:rsidRPr="00CF0C6A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  <w:p w14:paraId="0C78F31A" w14:textId="179545F1" w:rsidR="00667465" w:rsidRPr="00D06366" w:rsidRDefault="00667465" w:rsidP="002100A9">
          <w:pPr>
            <w:autoSpaceDE w:val="0"/>
            <w:autoSpaceDN w:val="0"/>
            <w:spacing w:line="240" w:lineRule="auto"/>
            <w:ind w:hanging="480"/>
            <w:jc w:val="both"/>
            <w:divId w:val="1706104135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de Bruijn, S. E. M., de Graaf, C., Witkamp, R. F., &amp; Jager, G. (2017). Explorative Placebo-Controlled Double-Blind Intervention Study with Low Doses of Inhaled Δ9-Tetrahydrocannabinol and Cannabidiol Reveals No Effect on Sweet Taste Intensity Perception and Liking in Humans. </w:t>
          </w:r>
          <w:r w:rsidRPr="00C21C9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Cannabis and Cannabinoid Research</w:t>
          </w: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C21C9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</w:t>
          </w: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(1), 114–122. </w:t>
          </w:r>
          <w:hyperlink r:id="rId58" w:history="1">
            <w:r w:rsidR="00D06366" w:rsidRPr="00C35150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https://doi.org/10.1089/can.2017.0018</w:t>
            </w:r>
          </w:hyperlink>
          <w:r w:rsidR="00D06366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</w:t>
          </w:r>
        </w:p>
        <w:p w14:paraId="2C751E62" w14:textId="6D10539E" w:rsidR="00667465" w:rsidRPr="00D06366" w:rsidRDefault="00667465" w:rsidP="002100A9">
          <w:pPr>
            <w:autoSpaceDE w:val="0"/>
            <w:autoSpaceDN w:val="0"/>
            <w:spacing w:line="240" w:lineRule="auto"/>
            <w:ind w:hanging="480"/>
            <w:jc w:val="both"/>
            <w:divId w:val="1694762904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proofErr w:type="spellStart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>Hupli</w:t>
          </w:r>
          <w:proofErr w:type="spellEnd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A. M. M. (2019). Medical Cannabis for Adult Attention Deficit Hyperactivity Disorder: Sociological Patient Case Report of Cannabinoid Therapeutics in Finland. </w:t>
          </w:r>
          <w:r w:rsidRPr="00C21C9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Medical Cannabis and Cannabinoids</w:t>
          </w: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C21C9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</w:t>
          </w: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(2), 112–118. </w:t>
          </w:r>
          <w:hyperlink r:id="rId59" w:history="1">
            <w:r w:rsidR="00D06366" w:rsidRPr="00C35150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https://doi.org/10.1159/000495307</w:t>
            </w:r>
          </w:hyperlink>
          <w:r w:rsidR="00D06366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</w:t>
          </w:r>
        </w:p>
        <w:p w14:paraId="2B06741A" w14:textId="74DC08FE" w:rsidR="00667465" w:rsidRPr="00D06366" w:rsidRDefault="00667465" w:rsidP="002100A9">
          <w:pPr>
            <w:autoSpaceDE w:val="0"/>
            <w:autoSpaceDN w:val="0"/>
            <w:spacing w:line="240" w:lineRule="auto"/>
            <w:ind w:hanging="480"/>
            <w:jc w:val="both"/>
            <w:divId w:val="211307710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Mazza, M. (2021). Medical cannabis for the treatment of fibromyalgia syndrome: a retrospective, open-label case series. </w:t>
          </w:r>
          <w:r w:rsidRPr="00C21C9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Journal of Cannabis Research</w:t>
          </w: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C21C9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3</w:t>
          </w: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(1). </w:t>
          </w:r>
          <w:hyperlink r:id="rId60" w:history="1">
            <w:r w:rsidR="00D06366" w:rsidRPr="00C35150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https://doi.org/10.1186/s42238-021-00060-6</w:t>
            </w:r>
          </w:hyperlink>
          <w:r w:rsidR="00D06366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</w:t>
          </w:r>
        </w:p>
        <w:p w14:paraId="3D66892E" w14:textId="50E0F010" w:rsidR="00667465" w:rsidRPr="00D06366" w:rsidRDefault="00667465" w:rsidP="002100A9">
          <w:pPr>
            <w:autoSpaceDE w:val="0"/>
            <w:autoSpaceDN w:val="0"/>
            <w:spacing w:line="240" w:lineRule="auto"/>
            <w:ind w:hanging="480"/>
            <w:jc w:val="both"/>
            <w:divId w:val="1604680687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Oliver, D., Englund, A., Chesney, E., Chester, L., Wilson, J., </w:t>
          </w:r>
          <w:proofErr w:type="spellStart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>Sovi</w:t>
          </w:r>
          <w:proofErr w:type="spellEnd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S., </w:t>
          </w:r>
          <w:proofErr w:type="spellStart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>Wigroth</w:t>
          </w:r>
          <w:proofErr w:type="spellEnd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S., </w:t>
          </w:r>
          <w:proofErr w:type="spellStart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>Hodsoll</w:t>
          </w:r>
          <w:proofErr w:type="spellEnd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J., Strang, J., Murray, R. M., Freeman, T. P., </w:t>
          </w:r>
          <w:proofErr w:type="spellStart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>Fusar</w:t>
          </w:r>
          <w:proofErr w:type="spellEnd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-Poli, P., &amp; McGuire, P. (2023). Cannabidiol does not attenuate acute delta-9-tetrahydrocannabinol-induced attentional bias in healthy volunteers: A randomised, double-blind, cross-over study. </w:t>
          </w:r>
          <w:r w:rsidRPr="00C21C9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Addiction</w:t>
          </w: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hyperlink r:id="rId61" w:history="1">
            <w:r w:rsidR="00D06366" w:rsidRPr="00C35150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https://doi.org/10.1111/add.16353</w:t>
            </w:r>
          </w:hyperlink>
          <w:r w:rsidR="00D06366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</w:t>
          </w:r>
        </w:p>
        <w:p w14:paraId="211CE8CE" w14:textId="1CB0585D" w:rsidR="00667465" w:rsidRPr="00D06366" w:rsidRDefault="00667465" w:rsidP="002100A9">
          <w:pPr>
            <w:autoSpaceDE w:val="0"/>
            <w:autoSpaceDN w:val="0"/>
            <w:spacing w:line="240" w:lineRule="auto"/>
            <w:ind w:hanging="480"/>
            <w:jc w:val="both"/>
            <w:divId w:val="1699504201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proofErr w:type="spellStart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>Szejko</w:t>
          </w:r>
          <w:proofErr w:type="spellEnd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N., </w:t>
          </w:r>
          <w:proofErr w:type="spellStart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>Jakubovski</w:t>
          </w:r>
          <w:proofErr w:type="spellEnd"/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E., Fremer, C., &amp; Müller-Vahl, K. R. (2019). Vaporized Cannabis Is Effective and Well-Tolerated in an Adolescent with Tourette Syndrome. </w:t>
          </w:r>
          <w:r w:rsidRPr="00C21C9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Medical Cannabis and Cannabinoids</w:t>
          </w: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C21C9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</w:t>
          </w: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(1), 60–64. </w:t>
          </w:r>
          <w:hyperlink r:id="rId62" w:history="1">
            <w:r w:rsidR="00D06366" w:rsidRPr="00C35150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https://doi.org/10.1159/000496355</w:t>
            </w:r>
          </w:hyperlink>
          <w:r w:rsidR="00D06366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</w:t>
          </w:r>
        </w:p>
        <w:p w14:paraId="1A1D7C08" w14:textId="44B072FB" w:rsidR="00667465" w:rsidRPr="00D06366" w:rsidRDefault="00667465" w:rsidP="002100A9">
          <w:pPr>
            <w:autoSpaceDE w:val="0"/>
            <w:autoSpaceDN w:val="0"/>
            <w:spacing w:line="240" w:lineRule="auto"/>
            <w:ind w:hanging="480"/>
            <w:jc w:val="both"/>
            <w:divId w:val="1582064106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Zafar, R., Schlag, A., &amp; Nutt, D. (2020). Ending the pain of children with severe epilepsy? An audit of the impact of medical cannabis in 10 patients. </w:t>
          </w:r>
          <w:r w:rsidRPr="00C21C9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Drug Science, Policy and Law</w:t>
          </w: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C21C9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6</w:t>
          </w: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205032452097448. </w:t>
          </w:r>
          <w:hyperlink r:id="rId63" w:history="1">
            <w:r w:rsidR="00D06366" w:rsidRPr="00C35150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https://doi.org/10.1177/2050324520974487</w:t>
            </w:r>
          </w:hyperlink>
          <w:r w:rsidR="00D06366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</w:t>
          </w:r>
        </w:p>
        <w:p w14:paraId="782BF873" w14:textId="7B245E59" w:rsidR="00667465" w:rsidRPr="00D06366" w:rsidRDefault="00667465" w:rsidP="002100A9">
          <w:pPr>
            <w:autoSpaceDE w:val="0"/>
            <w:autoSpaceDN w:val="0"/>
            <w:spacing w:line="240" w:lineRule="auto"/>
            <w:ind w:hanging="480"/>
            <w:jc w:val="both"/>
            <w:divId w:val="2096515664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Zafar, R., Schlag, A., Phillips, L., &amp; Nutt, D. J. (2021). Medical cannabis for severe treatment resistant epilepsy in children: A case-series of 10 patients. </w:t>
          </w:r>
          <w:r w:rsidRPr="00C21C9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BMJ Paediatrics Open</w:t>
          </w: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C21C90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5</w:t>
          </w: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(1). </w:t>
          </w:r>
          <w:hyperlink r:id="rId64" w:history="1">
            <w:r w:rsidR="00D06366" w:rsidRPr="00C35150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https://doi.org/10.1136/bmjpo-2021-001234</w:t>
            </w:r>
          </w:hyperlink>
          <w:r w:rsidR="00D06366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 </w:t>
          </w:r>
        </w:p>
        <w:p w14:paraId="6A16F3A2" w14:textId="49E740CC" w:rsidR="00A97D7C" w:rsidRDefault="00667465" w:rsidP="002100A9">
          <w:pPr>
            <w:spacing w:line="240" w:lineRule="auto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C21C90">
            <w:rPr>
              <w:rFonts w:ascii="Times New Roman" w:eastAsia="Times New Roman" w:hAnsi="Times New Roman" w:cs="Times New Roman"/>
              <w:sz w:val="24"/>
              <w:szCs w:val="24"/>
            </w:rPr>
            <w:t> </w:t>
          </w:r>
        </w:p>
      </w:sdtContent>
    </w:sdt>
    <w:p w14:paraId="0B848BB0" w14:textId="77777777" w:rsidR="00AB0EBC" w:rsidRPr="00831B98" w:rsidRDefault="00AB0EBC" w:rsidP="00831B9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  <w:sectPr w:rsidR="00AB0EBC" w:rsidRPr="00831B98" w:rsidSect="00486AAB">
          <w:footerReference w:type="default" r:id="rId6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CBAC611" w14:textId="6C6BCB53" w:rsidR="00F81756" w:rsidRPr="00831B98" w:rsidRDefault="00D87CD2" w:rsidP="00831B9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D87CD2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7E642623" wp14:editId="70E20A98">
            <wp:extent cx="9288753" cy="5518150"/>
            <wp:effectExtent l="0" t="0" r="8255" b="6350"/>
            <wp:docPr id="897822735" name="Picture 1" descr="A screenshot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822735" name="Picture 1" descr="A screenshot of a diagram&#10;&#10;Description automatically generated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9299830" cy="552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0DC67" w14:textId="6DA14093" w:rsidR="009912EE" w:rsidRDefault="00AB0EBC" w:rsidP="00831B9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831B98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S1.</w:t>
      </w:r>
      <w:r w:rsidRPr="00831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2BDD" w:rsidRPr="00831B98">
        <w:rPr>
          <w:rFonts w:ascii="Times New Roman" w:hAnsi="Times New Roman" w:cs="Times New Roman"/>
          <w:sz w:val="24"/>
          <w:szCs w:val="24"/>
          <w:lang w:val="en-US"/>
        </w:rPr>
        <w:t xml:space="preserve">PRISMA </w:t>
      </w:r>
      <w:r w:rsidR="000067EE" w:rsidRPr="00831B98">
        <w:rPr>
          <w:rFonts w:ascii="Times New Roman" w:hAnsi="Times New Roman" w:cs="Times New Roman"/>
          <w:sz w:val="24"/>
          <w:szCs w:val="24"/>
          <w:lang w:val="en-US"/>
        </w:rPr>
        <w:t>flow diagram for systematic review</w:t>
      </w:r>
    </w:p>
    <w:p w14:paraId="7F63EC72" w14:textId="72EFA1AA" w:rsidR="004718BA" w:rsidRDefault="00E1171E" w:rsidP="00831B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171E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S1.</w:t>
      </w:r>
      <w:r w:rsidRPr="00E1171E">
        <w:rPr>
          <w:rFonts w:ascii="Times New Roman" w:hAnsi="Times New Roman" w:cs="Times New Roman"/>
          <w:sz w:val="24"/>
          <w:szCs w:val="24"/>
        </w:rPr>
        <w:t xml:space="preserve"> Overview of side effects and drop-out rates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996"/>
        <w:gridCol w:w="742"/>
        <w:gridCol w:w="2560"/>
        <w:gridCol w:w="936"/>
        <w:gridCol w:w="2444"/>
        <w:gridCol w:w="886"/>
        <w:gridCol w:w="886"/>
        <w:gridCol w:w="2444"/>
        <w:gridCol w:w="1064"/>
      </w:tblGrid>
      <w:tr w:rsidR="007B00B4" w:rsidRPr="007B00B4" w14:paraId="0624DFFC" w14:textId="77777777" w:rsidTr="007B0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C402C5" w14:textId="77777777" w:rsidR="007B00B4" w:rsidRPr="007B00B4" w:rsidRDefault="007B00B4" w:rsidP="007B00B4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First Author</w:t>
            </w:r>
          </w:p>
        </w:tc>
        <w:tc>
          <w:tcPr>
            <w:tcW w:w="0" w:type="auto"/>
            <w:hideMark/>
          </w:tcPr>
          <w:p w14:paraId="58AB441D" w14:textId="77777777" w:rsidR="007B00B4" w:rsidRPr="007B00B4" w:rsidRDefault="007B00B4" w:rsidP="007B00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 xml:space="preserve">Start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sample</w:t>
            </w:r>
          </w:p>
        </w:tc>
        <w:tc>
          <w:tcPr>
            <w:tcW w:w="0" w:type="auto"/>
            <w:noWrap/>
            <w:hideMark/>
          </w:tcPr>
          <w:p w14:paraId="3D60F2D0" w14:textId="77777777" w:rsidR="007B00B4" w:rsidRPr="007B00B4" w:rsidRDefault="007B00B4" w:rsidP="007B00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Drop-out</w:t>
            </w:r>
          </w:p>
        </w:tc>
        <w:tc>
          <w:tcPr>
            <w:tcW w:w="0" w:type="auto"/>
            <w:hideMark/>
          </w:tcPr>
          <w:p w14:paraId="4B4FED14" w14:textId="77777777" w:rsidR="007B00B4" w:rsidRPr="007B00B4" w:rsidRDefault="007B00B4" w:rsidP="007B00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proofErr w:type="spellStart"/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Analyzing</w:t>
            </w:r>
            <w:proofErr w:type="spellEnd"/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 xml:space="preserve">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sample</w:t>
            </w:r>
          </w:p>
        </w:tc>
        <w:tc>
          <w:tcPr>
            <w:tcW w:w="0" w:type="auto"/>
            <w:noWrap/>
            <w:hideMark/>
          </w:tcPr>
          <w:p w14:paraId="5446F819" w14:textId="77777777" w:rsidR="007B00B4" w:rsidRPr="007B00B4" w:rsidRDefault="007B00B4" w:rsidP="007B00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Bedrocan</w:t>
            </w:r>
          </w:p>
        </w:tc>
        <w:tc>
          <w:tcPr>
            <w:tcW w:w="0" w:type="auto"/>
            <w:noWrap/>
            <w:hideMark/>
          </w:tcPr>
          <w:p w14:paraId="41A8BD22" w14:textId="77777777" w:rsidR="007B00B4" w:rsidRPr="007B00B4" w:rsidRDefault="007B00B4" w:rsidP="007B00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proofErr w:type="spellStart"/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Bediol</w:t>
            </w:r>
            <w:proofErr w:type="spellEnd"/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016CAA55" w14:textId="77777777" w:rsidR="007B00B4" w:rsidRPr="007B00B4" w:rsidRDefault="007B00B4" w:rsidP="007B00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proofErr w:type="spellStart"/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Bedrolite</w:t>
            </w:r>
            <w:proofErr w:type="spellEnd"/>
          </w:p>
        </w:tc>
        <w:tc>
          <w:tcPr>
            <w:tcW w:w="0" w:type="auto"/>
            <w:hideMark/>
          </w:tcPr>
          <w:p w14:paraId="40CF1E59" w14:textId="77777777" w:rsidR="007B00B4" w:rsidRPr="007B00B4" w:rsidRDefault="007B00B4" w:rsidP="007B00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Combination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treatment</w:t>
            </w:r>
          </w:p>
        </w:tc>
        <w:tc>
          <w:tcPr>
            <w:tcW w:w="0" w:type="auto"/>
            <w:noWrap/>
            <w:hideMark/>
          </w:tcPr>
          <w:p w14:paraId="64CC2142" w14:textId="77777777" w:rsidR="007B00B4" w:rsidRPr="007B00B4" w:rsidRDefault="007B00B4" w:rsidP="007B00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Placebo</w:t>
            </w:r>
          </w:p>
        </w:tc>
      </w:tr>
      <w:tr w:rsidR="007B00B4" w:rsidRPr="007B00B4" w14:paraId="059CCC13" w14:textId="77777777" w:rsidTr="007B0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B17574" w14:textId="77777777" w:rsidR="007B00B4" w:rsidRPr="007B00B4" w:rsidRDefault="007B00B4" w:rsidP="007B00B4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van de Donk et al. (2019)</w:t>
            </w:r>
          </w:p>
        </w:tc>
        <w:tc>
          <w:tcPr>
            <w:tcW w:w="0" w:type="auto"/>
            <w:noWrap/>
            <w:hideMark/>
          </w:tcPr>
          <w:p w14:paraId="65F3B1BD" w14:textId="77777777" w:rsidR="007B00B4" w:rsidRPr="007B00B4" w:rsidRDefault="007B00B4" w:rsidP="007B0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50F68E41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kern w:val="0"/>
                <w:sz w:val="16"/>
                <w:szCs w:val="16"/>
                <w:lang w:eastAsia="en-NL"/>
                <w14:ligatures w14:val="none"/>
              </w:rPr>
              <w:t>1 = unknown reasons</w:t>
            </w:r>
            <w:r w:rsidRPr="007B00B4">
              <w:rPr>
                <w:rFonts w:ascii="Arial" w:eastAsia="Times New Roman" w:hAnsi="Arial" w:cs="Arial"/>
                <w:kern w:val="0"/>
                <w:sz w:val="16"/>
                <w:szCs w:val="16"/>
                <w:lang w:eastAsia="en-NL"/>
                <w14:ligatures w14:val="none"/>
              </w:rPr>
              <w:br/>
              <w:t>3 = nausea during visit**</w:t>
            </w:r>
            <w:r w:rsidRPr="007B00B4">
              <w:rPr>
                <w:rFonts w:ascii="Arial" w:eastAsia="Times New Roman" w:hAnsi="Arial" w:cs="Arial"/>
                <w:kern w:val="0"/>
                <w:sz w:val="16"/>
                <w:szCs w:val="16"/>
                <w:lang w:eastAsia="en-NL"/>
                <w14:ligatures w14:val="none"/>
              </w:rPr>
              <w:br/>
              <w:t>1 = fear of needles</w:t>
            </w:r>
          </w:p>
        </w:tc>
        <w:tc>
          <w:tcPr>
            <w:tcW w:w="0" w:type="auto"/>
            <w:noWrap/>
            <w:hideMark/>
          </w:tcPr>
          <w:p w14:paraId="1DBC315A" w14:textId="77777777" w:rsidR="007B00B4" w:rsidRPr="007B00B4" w:rsidRDefault="007B00B4" w:rsidP="007B0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57BE0616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 xml:space="preserve">16 = drug high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14 = coughing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5 = bad taste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3 = nausea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3 = dizzy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2 = sore throat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1 = headache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1= sleepy </w:t>
            </w:r>
          </w:p>
        </w:tc>
        <w:tc>
          <w:tcPr>
            <w:tcW w:w="0" w:type="auto"/>
            <w:hideMark/>
          </w:tcPr>
          <w:p w14:paraId="2FFC6345" w14:textId="77777777" w:rsidR="007B00B4" w:rsidRPr="007B00B4" w:rsidRDefault="007B00B4" w:rsidP="007B00B4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 xml:space="preserve">16 = drug high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14 = coughing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7 = sore throat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6 = bad taste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6 = nausea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4 = dizzy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2 = headache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1 = dyspnoea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</w:r>
          </w:p>
        </w:tc>
        <w:tc>
          <w:tcPr>
            <w:tcW w:w="0" w:type="auto"/>
            <w:hideMark/>
          </w:tcPr>
          <w:p w14:paraId="0079096A" w14:textId="77777777" w:rsidR="007B00B4" w:rsidRPr="007B00B4" w:rsidRDefault="007B00B4" w:rsidP="007B00B4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13 = coughing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8 = drug high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5 = bad taste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3 = headache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2 = dizzy 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1 = sore throat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1 = nausea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1 = vomiting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1 = sleepy </w:t>
            </w:r>
          </w:p>
        </w:tc>
        <w:tc>
          <w:tcPr>
            <w:tcW w:w="0" w:type="auto"/>
            <w:noWrap/>
            <w:hideMark/>
          </w:tcPr>
          <w:p w14:paraId="3E6AD597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hideMark/>
          </w:tcPr>
          <w:p w14:paraId="2390D089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2 = drug high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 = headache</w:t>
            </w:r>
          </w:p>
        </w:tc>
      </w:tr>
      <w:tr w:rsidR="007B00B4" w:rsidRPr="007B00B4" w14:paraId="647C47BE" w14:textId="77777777" w:rsidTr="007B00B4">
        <w:trPr>
          <w:trHeight w:val="5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4DA022" w14:textId="77777777" w:rsidR="007B00B4" w:rsidRPr="007B00B4" w:rsidRDefault="007B00B4" w:rsidP="007B00B4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lastRenderedPageBreak/>
              <w:t>Almog et al. (2020)</w:t>
            </w:r>
          </w:p>
        </w:tc>
        <w:tc>
          <w:tcPr>
            <w:tcW w:w="0" w:type="auto"/>
            <w:noWrap/>
            <w:hideMark/>
          </w:tcPr>
          <w:p w14:paraId="1C053123" w14:textId="77777777" w:rsidR="007B00B4" w:rsidRPr="007B00B4" w:rsidRDefault="007B00B4" w:rsidP="007B0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0E3ADE10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1 = did not complete all sessions due to technical failure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 = consent withdrawal</w:t>
            </w:r>
          </w:p>
        </w:tc>
        <w:tc>
          <w:tcPr>
            <w:tcW w:w="0" w:type="auto"/>
            <w:noWrap/>
            <w:hideMark/>
          </w:tcPr>
          <w:p w14:paraId="0365D732" w14:textId="77777777" w:rsidR="007B00B4" w:rsidRPr="007B00B4" w:rsidRDefault="007B00B4" w:rsidP="007B0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74FD424C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0.5 mg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12 = drug high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8 = dry mouth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7 = pain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7 = weakness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7 = restlessness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6 = sleepiness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4 = cough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2 = dizziness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2 = nausea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2 = BP reduced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</w:r>
            <w:r w:rsidRPr="007B0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1.0 mg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16 = drug high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11 = cough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8 = dizziness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6 = weakness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5 = dry mouth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4 = sleepiness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4 = nausea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3 = pain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3 = restlessness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2 = BP reduced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2 = hunger</w:t>
            </w:r>
          </w:p>
        </w:tc>
        <w:tc>
          <w:tcPr>
            <w:tcW w:w="0" w:type="auto"/>
            <w:noWrap/>
            <w:hideMark/>
          </w:tcPr>
          <w:p w14:paraId="32E55319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2B1B8BB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7089ED3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hideMark/>
          </w:tcPr>
          <w:p w14:paraId="40C1C3AB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 xml:space="preserve">9 = drug high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7 = restlessness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6 = pain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5 = weakness 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3 = hunger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2 = dry mouth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2 = sleepiness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2 = cough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2 = nausea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2 = BP reduced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 = dizziness</w:t>
            </w:r>
          </w:p>
        </w:tc>
      </w:tr>
      <w:tr w:rsidR="007B00B4" w:rsidRPr="007B00B4" w14:paraId="1924A7DF" w14:textId="77777777" w:rsidTr="007B0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D92EF3" w14:textId="77777777" w:rsidR="007B00B4" w:rsidRPr="007B00B4" w:rsidRDefault="007B00B4" w:rsidP="007B00B4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lastRenderedPageBreak/>
              <w:t>Aviram et al. (2022)</w:t>
            </w:r>
          </w:p>
        </w:tc>
        <w:tc>
          <w:tcPr>
            <w:tcW w:w="0" w:type="auto"/>
            <w:noWrap/>
            <w:hideMark/>
          </w:tcPr>
          <w:p w14:paraId="3CEADB79" w14:textId="77777777" w:rsidR="007B00B4" w:rsidRPr="007B00B4" w:rsidRDefault="007B00B4" w:rsidP="007B0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215</w:t>
            </w:r>
          </w:p>
        </w:tc>
        <w:tc>
          <w:tcPr>
            <w:tcW w:w="0" w:type="auto"/>
            <w:hideMark/>
          </w:tcPr>
          <w:p w14:paraId="18F27778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excluded from analysis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25 = stopped treatment before achieving a balanced regimen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25 = pilot program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13 = stopped during titration period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9 = requested to not respond to questions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</w:r>
            <w:r w:rsidRPr="007B0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reasons for stopping treatment</w:t>
            </w:r>
            <w:r w:rsidRPr="007B0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8 = worsening of medical condition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7 = financial reasons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5 = ineffectiveness of treatment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3 = deceased (unrelated to treatment)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3 = no longer need treatment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 = adverse event**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 = regulatory reasons</w:t>
            </w:r>
          </w:p>
        </w:tc>
        <w:tc>
          <w:tcPr>
            <w:tcW w:w="0" w:type="auto"/>
            <w:noWrap/>
            <w:hideMark/>
          </w:tcPr>
          <w:p w14:paraId="28DDE726" w14:textId="77777777" w:rsidR="007B00B4" w:rsidRPr="007B00B4" w:rsidRDefault="007B00B4" w:rsidP="007B0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143</w:t>
            </w:r>
          </w:p>
        </w:tc>
        <w:tc>
          <w:tcPr>
            <w:tcW w:w="0" w:type="auto"/>
            <w:hideMark/>
          </w:tcPr>
          <w:p w14:paraId="63F96B41" w14:textId="17C972BC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 xml:space="preserve">25 = </w:t>
            </w:r>
            <w:r w:rsidR="00B30791"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dizziness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15 = headache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11 = sleepiness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8 = anxiety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6 = dry mouth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4 = nausea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4 = cough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3 = heartburn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3 = confusion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3 = concentration impairment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2 = memory impairment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2 = restlessness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2 = palpitations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1 = </w:t>
            </w:r>
            <w:r w:rsidR="00B30791"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vomiting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 = tinnitus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 = muscle pain</w:t>
            </w:r>
          </w:p>
        </w:tc>
        <w:tc>
          <w:tcPr>
            <w:tcW w:w="0" w:type="auto"/>
            <w:noWrap/>
            <w:hideMark/>
          </w:tcPr>
          <w:p w14:paraId="72947D45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596A60B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F6CD614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D5D8E30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</w:tr>
      <w:tr w:rsidR="007B00B4" w:rsidRPr="007B00B4" w14:paraId="6E8E6E7F" w14:textId="77777777" w:rsidTr="007B00B4">
        <w:trPr>
          <w:trHeight w:val="3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48E716" w14:textId="77777777" w:rsidR="007B00B4" w:rsidRPr="007B00B4" w:rsidRDefault="007B00B4" w:rsidP="007B00B4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Baraldi et al. (2021)*</w:t>
            </w:r>
          </w:p>
        </w:tc>
        <w:tc>
          <w:tcPr>
            <w:tcW w:w="0" w:type="auto"/>
            <w:noWrap/>
            <w:hideMark/>
          </w:tcPr>
          <w:p w14:paraId="3DD5FF00" w14:textId="77777777" w:rsidR="007B00B4" w:rsidRPr="007B00B4" w:rsidRDefault="007B00B4" w:rsidP="007B0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55A46BD4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 xml:space="preserve">after 6 months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2 = vertigo**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2 = NR</w:t>
            </w:r>
          </w:p>
        </w:tc>
        <w:tc>
          <w:tcPr>
            <w:tcW w:w="0" w:type="auto"/>
            <w:noWrap/>
            <w:hideMark/>
          </w:tcPr>
          <w:p w14:paraId="1FC99323" w14:textId="77777777" w:rsidR="007B00B4" w:rsidRPr="007B00B4" w:rsidRDefault="007B00B4" w:rsidP="007B0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131E6781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07585C6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799C278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hideMark/>
          </w:tcPr>
          <w:p w14:paraId="30C61849" w14:textId="5696DFEC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 xml:space="preserve">10 = </w:t>
            </w:r>
            <w:r w:rsidR="00B30791"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drowsiness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2 = postural instability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 = vertigo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 = weight gain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</w:r>
            <w:r w:rsidRPr="007B0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baseline (n=32)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30 = nausea and/or vomiting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19 = photophobia and/or phonophobia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</w:r>
            <w:r w:rsidRPr="007B0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3 months (n=32)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20 = nausea and/or vomiting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19 = photophobia and/or phonophobia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</w:r>
            <w:r w:rsidRPr="007B0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6 months (n=28)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19 = nausea and/or vomiting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19 = photophobia and/or phonophobia</w:t>
            </w:r>
          </w:p>
        </w:tc>
        <w:tc>
          <w:tcPr>
            <w:tcW w:w="0" w:type="auto"/>
            <w:noWrap/>
            <w:hideMark/>
          </w:tcPr>
          <w:p w14:paraId="3A9E862E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</w:tr>
      <w:tr w:rsidR="007B00B4" w:rsidRPr="007B00B4" w14:paraId="7C93859B" w14:textId="77777777" w:rsidTr="007B0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31EB88" w14:textId="77777777" w:rsidR="007B00B4" w:rsidRPr="007B00B4" w:rsidRDefault="007B00B4" w:rsidP="007B00B4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Eisenberg et al. (2014)</w:t>
            </w:r>
          </w:p>
        </w:tc>
        <w:tc>
          <w:tcPr>
            <w:tcW w:w="0" w:type="auto"/>
            <w:noWrap/>
            <w:hideMark/>
          </w:tcPr>
          <w:p w14:paraId="3B25A1BD" w14:textId="77777777" w:rsidR="007B00B4" w:rsidRPr="007B00B4" w:rsidRDefault="007B00B4" w:rsidP="007B0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2DBAA7A1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2 = failed device</w:t>
            </w:r>
          </w:p>
        </w:tc>
        <w:tc>
          <w:tcPr>
            <w:tcW w:w="0" w:type="auto"/>
            <w:noWrap/>
            <w:hideMark/>
          </w:tcPr>
          <w:p w14:paraId="6CBD8867" w14:textId="77777777" w:rsidR="007B00B4" w:rsidRPr="007B00B4" w:rsidRDefault="007B00B4" w:rsidP="007B0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3E26CB1C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 xml:space="preserve">7 = </w:t>
            </w:r>
            <w:proofErr w:type="spellStart"/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lightheadedness</w:t>
            </w:r>
            <w:proofErr w:type="spellEnd"/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 xml:space="preserve"> for the first 10 minutes</w:t>
            </w:r>
          </w:p>
        </w:tc>
        <w:tc>
          <w:tcPr>
            <w:tcW w:w="0" w:type="auto"/>
            <w:noWrap/>
            <w:hideMark/>
          </w:tcPr>
          <w:p w14:paraId="714AB607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A3627F9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AA857FE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74491A0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</w:tr>
      <w:tr w:rsidR="007B00B4" w:rsidRPr="007B00B4" w14:paraId="1DF183BB" w14:textId="77777777" w:rsidTr="007B00B4">
        <w:trPr>
          <w:trHeight w:val="2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798D62" w14:textId="77777777" w:rsidR="007B00B4" w:rsidRPr="007B00B4" w:rsidRDefault="007B00B4" w:rsidP="007B00B4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lastRenderedPageBreak/>
              <w:t>Giorgi et al. (2020)</w:t>
            </w:r>
          </w:p>
        </w:tc>
        <w:tc>
          <w:tcPr>
            <w:tcW w:w="0" w:type="auto"/>
            <w:noWrap/>
            <w:hideMark/>
          </w:tcPr>
          <w:p w14:paraId="4C31CF07" w14:textId="77777777" w:rsidR="007B00B4" w:rsidRPr="007B00B4" w:rsidRDefault="007B00B4" w:rsidP="007B0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102</w:t>
            </w:r>
          </w:p>
        </w:tc>
        <w:tc>
          <w:tcPr>
            <w:tcW w:w="0" w:type="auto"/>
            <w:hideMark/>
          </w:tcPr>
          <w:p w14:paraId="2DE024FF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25 = lost to follow-up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3 = lack of benefit effect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6 = adverse events (mainly nausea, palpitations and dizziness)**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2 = high cost of treatment</w:t>
            </w:r>
          </w:p>
        </w:tc>
        <w:tc>
          <w:tcPr>
            <w:tcW w:w="0" w:type="auto"/>
            <w:noWrap/>
            <w:hideMark/>
          </w:tcPr>
          <w:p w14:paraId="0AF8223B" w14:textId="77777777" w:rsidR="007B00B4" w:rsidRPr="007B00B4" w:rsidRDefault="007B00B4" w:rsidP="007B0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6C45F1DF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25CD9F1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F21DBF9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hideMark/>
          </w:tcPr>
          <w:p w14:paraId="6100CF19" w14:textId="44D42562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 xml:space="preserve">14 = dizziness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11= sleepiness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8 = palpitations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6 = nausea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6 =  xerostomia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5 = blurred vision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5 = </w:t>
            </w:r>
            <w:r w:rsidR="00AC422B"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stypsis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3 = headache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3 = hunger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1 = </w:t>
            </w:r>
            <w:proofErr w:type="spellStart"/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dyspnea</w:t>
            </w:r>
            <w:proofErr w:type="spellEnd"/>
          </w:p>
        </w:tc>
        <w:tc>
          <w:tcPr>
            <w:tcW w:w="0" w:type="auto"/>
            <w:noWrap/>
            <w:hideMark/>
          </w:tcPr>
          <w:p w14:paraId="7715E4A5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</w:tr>
      <w:tr w:rsidR="007B00B4" w:rsidRPr="007B00B4" w14:paraId="055B3A88" w14:textId="77777777" w:rsidTr="007B0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576517" w14:textId="77777777" w:rsidR="007B00B4" w:rsidRPr="007B00B4" w:rsidRDefault="007B00B4" w:rsidP="007B00B4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Mazza et al. (2021)*</w:t>
            </w:r>
          </w:p>
        </w:tc>
        <w:tc>
          <w:tcPr>
            <w:tcW w:w="0" w:type="auto"/>
            <w:noWrap/>
            <w:hideMark/>
          </w:tcPr>
          <w:p w14:paraId="14CDFA20" w14:textId="77777777" w:rsidR="007B00B4" w:rsidRPr="007B00B4" w:rsidRDefault="007B00B4" w:rsidP="007B0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3D015E24" w14:textId="734C7112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before start of the treatment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 = did not start due to unpleasant scent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1 = </w:t>
            </w:r>
            <w:r w:rsidR="00EE1748"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difficulty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 xml:space="preserve"> to retrieve cannabis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 = long period of hospitalization following prescription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</w:r>
            <w:r w:rsidRPr="007B0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1 month follow-up (n=30)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4 = </w:t>
            </w:r>
            <w:r w:rsidR="00EE1748"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vomiting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 xml:space="preserve"> after intake**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1 = experienced several side </w:t>
            </w:r>
            <w:r w:rsidR="00EE1748"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effects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**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</w:r>
            <w:r w:rsidRPr="007B0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3 months follow-up (n=18)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12 = different side effects**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</w:r>
            <w:r w:rsidRPr="007B0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12 months follow-up (n=12)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6 = personal reasons, moving or pharmacy no longer supplied cannabis</w:t>
            </w:r>
          </w:p>
        </w:tc>
        <w:tc>
          <w:tcPr>
            <w:tcW w:w="0" w:type="auto"/>
            <w:noWrap/>
            <w:hideMark/>
          </w:tcPr>
          <w:p w14:paraId="78854D9C" w14:textId="77777777" w:rsidR="007B00B4" w:rsidRPr="007B00B4" w:rsidRDefault="007B00B4" w:rsidP="007B0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2CFF6544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CDCA476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79E3D01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hideMark/>
          </w:tcPr>
          <w:p w14:paraId="2C9705B0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after one day to 1 month (n=35)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13 = mental confusion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5 = nausea/vomiting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5 = vertigo/dizziness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5 = restlessness/irritation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4 = palpitations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4 = somnolence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2 = dry mouth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2 = insomnia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 = nightmares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 = increased hunger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 = euphoria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 = headache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 = increased sexual drive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 = abdominal distension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 = erect nipples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 = fatigue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 = anger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</w:r>
            <w:r w:rsidRPr="007B0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after 3 months (n=18)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 = headache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 = decreased creativity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</w:r>
            <w:r w:rsidRPr="007B0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after 12 months (n=12)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2 = memory impairment</w:t>
            </w:r>
          </w:p>
        </w:tc>
        <w:tc>
          <w:tcPr>
            <w:tcW w:w="0" w:type="auto"/>
            <w:noWrap/>
            <w:hideMark/>
          </w:tcPr>
          <w:p w14:paraId="38C1FEDD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</w:tr>
      <w:tr w:rsidR="007B00B4" w:rsidRPr="007B00B4" w14:paraId="146775AB" w14:textId="77777777" w:rsidTr="007B00B4">
        <w:trPr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E12982" w14:textId="77777777" w:rsidR="007B00B4" w:rsidRPr="007B00B4" w:rsidRDefault="007B00B4" w:rsidP="007B00B4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lastRenderedPageBreak/>
              <w:t>Nunnari et al. (2022)*</w:t>
            </w:r>
          </w:p>
        </w:tc>
        <w:tc>
          <w:tcPr>
            <w:tcW w:w="0" w:type="auto"/>
            <w:noWrap/>
            <w:hideMark/>
          </w:tcPr>
          <w:p w14:paraId="34021940" w14:textId="77777777" w:rsidR="007B00B4" w:rsidRPr="007B00B4" w:rsidRDefault="007B00B4" w:rsidP="007B0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186</w:t>
            </w:r>
          </w:p>
        </w:tc>
        <w:tc>
          <w:tcPr>
            <w:tcW w:w="0" w:type="auto"/>
            <w:hideMark/>
          </w:tcPr>
          <w:p w14:paraId="4F8F687E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6 = different formulations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20 = discontinuation of cannabis-based oil before six months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 xml:space="preserve">104 = lack of a follow-up visit after at least six months from the first consumption </w:t>
            </w:r>
          </w:p>
        </w:tc>
        <w:tc>
          <w:tcPr>
            <w:tcW w:w="0" w:type="auto"/>
            <w:noWrap/>
            <w:hideMark/>
          </w:tcPr>
          <w:p w14:paraId="4BA8851C" w14:textId="77777777" w:rsidR="007B00B4" w:rsidRPr="007B00B4" w:rsidRDefault="007B00B4" w:rsidP="007B0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1B076D20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6F211F6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FA7B9BA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08CC041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NR</w:t>
            </w:r>
          </w:p>
        </w:tc>
        <w:tc>
          <w:tcPr>
            <w:tcW w:w="0" w:type="auto"/>
            <w:noWrap/>
            <w:hideMark/>
          </w:tcPr>
          <w:p w14:paraId="22B8537C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</w:tr>
      <w:tr w:rsidR="007B00B4" w:rsidRPr="007B00B4" w14:paraId="79EEBD4C" w14:textId="77777777" w:rsidTr="007B0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19EEBF" w14:textId="77777777" w:rsidR="007B00B4" w:rsidRPr="007B00B4" w:rsidRDefault="007B00B4" w:rsidP="007B00B4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Palmieri et al. (2019)</w:t>
            </w:r>
          </w:p>
        </w:tc>
        <w:tc>
          <w:tcPr>
            <w:tcW w:w="0" w:type="auto"/>
            <w:noWrap/>
            <w:hideMark/>
          </w:tcPr>
          <w:p w14:paraId="5DE8F61E" w14:textId="77777777" w:rsidR="007B00B4" w:rsidRPr="007B00B4" w:rsidRDefault="007B00B4" w:rsidP="007B0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D36C9D8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9EA415B" w14:textId="77777777" w:rsidR="007B00B4" w:rsidRPr="007B00B4" w:rsidRDefault="007B00B4" w:rsidP="007B0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3ADA0A63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3 = somnolence</w:t>
            </w:r>
          </w:p>
        </w:tc>
        <w:tc>
          <w:tcPr>
            <w:tcW w:w="0" w:type="auto"/>
            <w:noWrap/>
            <w:hideMark/>
          </w:tcPr>
          <w:p w14:paraId="59CD58FF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5DC1118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688931E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080D817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</w:tr>
      <w:tr w:rsidR="007B00B4" w:rsidRPr="007B00B4" w14:paraId="59C30860" w14:textId="77777777" w:rsidTr="007B00B4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E10FBC" w14:textId="77777777" w:rsidR="007B00B4" w:rsidRPr="007B00B4" w:rsidRDefault="007B00B4" w:rsidP="007B00B4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Poli et al. (2018)</w:t>
            </w:r>
          </w:p>
        </w:tc>
        <w:tc>
          <w:tcPr>
            <w:tcW w:w="0" w:type="auto"/>
            <w:noWrap/>
            <w:hideMark/>
          </w:tcPr>
          <w:p w14:paraId="13257458" w14:textId="77777777" w:rsidR="007B00B4" w:rsidRPr="007B00B4" w:rsidRDefault="007B00B4" w:rsidP="007B0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338</w:t>
            </w:r>
          </w:p>
        </w:tc>
        <w:tc>
          <w:tcPr>
            <w:tcW w:w="0" w:type="auto"/>
            <w:hideMark/>
          </w:tcPr>
          <w:p w14:paraId="1EED0DAA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1 month follow-up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79 = inefficacy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33 = side effects (sleepiness 30%; mental confusion 25%)**</w:t>
            </w:r>
          </w:p>
        </w:tc>
        <w:tc>
          <w:tcPr>
            <w:tcW w:w="0" w:type="auto"/>
            <w:noWrap/>
            <w:hideMark/>
          </w:tcPr>
          <w:p w14:paraId="0732075B" w14:textId="77777777" w:rsidR="007B00B4" w:rsidRPr="007B00B4" w:rsidRDefault="007B00B4" w:rsidP="007B0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338</w:t>
            </w:r>
          </w:p>
        </w:tc>
        <w:tc>
          <w:tcPr>
            <w:tcW w:w="0" w:type="auto"/>
            <w:hideMark/>
          </w:tcPr>
          <w:p w14:paraId="2550E44F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10 = sleepiness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8 = mental confusion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15 = other side effects</w:t>
            </w:r>
          </w:p>
        </w:tc>
        <w:tc>
          <w:tcPr>
            <w:tcW w:w="0" w:type="auto"/>
            <w:noWrap/>
            <w:hideMark/>
          </w:tcPr>
          <w:p w14:paraId="2B5371A8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B3C1465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AE742C8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64F9AF32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</w:tr>
      <w:tr w:rsidR="007B00B4" w:rsidRPr="007B00B4" w14:paraId="0973AA57" w14:textId="77777777" w:rsidTr="007B0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252457" w14:textId="77777777" w:rsidR="007B00B4" w:rsidRPr="007B00B4" w:rsidRDefault="007B00B4" w:rsidP="007B00B4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proofErr w:type="spellStart"/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Vulfsons</w:t>
            </w:r>
            <w:proofErr w:type="spellEnd"/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 xml:space="preserve"> et al. (2020)</w:t>
            </w:r>
          </w:p>
        </w:tc>
        <w:tc>
          <w:tcPr>
            <w:tcW w:w="0" w:type="auto"/>
            <w:noWrap/>
            <w:hideMark/>
          </w:tcPr>
          <w:p w14:paraId="6DEFF2CC" w14:textId="77777777" w:rsidR="007B00B4" w:rsidRPr="007B00B4" w:rsidRDefault="007B00B4" w:rsidP="007B0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29426A1B" w14:textId="027285AC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 xml:space="preserve">1 = </w:t>
            </w:r>
            <w:r w:rsidR="00EE1748"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preferred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 xml:space="preserve"> not to use the inhaler</w:t>
            </w:r>
          </w:p>
        </w:tc>
        <w:tc>
          <w:tcPr>
            <w:tcW w:w="0" w:type="auto"/>
            <w:noWrap/>
            <w:hideMark/>
          </w:tcPr>
          <w:p w14:paraId="73ED5A28" w14:textId="77777777" w:rsidR="007B00B4" w:rsidRPr="007B00B4" w:rsidRDefault="007B00B4" w:rsidP="007B0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73A8B441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 xml:space="preserve">3 = mild cough after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inhalation</w:t>
            </w:r>
          </w:p>
        </w:tc>
        <w:tc>
          <w:tcPr>
            <w:tcW w:w="0" w:type="auto"/>
            <w:noWrap/>
            <w:hideMark/>
          </w:tcPr>
          <w:p w14:paraId="2A18080B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6F94D28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511FC74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E0ED0F9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</w:tr>
      <w:tr w:rsidR="007B00B4" w:rsidRPr="007B00B4" w14:paraId="4F3B0C60" w14:textId="77777777" w:rsidTr="007B00B4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5A82D4" w14:textId="77777777" w:rsidR="007B00B4" w:rsidRPr="007B00B4" w:rsidRDefault="007B00B4" w:rsidP="007B00B4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Sacca et al. (2016)</w:t>
            </w:r>
          </w:p>
        </w:tc>
        <w:tc>
          <w:tcPr>
            <w:tcW w:w="0" w:type="auto"/>
            <w:noWrap/>
            <w:hideMark/>
          </w:tcPr>
          <w:p w14:paraId="6C59D3D5" w14:textId="77777777" w:rsidR="007B00B4" w:rsidRPr="007B00B4" w:rsidRDefault="007B00B4" w:rsidP="007B0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4D2083E5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 xml:space="preserve">1 = dizziness** 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 = drug cost</w:t>
            </w:r>
          </w:p>
        </w:tc>
        <w:tc>
          <w:tcPr>
            <w:tcW w:w="0" w:type="auto"/>
            <w:noWrap/>
            <w:hideMark/>
          </w:tcPr>
          <w:p w14:paraId="7370C939" w14:textId="77777777" w:rsidR="007B00B4" w:rsidRPr="007B00B4" w:rsidRDefault="007B00B4" w:rsidP="007B0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48E4722A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 xml:space="preserve">3 = dizziness </w:t>
            </w:r>
          </w:p>
        </w:tc>
        <w:tc>
          <w:tcPr>
            <w:tcW w:w="0" w:type="auto"/>
            <w:noWrap/>
            <w:hideMark/>
          </w:tcPr>
          <w:p w14:paraId="7EFC82CE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83318F7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B518696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1A4ED94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</w:tr>
      <w:tr w:rsidR="007B00B4" w:rsidRPr="007B00B4" w14:paraId="4CB6EBC1" w14:textId="77777777" w:rsidTr="007B0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568EE6" w14:textId="77777777" w:rsidR="007B00B4" w:rsidRPr="007B00B4" w:rsidRDefault="007B00B4" w:rsidP="007B00B4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Engels et al. (2007)</w:t>
            </w:r>
          </w:p>
        </w:tc>
        <w:tc>
          <w:tcPr>
            <w:tcW w:w="0" w:type="auto"/>
            <w:noWrap/>
            <w:hideMark/>
          </w:tcPr>
          <w:p w14:paraId="3EB4E718" w14:textId="77777777" w:rsidR="007B00B4" w:rsidRPr="007B00B4" w:rsidRDefault="007B00B4" w:rsidP="007B0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3D125FE2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4F5249E" w14:textId="77777777" w:rsidR="007B00B4" w:rsidRPr="007B00B4" w:rsidRDefault="007B00B4" w:rsidP="007B0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4B8A67C3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NR</w:t>
            </w:r>
          </w:p>
        </w:tc>
        <w:tc>
          <w:tcPr>
            <w:tcW w:w="0" w:type="auto"/>
            <w:noWrap/>
            <w:hideMark/>
          </w:tcPr>
          <w:p w14:paraId="17BB7DAF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ED14DE3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EA5B07F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570A001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</w:tr>
      <w:tr w:rsidR="007B00B4" w:rsidRPr="007B00B4" w14:paraId="4515CC11" w14:textId="77777777" w:rsidTr="007B00B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7F1718" w14:textId="77777777" w:rsidR="007B00B4" w:rsidRPr="007B00B4" w:rsidRDefault="007B00B4" w:rsidP="007B00B4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Zafar et al. (2020)</w:t>
            </w:r>
          </w:p>
        </w:tc>
        <w:tc>
          <w:tcPr>
            <w:tcW w:w="0" w:type="auto"/>
            <w:noWrap/>
            <w:hideMark/>
          </w:tcPr>
          <w:p w14:paraId="46A5AE3D" w14:textId="77777777" w:rsidR="007B00B4" w:rsidRPr="007B00B4" w:rsidRDefault="007B00B4" w:rsidP="007B0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5D1A2EAE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07D9EDA" w14:textId="77777777" w:rsidR="007B00B4" w:rsidRPr="007B00B4" w:rsidRDefault="007B00B4" w:rsidP="007B0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E4402A2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2260135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7090793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0746A85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No adverse side effects occurred</w:t>
            </w:r>
          </w:p>
        </w:tc>
        <w:tc>
          <w:tcPr>
            <w:tcW w:w="0" w:type="auto"/>
            <w:noWrap/>
            <w:hideMark/>
          </w:tcPr>
          <w:p w14:paraId="5D273B2B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</w:tr>
      <w:tr w:rsidR="007B00B4" w:rsidRPr="007B00B4" w14:paraId="56F10D24" w14:textId="77777777" w:rsidTr="007B0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429425" w14:textId="77777777" w:rsidR="007B00B4" w:rsidRPr="007B00B4" w:rsidRDefault="007B00B4" w:rsidP="007B00B4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Zafar et al. (2021)*</w:t>
            </w:r>
          </w:p>
        </w:tc>
        <w:tc>
          <w:tcPr>
            <w:tcW w:w="0" w:type="auto"/>
            <w:noWrap/>
            <w:hideMark/>
          </w:tcPr>
          <w:p w14:paraId="453A45D4" w14:textId="77777777" w:rsidR="007B00B4" w:rsidRPr="007B00B4" w:rsidRDefault="007B00B4" w:rsidP="007B0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795AF8E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47CB6BF" w14:textId="77777777" w:rsidR="007B00B4" w:rsidRPr="007B00B4" w:rsidRDefault="007B00B4" w:rsidP="007B0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6F7BA742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5CC8223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41A97FF6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E9ED4F7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No adverse side effects occurred</w:t>
            </w:r>
          </w:p>
        </w:tc>
        <w:tc>
          <w:tcPr>
            <w:tcW w:w="0" w:type="auto"/>
            <w:noWrap/>
            <w:hideMark/>
          </w:tcPr>
          <w:p w14:paraId="4E5CBDFA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</w:tr>
      <w:tr w:rsidR="007B00B4" w:rsidRPr="007B00B4" w14:paraId="69033A22" w14:textId="77777777" w:rsidTr="007B00B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91F870" w14:textId="77777777" w:rsidR="007B00B4" w:rsidRPr="007B00B4" w:rsidRDefault="007B00B4" w:rsidP="007B00B4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Pane et al. (2020)</w:t>
            </w:r>
          </w:p>
        </w:tc>
        <w:tc>
          <w:tcPr>
            <w:tcW w:w="0" w:type="auto"/>
            <w:noWrap/>
            <w:hideMark/>
          </w:tcPr>
          <w:p w14:paraId="12F4E324" w14:textId="77777777" w:rsidR="007B00B4" w:rsidRPr="007B00B4" w:rsidRDefault="007B00B4" w:rsidP="007B0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7BA98B2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2C80BC7B" w14:textId="77777777" w:rsidR="007B00B4" w:rsidRPr="007B00B4" w:rsidRDefault="007B00B4" w:rsidP="007B0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1CB9006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961321C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00CC46A6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7BF060D" w14:textId="27625A2B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 xml:space="preserve">1 = </w:t>
            </w:r>
            <w:r w:rsidR="00EE1748"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panic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 xml:space="preserve"> attack</w:t>
            </w:r>
          </w:p>
        </w:tc>
        <w:tc>
          <w:tcPr>
            <w:tcW w:w="0" w:type="auto"/>
            <w:noWrap/>
            <w:hideMark/>
          </w:tcPr>
          <w:p w14:paraId="3657FFF5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</w:tr>
      <w:tr w:rsidR="007B00B4" w:rsidRPr="007B00B4" w14:paraId="70114D77" w14:textId="77777777" w:rsidTr="007B0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DA2C47" w14:textId="77777777" w:rsidR="007B00B4" w:rsidRPr="007B00B4" w:rsidRDefault="007B00B4" w:rsidP="007B00B4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Palmieri et al. (2023)</w:t>
            </w:r>
          </w:p>
        </w:tc>
        <w:tc>
          <w:tcPr>
            <w:tcW w:w="0" w:type="auto"/>
            <w:noWrap/>
            <w:hideMark/>
          </w:tcPr>
          <w:p w14:paraId="3BE17849" w14:textId="77777777" w:rsidR="007B00B4" w:rsidRPr="007B00B4" w:rsidRDefault="007B00B4" w:rsidP="007B0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53D04FDA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9943509" w14:textId="77777777" w:rsidR="007B00B4" w:rsidRPr="007B00B4" w:rsidRDefault="007B00B4" w:rsidP="007B0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45C3881D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No adverse side effects occurred</w:t>
            </w:r>
          </w:p>
        </w:tc>
        <w:tc>
          <w:tcPr>
            <w:tcW w:w="0" w:type="auto"/>
            <w:noWrap/>
            <w:hideMark/>
          </w:tcPr>
          <w:p w14:paraId="7949A576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95D9369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35ECDA38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5A7C5D3A" w14:textId="77777777" w:rsidR="007B00B4" w:rsidRPr="007B00B4" w:rsidRDefault="007B00B4" w:rsidP="007B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</w:tr>
      <w:tr w:rsidR="007B00B4" w:rsidRPr="007B00B4" w14:paraId="7C7FD9BE" w14:textId="77777777" w:rsidTr="007B00B4"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D5AE70" w14:textId="77777777" w:rsidR="007B00B4" w:rsidRPr="007B00B4" w:rsidRDefault="007B00B4" w:rsidP="007B00B4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De Wit et al. (2023)</w:t>
            </w:r>
          </w:p>
        </w:tc>
        <w:tc>
          <w:tcPr>
            <w:tcW w:w="0" w:type="auto"/>
            <w:noWrap/>
            <w:hideMark/>
          </w:tcPr>
          <w:p w14:paraId="3A91E138" w14:textId="77777777" w:rsidR="007B00B4" w:rsidRPr="007B00B4" w:rsidRDefault="007B00B4" w:rsidP="007B0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0979F5B7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3 = discontinued cannabis use</w:t>
            </w:r>
          </w:p>
        </w:tc>
        <w:tc>
          <w:tcPr>
            <w:tcW w:w="0" w:type="auto"/>
            <w:noWrap/>
            <w:hideMark/>
          </w:tcPr>
          <w:p w14:paraId="26D43530" w14:textId="77777777" w:rsidR="007B00B4" w:rsidRPr="007B00B4" w:rsidRDefault="007B00B4" w:rsidP="007B0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360945C2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1CC5FCB8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noWrap/>
            <w:hideMark/>
          </w:tcPr>
          <w:p w14:paraId="727CDF21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  <w:tc>
          <w:tcPr>
            <w:tcW w:w="0" w:type="auto"/>
            <w:hideMark/>
          </w:tcPr>
          <w:p w14:paraId="3B88EF59" w14:textId="295C3386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 xml:space="preserve">4 = </w:t>
            </w:r>
            <w:r w:rsidR="00EE1748"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drug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 xml:space="preserve"> high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1 = starving</w:t>
            </w: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br/>
              <w:t>feeling anxious, depressed, or drowsy at times</w:t>
            </w:r>
          </w:p>
        </w:tc>
        <w:tc>
          <w:tcPr>
            <w:tcW w:w="0" w:type="auto"/>
            <w:noWrap/>
            <w:hideMark/>
          </w:tcPr>
          <w:p w14:paraId="0F52F4A3" w14:textId="77777777" w:rsidR="007B00B4" w:rsidRPr="007B00B4" w:rsidRDefault="007B00B4" w:rsidP="007B0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</w:pPr>
            <w:r w:rsidRPr="007B00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NL"/>
                <w14:ligatures w14:val="none"/>
              </w:rPr>
              <w:t>NA</w:t>
            </w:r>
          </w:p>
        </w:tc>
      </w:tr>
    </w:tbl>
    <w:p w14:paraId="3A363FFB" w14:textId="3262BAE4" w:rsidR="00206543" w:rsidRPr="00206543" w:rsidRDefault="00206543" w:rsidP="00831B98">
      <w:pPr>
        <w:pStyle w:val="NoSpacing"/>
        <w:rPr>
          <w:rFonts w:ascii="Arial" w:hAnsi="Arial" w:cs="Arial"/>
          <w:sz w:val="16"/>
          <w:szCs w:val="16"/>
        </w:rPr>
      </w:pPr>
      <w:r w:rsidRPr="00206543">
        <w:rPr>
          <w:rFonts w:ascii="Arial" w:hAnsi="Arial" w:cs="Arial"/>
          <w:sz w:val="16"/>
          <w:szCs w:val="16"/>
        </w:rPr>
        <w:t>*Combination treatment with medicinal cannabis from different companies, only Bedrocan products and dosing are reported</w:t>
      </w:r>
      <w:r>
        <w:rPr>
          <w:rFonts w:ascii="Arial" w:hAnsi="Arial" w:cs="Arial"/>
          <w:sz w:val="16"/>
          <w:szCs w:val="16"/>
        </w:rPr>
        <w:t xml:space="preserve">. </w:t>
      </w:r>
      <w:r w:rsidRPr="00206543">
        <w:rPr>
          <w:rFonts w:ascii="Arial" w:hAnsi="Arial" w:cs="Arial"/>
          <w:sz w:val="16"/>
          <w:szCs w:val="16"/>
        </w:rPr>
        <w:t xml:space="preserve">NR = Not Reported; NA = Not </w:t>
      </w:r>
      <w:proofErr w:type="spellStart"/>
      <w:r w:rsidRPr="00206543">
        <w:rPr>
          <w:rFonts w:ascii="Arial" w:hAnsi="Arial" w:cs="Arial"/>
          <w:sz w:val="16"/>
          <w:szCs w:val="16"/>
        </w:rPr>
        <w:t>apllicable</w:t>
      </w:r>
      <w:proofErr w:type="spellEnd"/>
      <w:r w:rsidRPr="00206543">
        <w:rPr>
          <w:rFonts w:ascii="Arial" w:hAnsi="Arial" w:cs="Arial"/>
          <w:sz w:val="16"/>
          <w:szCs w:val="16"/>
        </w:rPr>
        <w:t xml:space="preserve"> DB = Double Blind; PC = Placebo Controlled; Ra = Randomized; Cr = Crossover; OL = Open-Label; RE = Retrospective; PR = Prospective; QU = Qualitative</w:t>
      </w:r>
      <w:r>
        <w:rPr>
          <w:rFonts w:ascii="Arial" w:hAnsi="Arial" w:cs="Arial"/>
          <w:sz w:val="16"/>
          <w:szCs w:val="16"/>
        </w:rPr>
        <w:t xml:space="preserve">. </w:t>
      </w:r>
      <w:r w:rsidRPr="00206543">
        <w:rPr>
          <w:rFonts w:ascii="Arial" w:hAnsi="Arial" w:cs="Arial"/>
          <w:sz w:val="16"/>
          <w:szCs w:val="16"/>
        </w:rPr>
        <w:t>**drop-out related to side effects</w:t>
      </w:r>
    </w:p>
    <w:sectPr w:rsidR="00206543" w:rsidRPr="00206543" w:rsidSect="00486A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07F70" w14:textId="77777777" w:rsidR="00E56579" w:rsidRDefault="00E56579" w:rsidP="0017474A">
      <w:pPr>
        <w:spacing w:after="0" w:line="240" w:lineRule="auto"/>
      </w:pPr>
      <w:r>
        <w:separator/>
      </w:r>
    </w:p>
  </w:endnote>
  <w:endnote w:type="continuationSeparator" w:id="0">
    <w:p w14:paraId="08C57024" w14:textId="77777777" w:rsidR="00E56579" w:rsidRDefault="00E56579" w:rsidP="0017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5611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C9717" w14:textId="2AF63788" w:rsidR="0017474A" w:rsidRDefault="001747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8252A8" w14:textId="77777777" w:rsidR="0017474A" w:rsidRDefault="00174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B022A" w14:textId="77777777" w:rsidR="00E56579" w:rsidRDefault="00E56579" w:rsidP="0017474A">
      <w:pPr>
        <w:spacing w:after="0" w:line="240" w:lineRule="auto"/>
      </w:pPr>
      <w:r>
        <w:separator/>
      </w:r>
    </w:p>
  </w:footnote>
  <w:footnote w:type="continuationSeparator" w:id="0">
    <w:p w14:paraId="5F9E1225" w14:textId="77777777" w:rsidR="00E56579" w:rsidRDefault="00E56579" w:rsidP="00174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42"/>
    <w:rsid w:val="000067EE"/>
    <w:rsid w:val="0015289E"/>
    <w:rsid w:val="0017474A"/>
    <w:rsid w:val="001A7A88"/>
    <w:rsid w:val="001C6D23"/>
    <w:rsid w:val="00206543"/>
    <w:rsid w:val="002100A9"/>
    <w:rsid w:val="00227F50"/>
    <w:rsid w:val="0027749E"/>
    <w:rsid w:val="002E3CF2"/>
    <w:rsid w:val="00334061"/>
    <w:rsid w:val="00382BDD"/>
    <w:rsid w:val="003A36BB"/>
    <w:rsid w:val="00405952"/>
    <w:rsid w:val="004260D8"/>
    <w:rsid w:val="0045437D"/>
    <w:rsid w:val="004718BA"/>
    <w:rsid w:val="0047329A"/>
    <w:rsid w:val="00486AAB"/>
    <w:rsid w:val="005506FF"/>
    <w:rsid w:val="005648B1"/>
    <w:rsid w:val="00572E0F"/>
    <w:rsid w:val="005A617B"/>
    <w:rsid w:val="005E083E"/>
    <w:rsid w:val="005F18C7"/>
    <w:rsid w:val="006033D0"/>
    <w:rsid w:val="0061621D"/>
    <w:rsid w:val="00640C8E"/>
    <w:rsid w:val="00667465"/>
    <w:rsid w:val="0067432C"/>
    <w:rsid w:val="00676407"/>
    <w:rsid w:val="0069115D"/>
    <w:rsid w:val="00691167"/>
    <w:rsid w:val="006E7845"/>
    <w:rsid w:val="006F017A"/>
    <w:rsid w:val="00732BD7"/>
    <w:rsid w:val="00737685"/>
    <w:rsid w:val="00750E74"/>
    <w:rsid w:val="007A36C0"/>
    <w:rsid w:val="007B00B4"/>
    <w:rsid w:val="00831B98"/>
    <w:rsid w:val="00834AB8"/>
    <w:rsid w:val="008570F6"/>
    <w:rsid w:val="00873665"/>
    <w:rsid w:val="008910B6"/>
    <w:rsid w:val="008A1D9E"/>
    <w:rsid w:val="008B0B3F"/>
    <w:rsid w:val="008B726F"/>
    <w:rsid w:val="008C63C1"/>
    <w:rsid w:val="008F7CBA"/>
    <w:rsid w:val="009912EE"/>
    <w:rsid w:val="009A52E2"/>
    <w:rsid w:val="009F1842"/>
    <w:rsid w:val="00A07931"/>
    <w:rsid w:val="00A13A08"/>
    <w:rsid w:val="00A1689F"/>
    <w:rsid w:val="00A223DE"/>
    <w:rsid w:val="00A26117"/>
    <w:rsid w:val="00A3086A"/>
    <w:rsid w:val="00A45A9C"/>
    <w:rsid w:val="00A5483D"/>
    <w:rsid w:val="00A97D7C"/>
    <w:rsid w:val="00AB0EBC"/>
    <w:rsid w:val="00AB1A5C"/>
    <w:rsid w:val="00AC422B"/>
    <w:rsid w:val="00B06EC3"/>
    <w:rsid w:val="00B13338"/>
    <w:rsid w:val="00B30791"/>
    <w:rsid w:val="00B62A72"/>
    <w:rsid w:val="00B66359"/>
    <w:rsid w:val="00B84E27"/>
    <w:rsid w:val="00BC059B"/>
    <w:rsid w:val="00C21C90"/>
    <w:rsid w:val="00C67F02"/>
    <w:rsid w:val="00CD2B61"/>
    <w:rsid w:val="00CE1CB9"/>
    <w:rsid w:val="00CF0C6A"/>
    <w:rsid w:val="00CF27F0"/>
    <w:rsid w:val="00D057CA"/>
    <w:rsid w:val="00D06366"/>
    <w:rsid w:val="00D87CD2"/>
    <w:rsid w:val="00DD4E1B"/>
    <w:rsid w:val="00E1171E"/>
    <w:rsid w:val="00E238FC"/>
    <w:rsid w:val="00E32553"/>
    <w:rsid w:val="00E33AA4"/>
    <w:rsid w:val="00E56579"/>
    <w:rsid w:val="00E90AFD"/>
    <w:rsid w:val="00E92ADC"/>
    <w:rsid w:val="00ED2A80"/>
    <w:rsid w:val="00ED5647"/>
    <w:rsid w:val="00EE1748"/>
    <w:rsid w:val="00EE5BD4"/>
    <w:rsid w:val="00F247D9"/>
    <w:rsid w:val="00F33448"/>
    <w:rsid w:val="00F77C4E"/>
    <w:rsid w:val="00F81756"/>
    <w:rsid w:val="00F86423"/>
    <w:rsid w:val="00FB5F88"/>
    <w:rsid w:val="00FC1E39"/>
    <w:rsid w:val="00FE08A7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8EA3D6"/>
  <w15:chartTrackingRefBased/>
  <w15:docId w15:val="{C965C1FF-56E8-43E3-A3BD-A0E1AE17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2E2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1A7A88"/>
  </w:style>
  <w:style w:type="character" w:styleId="PlaceholderText">
    <w:name w:val="Placeholder Text"/>
    <w:basedOn w:val="DefaultParagraphFont"/>
    <w:uiPriority w:val="99"/>
    <w:semiHidden/>
    <w:rsid w:val="00227F50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C05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5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4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74A"/>
  </w:style>
  <w:style w:type="paragraph" w:styleId="Footer">
    <w:name w:val="footer"/>
    <w:basedOn w:val="Normal"/>
    <w:link w:val="FooterChar"/>
    <w:uiPriority w:val="99"/>
    <w:unhideWhenUsed/>
    <w:rsid w:val="00174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74A"/>
  </w:style>
  <w:style w:type="table" w:styleId="PlainTable4">
    <w:name w:val="Plain Table 4"/>
    <w:basedOn w:val="TableNormal"/>
    <w:uiPriority w:val="44"/>
    <w:rsid w:val="007B00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6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5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92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5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4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8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9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7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1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5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5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4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4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5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4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3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4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0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4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3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6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9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5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7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4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1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5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2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5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109/15360288.2014.941130" TargetMode="External"/><Relationship Id="rId18" Type="http://schemas.openxmlformats.org/officeDocument/2006/relationships/hyperlink" Target="https://doi.org/10.1007/s00213-014-3630-2" TargetMode="External"/><Relationship Id="rId26" Type="http://schemas.openxmlformats.org/officeDocument/2006/relationships/hyperlink" Target="https://doi.org/10.1007/s00213-016-4383-x" TargetMode="External"/><Relationship Id="rId39" Type="http://schemas.openxmlformats.org/officeDocument/2006/relationships/hyperlink" Target="https://doi.org/10.1016/j.drugalcdep.2006.03.015" TargetMode="External"/><Relationship Id="rId21" Type="http://schemas.openxmlformats.org/officeDocument/2006/relationships/hyperlink" Target="https://doi.org/10.1007/s00213-022-06248-9" TargetMode="External"/><Relationship Id="rId34" Type="http://schemas.openxmlformats.org/officeDocument/2006/relationships/hyperlink" Target="https://doi.org/10.1007/s10072-019-04162-1" TargetMode="External"/><Relationship Id="rId42" Type="http://schemas.openxmlformats.org/officeDocument/2006/relationships/hyperlink" Target="https://doi.org/10.1016/j.bpsc.2022.10.004" TargetMode="External"/><Relationship Id="rId47" Type="http://schemas.openxmlformats.org/officeDocument/2006/relationships/hyperlink" Target="https://doi.org/10.1007/s00414-019-02006-3" TargetMode="External"/><Relationship Id="rId50" Type="http://schemas.openxmlformats.org/officeDocument/2006/relationships/hyperlink" Target="https://doi.org/10.1097/j.pain.0000000000001464" TargetMode="External"/><Relationship Id="rId55" Type="http://schemas.openxmlformats.org/officeDocument/2006/relationships/hyperlink" Target="https://doi.org/10.1097/PR9.0000000000001011" TargetMode="External"/><Relationship Id="rId63" Type="http://schemas.openxmlformats.org/officeDocument/2006/relationships/hyperlink" Target="https://doi.org/10.1177/2050324520974487" TargetMode="External"/><Relationship Id="rId68" Type="http://schemas.openxmlformats.org/officeDocument/2006/relationships/glossaryDocument" Target="glossary/document.xml"/><Relationship Id="rId7" Type="http://schemas.openxmlformats.org/officeDocument/2006/relationships/hyperlink" Target="https://doi.org/10.1002/ejp.16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07/s00216-013-7412-1" TargetMode="External"/><Relationship Id="rId29" Type="http://schemas.openxmlformats.org/officeDocument/2006/relationships/hyperlink" Target="https://doi.org/10.1016/j.euroneuro.2018.12.00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136/bcr-2021-242568" TargetMode="External"/><Relationship Id="rId24" Type="http://schemas.openxmlformats.org/officeDocument/2006/relationships/hyperlink" Target="https://doi.org/10.1007/s00213-014-3749-1" TargetMode="External"/><Relationship Id="rId32" Type="http://schemas.openxmlformats.org/officeDocument/2006/relationships/hyperlink" Target="https://doi.org/10.1111/ijpp.12514" TargetMode="External"/><Relationship Id="rId37" Type="http://schemas.openxmlformats.org/officeDocument/2006/relationships/hyperlink" Target="https://doi.org/10.1038/sj.npp.1301068" TargetMode="External"/><Relationship Id="rId40" Type="http://schemas.openxmlformats.org/officeDocument/2006/relationships/hyperlink" Target="https://doi.org/10.1007/s00213-010-2042-1" TargetMode="External"/><Relationship Id="rId45" Type="http://schemas.openxmlformats.org/officeDocument/2006/relationships/hyperlink" Target="https://doi.org/10.1016/j.euroneuro.2016.03.015" TargetMode="External"/><Relationship Id="rId53" Type="http://schemas.openxmlformats.org/officeDocument/2006/relationships/hyperlink" Target="https://doi.org/10.1177/0269881119841568" TargetMode="External"/><Relationship Id="rId58" Type="http://schemas.openxmlformats.org/officeDocument/2006/relationships/hyperlink" Target="https://doi.org/10.1089/can.2017.0018" TargetMode="External"/><Relationship Id="rId66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s://doi.org/10.1038/s41386-022-01478-z" TargetMode="External"/><Relationship Id="rId23" Type="http://schemas.openxmlformats.org/officeDocument/2006/relationships/hyperlink" Target="https://doi.org/10.1073/pnas.1920162117/-/DCSupplemental" TargetMode="External"/><Relationship Id="rId28" Type="http://schemas.openxmlformats.org/officeDocument/2006/relationships/hyperlink" Target="https://doi.org/10.1111/adb.12870" TargetMode="External"/><Relationship Id="rId36" Type="http://schemas.openxmlformats.org/officeDocument/2006/relationships/hyperlink" Target="https://doi.org/10.1177/0269881108092393" TargetMode="External"/><Relationship Id="rId49" Type="http://schemas.openxmlformats.org/officeDocument/2006/relationships/hyperlink" Target="https://doi.org/10.1016/j.bja.2022.12.018" TargetMode="External"/><Relationship Id="rId57" Type="http://schemas.openxmlformats.org/officeDocument/2006/relationships/hyperlink" Target="https://doi.org/10.1089/can.2022.0174" TargetMode="External"/><Relationship Id="rId61" Type="http://schemas.openxmlformats.org/officeDocument/2006/relationships/hyperlink" Target="https://doi.org/10.1111/add.16353" TargetMode="External"/><Relationship Id="rId10" Type="http://schemas.openxmlformats.org/officeDocument/2006/relationships/hyperlink" Target="https://doi.org/10.1371/journal.pone.0052545" TargetMode="External"/><Relationship Id="rId19" Type="http://schemas.openxmlformats.org/officeDocument/2006/relationships/hyperlink" Target="https://doi.org/10.1007/s00213-008-1440-0" TargetMode="External"/><Relationship Id="rId31" Type="http://schemas.openxmlformats.org/officeDocument/2006/relationships/hyperlink" Target="https://doi.org/10.1017/S0033291720001038" TargetMode="External"/><Relationship Id="rId44" Type="http://schemas.openxmlformats.org/officeDocument/2006/relationships/hyperlink" Target="https://doi.org/10.1007/s00213-015-4141-5" TargetMode="External"/><Relationship Id="rId52" Type="http://schemas.openxmlformats.org/officeDocument/2006/relationships/hyperlink" Target="https://doi.org/10.1177/02698811221092506" TargetMode="External"/><Relationship Id="rId60" Type="http://schemas.openxmlformats.org/officeDocument/2006/relationships/hyperlink" Target="https://doi.org/10.1186/s42238-021-00060-6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93/pm/pnab245" TargetMode="External"/><Relationship Id="rId14" Type="http://schemas.openxmlformats.org/officeDocument/2006/relationships/hyperlink" Target="https://doi.org/10.1634/theoncologist.12-3-291" TargetMode="External"/><Relationship Id="rId22" Type="http://schemas.openxmlformats.org/officeDocument/2006/relationships/hyperlink" Target="https://doi.org/10.3390/ijms18081739" TargetMode="External"/><Relationship Id="rId27" Type="http://schemas.openxmlformats.org/officeDocument/2006/relationships/hyperlink" Target="https://doi.org/10.1111/add.16154" TargetMode="External"/><Relationship Id="rId30" Type="http://schemas.openxmlformats.org/officeDocument/2006/relationships/hyperlink" Target="https://doi.org/10.1038/tp.2016.225" TargetMode="External"/><Relationship Id="rId35" Type="http://schemas.openxmlformats.org/officeDocument/2006/relationships/hyperlink" Target="https://doi.org/10.7417/T.2018.2062" TargetMode="External"/><Relationship Id="rId43" Type="http://schemas.openxmlformats.org/officeDocument/2006/relationships/hyperlink" Target="https://doi.org/10.1111/adb.12274" TargetMode="External"/><Relationship Id="rId48" Type="http://schemas.openxmlformats.org/officeDocument/2006/relationships/hyperlink" Target="https://doi.org/10.1007/s00213-014-3667-2" TargetMode="External"/><Relationship Id="rId56" Type="http://schemas.openxmlformats.org/officeDocument/2006/relationships/hyperlink" Target="https://doi.org/10.1007/s00216-009-3431-3" TargetMode="External"/><Relationship Id="rId64" Type="http://schemas.openxmlformats.org/officeDocument/2006/relationships/hyperlink" Target="https://doi.org/10.1136/bmjpo-2021-001234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doi.org/10.1001/jama.2020.21218" TargetMode="External"/><Relationship Id="rId51" Type="http://schemas.openxmlformats.org/officeDocument/2006/relationships/hyperlink" Target="https://doi.org/10.1017/S147895151900021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8103/m" TargetMode="External"/><Relationship Id="rId17" Type="http://schemas.openxmlformats.org/officeDocument/2006/relationships/hyperlink" Target="https://doi.org/10.1177/0269881120959601" TargetMode="External"/><Relationship Id="rId25" Type="http://schemas.openxmlformats.org/officeDocument/2006/relationships/hyperlink" Target="https://doi.org/10.1016/j.euroneuro.2015.08.001" TargetMode="External"/><Relationship Id="rId33" Type="http://schemas.openxmlformats.org/officeDocument/2006/relationships/hyperlink" Target="https://doi.org/10.7417/CT.2023.2497" TargetMode="External"/><Relationship Id="rId38" Type="http://schemas.openxmlformats.org/officeDocument/2006/relationships/hyperlink" Target="https://doi.org/10.1038/s41598-022-06509-9" TargetMode="External"/><Relationship Id="rId46" Type="http://schemas.openxmlformats.org/officeDocument/2006/relationships/hyperlink" Target="https://doi.org/10.1089/can.2021.0060" TargetMode="External"/><Relationship Id="rId59" Type="http://schemas.openxmlformats.org/officeDocument/2006/relationships/hyperlink" Target="https://doi.org/10.1159/000495307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doi.org/10.1007/s00213-008-1260-2" TargetMode="External"/><Relationship Id="rId41" Type="http://schemas.openxmlformats.org/officeDocument/2006/relationships/hyperlink" Target="https://doi.org/10.1016/j.jns.2016.07.059" TargetMode="External"/><Relationship Id="rId54" Type="http://schemas.openxmlformats.org/officeDocument/2006/relationships/hyperlink" Target="https://doi.org/10.1111/adb.13125" TargetMode="External"/><Relationship Id="rId62" Type="http://schemas.openxmlformats.org/officeDocument/2006/relationships/hyperlink" Target="https://doi.org/10.1159/00049635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BAB4B-41A3-4F5D-A406-5DBA4D3001AF}"/>
      </w:docPartPr>
      <w:docPartBody>
        <w:p w:rsidR="00FC25BA" w:rsidRDefault="00FC25BA">
          <w:r w:rsidRPr="00C3515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BA"/>
    <w:rsid w:val="004C177C"/>
    <w:rsid w:val="008C63C1"/>
    <w:rsid w:val="00F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L" w:eastAsia="en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5B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B9D9FC9-FF00-432E-BA45-EC9DDA7B404B}">
  <we:reference id="wa104382081" version="1.55.1.0" store="en-US" storeType="OMEX"/>
  <we:alternateReferences>
    <we:reference id="wa104382081" version="1.55.1.0" store="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114E9-C25D-4E96-922A-942A6072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4154</Words>
  <Characters>23679</Characters>
  <Application>Microsoft Office Word</Application>
  <DocSecurity>0</DocSecurity>
  <Lines>197</Lines>
  <Paragraphs>55</Paragraphs>
  <ScaleCrop>false</ScaleCrop>
  <Company/>
  <LinksUpToDate>false</LinksUpToDate>
  <CharactersWithSpaces>27778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Leen</dc:creator>
  <cp:keywords/>
  <dc:description/>
  <cp:lastModifiedBy>Nadia Leen</cp:lastModifiedBy>
  <cp:revision>96</cp:revision>
  <dcterms:created xsi:type="dcterms:W3CDTF">2023-11-02T13:32:00Z</dcterms:created>
  <dcterms:modified xsi:type="dcterms:W3CDTF">2024-10-08T08:38:00Z</dcterms:modified>
</cp:coreProperties>
</file>