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A4C5" w14:textId="77777777" w:rsidR="00543681" w:rsidRDefault="00ED6790">
      <w:pPr>
        <w:pStyle w:val="SupplementaryMaterial"/>
        <w:rPr>
          <w:b w:val="0"/>
        </w:rPr>
      </w:pPr>
      <w:r>
        <w:t>Supplementary Material</w:t>
      </w:r>
    </w:p>
    <w:p w14:paraId="4C96D655" w14:textId="77777777" w:rsidR="00543681" w:rsidRPr="001E7DD6" w:rsidRDefault="00ED6790">
      <w:pPr>
        <w:rPr>
          <w:szCs w:val="24"/>
        </w:rPr>
      </w:pPr>
      <w:r w:rsidRPr="001E7DD6">
        <w:rPr>
          <w:noProof/>
          <w:szCs w:val="24"/>
        </w:rPr>
        <w:drawing>
          <wp:inline distT="0" distB="0" distL="0" distR="0" wp14:anchorId="74B735F1" wp14:editId="339D5769">
            <wp:extent cx="5272405" cy="482917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960A1" w14:textId="77777777" w:rsidR="00543681" w:rsidRPr="001E7DD6" w:rsidRDefault="00ED6790">
      <w:pPr>
        <w:rPr>
          <w:rFonts w:cs="Times New Roman"/>
          <w:szCs w:val="24"/>
        </w:rPr>
      </w:pPr>
      <w:bookmarkStart w:id="0" w:name="OLE_LINK157"/>
      <w:r w:rsidRPr="001E7DD6">
        <w:rPr>
          <w:rFonts w:cs="Times New Roman"/>
          <w:b/>
          <w:szCs w:val="24"/>
        </w:rPr>
        <w:t xml:space="preserve">Supplementary Figure </w:t>
      </w:r>
      <w:r w:rsidRPr="001E7DD6">
        <w:rPr>
          <w:rFonts w:cs="Times New Roman"/>
          <w:b/>
          <w:szCs w:val="24"/>
        </w:rPr>
        <w:fldChar w:fldCharType="begin"/>
      </w:r>
      <w:r w:rsidRPr="001E7DD6">
        <w:rPr>
          <w:rFonts w:cs="Times New Roman"/>
          <w:b/>
          <w:szCs w:val="24"/>
        </w:rPr>
        <w:instrText xml:space="preserve"> SEQ Figure \* ARABIC </w:instrText>
      </w:r>
      <w:r w:rsidRPr="001E7DD6">
        <w:rPr>
          <w:rFonts w:cs="Times New Roman"/>
          <w:b/>
          <w:szCs w:val="24"/>
        </w:rPr>
        <w:fldChar w:fldCharType="separate"/>
      </w:r>
      <w:r w:rsidRPr="001E7DD6">
        <w:rPr>
          <w:rFonts w:cs="Times New Roman"/>
          <w:b/>
          <w:szCs w:val="24"/>
        </w:rPr>
        <w:t>1</w:t>
      </w:r>
      <w:r w:rsidRPr="001E7DD6">
        <w:rPr>
          <w:rFonts w:cs="Times New Roman"/>
          <w:b/>
          <w:szCs w:val="24"/>
        </w:rPr>
        <w:fldChar w:fldCharType="end"/>
      </w:r>
      <w:bookmarkEnd w:id="0"/>
      <w:r w:rsidRPr="001E7DD6">
        <w:rPr>
          <w:rFonts w:cs="Times New Roman"/>
          <w:b/>
          <w:szCs w:val="24"/>
        </w:rPr>
        <w:t>.</w:t>
      </w:r>
      <w:r w:rsidRPr="001E7DD6">
        <w:rPr>
          <w:rFonts w:cs="Times New Roman"/>
          <w:szCs w:val="24"/>
        </w:rPr>
        <w:t xml:space="preserve"> </w:t>
      </w:r>
      <w:r w:rsidRPr="001E7DD6">
        <w:rPr>
          <w:rFonts w:cs="Times New Roman"/>
          <w:b/>
          <w:bCs/>
          <w:szCs w:val="24"/>
        </w:rPr>
        <w:t xml:space="preserve"> </w:t>
      </w:r>
      <w:r w:rsidRPr="001E7DD6">
        <w:rPr>
          <w:rFonts w:cs="Times New Roman"/>
          <w:szCs w:val="24"/>
        </w:rPr>
        <w:t xml:space="preserve">Plasma Oxidative </w:t>
      </w:r>
      <w:proofErr w:type="spellStart"/>
      <w:r w:rsidRPr="001E7DD6">
        <w:rPr>
          <w:rFonts w:cs="Times New Roman"/>
          <w:szCs w:val="24"/>
        </w:rPr>
        <w:t>lipidomics</w:t>
      </w:r>
      <w:proofErr w:type="spellEnd"/>
      <w:r w:rsidRPr="001E7DD6">
        <w:rPr>
          <w:rFonts w:cs="Times New Roman"/>
          <w:szCs w:val="24"/>
        </w:rPr>
        <w:t xml:space="preserve"> profiling. (A) Overlap display the TIC of QC samples. (B) PCA plot of all samples and QCs. (C) </w:t>
      </w:r>
      <w:r w:rsidRPr="001E7DD6">
        <w:rPr>
          <w:rFonts w:eastAsia="微软雅黑" w:cs="Times New Roman"/>
          <w:color w:val="2A2B2E"/>
          <w:szCs w:val="24"/>
        </w:rPr>
        <w:t xml:space="preserve">ECDF </w:t>
      </w:r>
      <w:r w:rsidRPr="001E7DD6">
        <w:rPr>
          <w:rFonts w:cs="Times New Roman"/>
          <w:szCs w:val="24"/>
        </w:rPr>
        <w:t>of all samples and QCs.</w:t>
      </w:r>
    </w:p>
    <w:p w14:paraId="69ECF3F3" w14:textId="77777777" w:rsidR="00543681" w:rsidRPr="001E7DD6" w:rsidRDefault="00ED6790">
      <w:pPr>
        <w:rPr>
          <w:rFonts w:cs="Times New Roman"/>
          <w:szCs w:val="24"/>
        </w:rPr>
      </w:pPr>
      <w:r w:rsidRPr="001E7DD6">
        <w:rPr>
          <w:rFonts w:cs="Times New Roman"/>
          <w:szCs w:val="24"/>
        </w:rPr>
        <w:t>Abbreviations: TIC, total ion current graph; QC, quality control; PCA, principal component analysis; QC,</w:t>
      </w:r>
      <w:r w:rsidRPr="001E7DD6">
        <w:rPr>
          <w:rFonts w:cs="Times New Roman"/>
          <w:szCs w:val="24"/>
        </w:rPr>
        <w:t xml:space="preserve"> quality control sample; </w:t>
      </w:r>
      <w:r w:rsidRPr="001E7DD6">
        <w:rPr>
          <w:rFonts w:eastAsia="微软雅黑" w:cs="Times New Roman"/>
          <w:color w:val="2A2B2E"/>
          <w:szCs w:val="24"/>
        </w:rPr>
        <w:t>ECDF, empirical cumulative distribution function.</w:t>
      </w:r>
    </w:p>
    <w:p w14:paraId="4257ADF5" w14:textId="77777777" w:rsidR="00543681" w:rsidRPr="001E7DD6" w:rsidRDefault="00ED6790">
      <w:pPr>
        <w:rPr>
          <w:szCs w:val="24"/>
        </w:rPr>
      </w:pPr>
      <w:r w:rsidRPr="001E7DD6">
        <w:rPr>
          <w:noProof/>
          <w:szCs w:val="24"/>
        </w:rPr>
        <w:lastRenderedPageBreak/>
        <w:drawing>
          <wp:inline distT="0" distB="0" distL="0" distR="0" wp14:anchorId="362F3089" wp14:editId="4B65C5FF">
            <wp:extent cx="5272405" cy="281940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9736F" w14:textId="77777777" w:rsidR="00543681" w:rsidRPr="001E7DD6" w:rsidRDefault="00ED6790">
      <w:pPr>
        <w:rPr>
          <w:rFonts w:cs="Times New Roman"/>
          <w:szCs w:val="24"/>
        </w:rPr>
      </w:pPr>
      <w:bookmarkStart w:id="1" w:name="OLE_LINK150"/>
      <w:r w:rsidRPr="001E7DD6">
        <w:rPr>
          <w:rFonts w:eastAsia="宋体" w:cs="Times New Roman"/>
          <w:b/>
          <w:bCs/>
          <w:szCs w:val="24"/>
        </w:rPr>
        <w:t>Supplementary</w:t>
      </w:r>
      <w:bookmarkEnd w:id="1"/>
      <w:r w:rsidRPr="001E7DD6">
        <w:rPr>
          <w:rFonts w:eastAsia="宋体" w:cs="Times New Roman"/>
          <w:b/>
          <w:bCs/>
          <w:szCs w:val="24"/>
        </w:rPr>
        <w:t xml:space="preserve"> Figure 2</w:t>
      </w:r>
      <w:r w:rsidRPr="001E7DD6">
        <w:rPr>
          <w:rFonts w:eastAsia="宋体" w:cs="Times New Roman"/>
          <w:b/>
          <w:bCs/>
          <w:szCs w:val="24"/>
        </w:rPr>
        <w:t>.</w:t>
      </w:r>
      <w:r w:rsidRPr="001E7DD6">
        <w:rPr>
          <w:rFonts w:cs="Times New Roman"/>
          <w:b/>
          <w:szCs w:val="24"/>
        </w:rPr>
        <w:t xml:space="preserve"> </w:t>
      </w:r>
      <w:r w:rsidRPr="001E7DD6">
        <w:rPr>
          <w:rFonts w:cs="Times New Roman"/>
          <w:bCs/>
          <w:szCs w:val="24"/>
        </w:rPr>
        <w:t xml:space="preserve">Analysis of plasma oxidative </w:t>
      </w:r>
      <w:proofErr w:type="spellStart"/>
      <w:r w:rsidRPr="001E7DD6">
        <w:rPr>
          <w:rFonts w:cs="Times New Roman"/>
          <w:bCs/>
          <w:szCs w:val="24"/>
        </w:rPr>
        <w:t>lipidomics</w:t>
      </w:r>
      <w:proofErr w:type="spellEnd"/>
      <w:r w:rsidRPr="001E7DD6">
        <w:rPr>
          <w:rFonts w:cs="Times New Roman"/>
          <w:bCs/>
          <w:szCs w:val="24"/>
        </w:rPr>
        <w:t xml:space="preserve"> between T0 and T72 in critical </w:t>
      </w:r>
      <w:bookmarkStart w:id="2" w:name="OLE_LINK152"/>
      <w:r w:rsidRPr="001E7DD6">
        <w:rPr>
          <w:rFonts w:cs="Times New Roman"/>
          <w:bCs/>
          <w:szCs w:val="24"/>
        </w:rPr>
        <w:t>SA-AKI</w:t>
      </w:r>
      <w:bookmarkEnd w:id="2"/>
      <w:r w:rsidRPr="001E7DD6">
        <w:rPr>
          <w:rFonts w:cs="Times New Roman"/>
          <w:bCs/>
          <w:szCs w:val="24"/>
        </w:rPr>
        <w:t xml:space="preserve"> patients undergoing CRRT. </w:t>
      </w:r>
      <w:r w:rsidRPr="001E7DD6">
        <w:rPr>
          <w:rFonts w:cs="Times New Roman"/>
          <w:szCs w:val="24"/>
        </w:rPr>
        <w:t xml:space="preserve">(A) 3D PCA plot </w:t>
      </w:r>
      <w:bookmarkStart w:id="3" w:name="OLE_LINK91"/>
      <w:r w:rsidRPr="001E7DD6">
        <w:rPr>
          <w:rFonts w:cs="Times New Roman"/>
          <w:szCs w:val="24"/>
        </w:rPr>
        <w:t>of T0 and T72</w:t>
      </w:r>
      <w:bookmarkEnd w:id="3"/>
      <w:r w:rsidRPr="001E7DD6">
        <w:rPr>
          <w:rFonts w:cs="Times New Roman"/>
          <w:szCs w:val="24"/>
        </w:rPr>
        <w:t xml:space="preserve"> in non-survivors. (B)</w:t>
      </w:r>
      <w:r w:rsidRPr="001E7DD6">
        <w:rPr>
          <w:rFonts w:cs="Times New Roman"/>
          <w:szCs w:val="24"/>
        </w:rPr>
        <w:t xml:space="preserve"> OPLS-DA Score plot of T0 and T72 in non-survivors. (C) </w:t>
      </w:r>
      <w:bookmarkStart w:id="4" w:name="OLE_LINK120"/>
      <w:r w:rsidRPr="001E7DD6">
        <w:rPr>
          <w:rFonts w:cs="Times New Roman"/>
          <w:szCs w:val="24"/>
        </w:rPr>
        <w:t>Permutation testing of the OPLS-DA model of T0 and T72 in non-survivors. R</w:t>
      </w:r>
      <w:r w:rsidRPr="001E7DD6">
        <w:rPr>
          <w:rFonts w:cs="Times New Roman"/>
          <w:szCs w:val="24"/>
          <w:vertAlign w:val="superscript"/>
        </w:rPr>
        <w:t>2</w:t>
      </w:r>
      <w:r w:rsidRPr="001E7DD6">
        <w:rPr>
          <w:rFonts w:cs="Times New Roman"/>
          <w:szCs w:val="24"/>
        </w:rPr>
        <w:t>Y=0.989, Q</w:t>
      </w:r>
      <w:r w:rsidRPr="001E7DD6">
        <w:rPr>
          <w:rFonts w:cs="Times New Roman"/>
          <w:szCs w:val="24"/>
          <w:vertAlign w:val="superscript"/>
        </w:rPr>
        <w:t>2</w:t>
      </w:r>
      <w:r w:rsidRPr="001E7DD6">
        <w:rPr>
          <w:rFonts w:cs="Times New Roman"/>
          <w:szCs w:val="24"/>
        </w:rPr>
        <w:t>=0.92.</w:t>
      </w:r>
      <w:bookmarkEnd w:id="4"/>
      <w:r w:rsidRPr="001E7DD6">
        <w:rPr>
          <w:rFonts w:cs="Times New Roman" w:hint="eastAsia"/>
          <w:szCs w:val="24"/>
        </w:rPr>
        <w:t xml:space="preserve"> </w:t>
      </w:r>
      <w:r w:rsidRPr="001E7DD6">
        <w:rPr>
          <w:rFonts w:cs="Times New Roman"/>
          <w:szCs w:val="24"/>
        </w:rPr>
        <w:t xml:space="preserve">(D) 3D PCA plot of T0 and T72 in survivors. </w:t>
      </w:r>
      <w:r w:rsidRPr="001E7DD6">
        <w:rPr>
          <w:rFonts w:cs="Times New Roman" w:hint="eastAsia"/>
          <w:szCs w:val="24"/>
        </w:rPr>
        <w:t>(</w:t>
      </w:r>
      <w:r w:rsidRPr="001E7DD6">
        <w:rPr>
          <w:rFonts w:cs="Times New Roman"/>
          <w:szCs w:val="24"/>
        </w:rPr>
        <w:t>E) OPLS-DA Score plot of T0 and T72 in survivors. (F) Permutat</w:t>
      </w:r>
      <w:r w:rsidRPr="001E7DD6">
        <w:rPr>
          <w:rFonts w:cs="Times New Roman"/>
          <w:szCs w:val="24"/>
        </w:rPr>
        <w:t>ion testing of the OPLS-DA model of T0 and T72 in survivors. R</w:t>
      </w:r>
      <w:r w:rsidRPr="001E7DD6">
        <w:rPr>
          <w:rFonts w:cs="Times New Roman"/>
          <w:szCs w:val="24"/>
          <w:vertAlign w:val="superscript"/>
        </w:rPr>
        <w:t>2</w:t>
      </w:r>
      <w:r w:rsidRPr="001E7DD6">
        <w:rPr>
          <w:rFonts w:cs="Times New Roman"/>
          <w:szCs w:val="24"/>
        </w:rPr>
        <w:t>Y=0.989, Q</w:t>
      </w:r>
      <w:r w:rsidRPr="001E7DD6">
        <w:rPr>
          <w:rFonts w:cs="Times New Roman"/>
          <w:szCs w:val="24"/>
          <w:vertAlign w:val="superscript"/>
        </w:rPr>
        <w:t>2</w:t>
      </w:r>
      <w:r w:rsidRPr="001E7DD6">
        <w:rPr>
          <w:rFonts w:cs="Times New Roman"/>
          <w:szCs w:val="24"/>
        </w:rPr>
        <w:t xml:space="preserve">=0.748. </w:t>
      </w:r>
    </w:p>
    <w:p w14:paraId="3D8E4496" w14:textId="77777777" w:rsidR="00543681" w:rsidRPr="001E7DD6" w:rsidRDefault="00ED6790">
      <w:pPr>
        <w:pStyle w:val="EndNoteBibliography"/>
        <w:rPr>
          <w:rFonts w:ascii="Times New Roman" w:eastAsia="微软雅黑" w:hAnsi="Times New Roman" w:cs="Times New Roman"/>
          <w:color w:val="2A2B2E"/>
          <w:sz w:val="24"/>
          <w:szCs w:val="24"/>
        </w:rPr>
      </w:pPr>
      <w:r w:rsidRPr="001E7DD6">
        <w:rPr>
          <w:rFonts w:ascii="Times New Roman" w:hAnsi="Times New Roman" w:cs="Times New Roman"/>
          <w:sz w:val="24"/>
          <w:szCs w:val="24"/>
        </w:rPr>
        <w:t xml:space="preserve">Abbreviations: </w:t>
      </w:r>
      <w:r w:rsidRPr="001E7DD6">
        <w:rPr>
          <w:rFonts w:ascii="Times New Roman" w:hAnsi="Times New Roman" w:cs="Times New Roman"/>
          <w:bCs/>
          <w:kern w:val="0"/>
          <w:sz w:val="24"/>
          <w:szCs w:val="24"/>
        </w:rPr>
        <w:t xml:space="preserve">SA-AKI, sepsis associated acute kidney injury; CRRT, continuous renal replacement therapy; </w:t>
      </w:r>
      <w:bookmarkStart w:id="5" w:name="OLE_LINK155"/>
      <w:r w:rsidRPr="001E7DD6">
        <w:rPr>
          <w:rFonts w:ascii="Times New Roman" w:hAnsi="Times New Roman" w:cs="Times New Roman"/>
          <w:sz w:val="24"/>
          <w:szCs w:val="24"/>
        </w:rPr>
        <w:t xml:space="preserve">PCA, principal component analysis; OPLS-DA, orthogonal </w:t>
      </w:r>
      <w:r w:rsidRPr="001E7DD6">
        <w:rPr>
          <w:rFonts w:ascii="Times New Roman" w:hAnsi="Times New Roman" w:cs="Times New Roman"/>
          <w:sz w:val="24"/>
          <w:szCs w:val="24"/>
        </w:rPr>
        <w:t>projections to latent structures discriminant analysis</w:t>
      </w:r>
      <w:bookmarkEnd w:id="5"/>
      <w:r w:rsidRPr="001E7DD6">
        <w:rPr>
          <w:rFonts w:ascii="Times New Roman" w:hAnsi="Times New Roman" w:cs="Times New Roman"/>
          <w:sz w:val="24"/>
          <w:szCs w:val="24"/>
        </w:rPr>
        <w:t>.</w:t>
      </w:r>
    </w:p>
    <w:p w14:paraId="15EA117A" w14:textId="77777777" w:rsidR="00543681" w:rsidRPr="001E7DD6" w:rsidRDefault="00ED6790">
      <w:pPr>
        <w:spacing w:before="0" w:after="200" w:line="276" w:lineRule="auto"/>
        <w:rPr>
          <w:szCs w:val="24"/>
        </w:rPr>
      </w:pPr>
      <w:r w:rsidRPr="001E7DD6">
        <w:rPr>
          <w:szCs w:val="24"/>
        </w:rPr>
        <w:br w:type="page"/>
      </w:r>
    </w:p>
    <w:p w14:paraId="4FAD26C6" w14:textId="77777777" w:rsidR="00543681" w:rsidRPr="001E7DD6" w:rsidRDefault="00ED6790">
      <w:pPr>
        <w:rPr>
          <w:rFonts w:cs="Times New Roman"/>
          <w:b/>
          <w:bCs/>
          <w:szCs w:val="24"/>
        </w:rPr>
      </w:pPr>
      <w:bookmarkStart w:id="6" w:name="OLE_LINK19"/>
      <w:bookmarkStart w:id="7" w:name="OLE_LINK41"/>
      <w:bookmarkStart w:id="8" w:name="OLE_LINK20"/>
      <w:bookmarkStart w:id="9" w:name="OLE_LINK38"/>
      <w:bookmarkStart w:id="10" w:name="_Toc158820404"/>
      <w:bookmarkStart w:id="11" w:name="OLE_LINK147"/>
      <w:r w:rsidRPr="001E7DD6">
        <w:rPr>
          <w:rFonts w:eastAsia="宋体" w:cs="Times New Roman"/>
          <w:b/>
          <w:bCs/>
          <w:szCs w:val="24"/>
        </w:rPr>
        <w:lastRenderedPageBreak/>
        <w:t>Supplementary</w:t>
      </w:r>
      <w:r w:rsidRPr="001E7DD6">
        <w:rPr>
          <w:rFonts w:cs="Times New Roman"/>
          <w:b/>
          <w:bCs/>
          <w:szCs w:val="24"/>
        </w:rPr>
        <w:t xml:space="preserve"> Table 1. Ratio of</w:t>
      </w:r>
      <w:bookmarkStart w:id="12" w:name="OLE_LINK132"/>
      <w:r w:rsidRPr="001E7DD6">
        <w:rPr>
          <w:rFonts w:cs="Times New Roman"/>
          <w:b/>
          <w:bCs/>
          <w:szCs w:val="24"/>
        </w:rPr>
        <w:t xml:space="preserve"> </w:t>
      </w:r>
      <w:proofErr w:type="spellStart"/>
      <w:r w:rsidRPr="001E7DD6">
        <w:rPr>
          <w:rFonts w:cs="Times New Roman"/>
          <w:b/>
          <w:bCs/>
          <w:szCs w:val="24"/>
        </w:rPr>
        <w:t>EpOMEs</w:t>
      </w:r>
      <w:proofErr w:type="spellEnd"/>
      <w:r w:rsidRPr="001E7DD6">
        <w:rPr>
          <w:rFonts w:cs="Times New Roman"/>
          <w:b/>
          <w:bCs/>
          <w:szCs w:val="24"/>
        </w:rPr>
        <w:t>/</w:t>
      </w:r>
      <w:proofErr w:type="spellStart"/>
      <w:r w:rsidRPr="001E7DD6">
        <w:rPr>
          <w:rFonts w:cs="Times New Roman"/>
          <w:b/>
          <w:bCs/>
          <w:szCs w:val="24"/>
        </w:rPr>
        <w:t>DiHOMEs</w:t>
      </w:r>
      <w:proofErr w:type="spellEnd"/>
      <w:r w:rsidRPr="001E7DD6">
        <w:rPr>
          <w:rFonts w:cs="Times New Roman"/>
          <w:b/>
          <w:bCs/>
          <w:szCs w:val="24"/>
        </w:rPr>
        <w:t xml:space="preserve"> </w:t>
      </w:r>
      <w:bookmarkEnd w:id="12"/>
      <w:r w:rsidRPr="001E7DD6">
        <w:rPr>
          <w:rFonts w:cs="Times New Roman"/>
          <w:b/>
          <w:bCs/>
          <w:szCs w:val="24"/>
        </w:rPr>
        <w:t>in SA-AKI patients at T0</w:t>
      </w:r>
      <w:bookmarkEnd w:id="6"/>
      <w:bookmarkEnd w:id="7"/>
      <w:bookmarkEnd w:id="8"/>
      <w:bookmarkEnd w:id="9"/>
      <w:bookmarkEnd w:id="10"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3187"/>
        <w:gridCol w:w="1984"/>
        <w:gridCol w:w="1984"/>
        <w:gridCol w:w="1247"/>
        <w:gridCol w:w="1247"/>
      </w:tblGrid>
      <w:tr w:rsidR="00543681" w:rsidRPr="001E7DD6" w14:paraId="757D5040" w14:textId="77777777" w:rsidTr="00E56D5F">
        <w:trPr>
          <w:trHeight w:hRule="exact" w:val="567"/>
        </w:trPr>
        <w:tc>
          <w:tcPr>
            <w:tcW w:w="3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B54F46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bookmarkStart w:id="13" w:name="OLE_LINK130"/>
            <w:bookmarkStart w:id="14" w:name="OLE_LINK131"/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Variables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AF0600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T0-nonsurvivors</w:t>
            </w:r>
          </w:p>
          <w:p w14:paraId="0385F21D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(n=26)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A5FA48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T0-survivors</w:t>
            </w:r>
          </w:p>
          <w:p w14:paraId="2E7F7B64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(n=22)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AD7FFF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Z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143D37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P value</w:t>
            </w:r>
          </w:p>
        </w:tc>
      </w:tr>
      <w:tr w:rsidR="00543681" w:rsidRPr="001E7DD6" w14:paraId="488CB6FF" w14:textId="77777777" w:rsidTr="00E56D5F">
        <w:trPr>
          <w:trHeight w:hRule="exact" w:val="567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CAF65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9, 10-EpOME/9, 10-DiHOME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912E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0.972(0.5,2.3)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B633B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1.794(0.7,10.2)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AC03F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-1.779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E2DB8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0.075</w:t>
            </w:r>
          </w:p>
        </w:tc>
      </w:tr>
      <w:tr w:rsidR="00543681" w:rsidRPr="001E7DD6" w14:paraId="0E386811" w14:textId="77777777" w:rsidTr="00E56D5F">
        <w:trPr>
          <w:trHeight w:hRule="exact" w:val="567"/>
        </w:trPr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9553598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12, 13-EpOME/12,13-DiHOME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4F5E3B5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3.548(1.1,6.0)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82D6846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11.799(4.3,21.5)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106373E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-3.456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682425B" w14:textId="77777777" w:rsidR="00543681" w:rsidRPr="001E7DD6" w:rsidRDefault="00ED6790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E7DD6">
              <w:rPr>
                <w:rFonts w:eastAsia="宋体" w:cs="Times New Roman"/>
                <w:color w:val="000000"/>
                <w:sz w:val="21"/>
                <w:szCs w:val="21"/>
              </w:rPr>
              <w:t>0.001**</w:t>
            </w:r>
          </w:p>
        </w:tc>
      </w:tr>
    </w:tbl>
    <w:bookmarkEnd w:id="13"/>
    <w:bookmarkEnd w:id="14"/>
    <w:p w14:paraId="24FD00D6" w14:textId="77777777" w:rsidR="00543681" w:rsidRPr="001E7DD6" w:rsidRDefault="00ED6790">
      <w:pPr>
        <w:spacing w:line="480" w:lineRule="auto"/>
        <w:rPr>
          <w:rFonts w:eastAsia="宋体" w:cs="Times New Roman"/>
          <w:color w:val="000000"/>
          <w:sz w:val="21"/>
          <w:szCs w:val="21"/>
        </w:rPr>
      </w:pPr>
      <w:r w:rsidRPr="001E7DD6">
        <w:rPr>
          <w:rFonts w:eastAsia="宋体" w:cs="Times New Roman"/>
          <w:color w:val="000000"/>
          <w:sz w:val="21"/>
          <w:szCs w:val="21"/>
        </w:rPr>
        <w:t>*P &lt; 0.05, **P &lt; 0.01</w:t>
      </w:r>
    </w:p>
    <w:bookmarkEnd w:id="11"/>
    <w:p w14:paraId="1915CF1C" w14:textId="77777777" w:rsidR="00543681" w:rsidRDefault="00543681">
      <w:pPr>
        <w:spacing w:before="240"/>
      </w:pPr>
    </w:p>
    <w:sectPr w:rsidR="00543681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9927" w14:textId="77777777" w:rsidR="00ED6790" w:rsidRDefault="00ED6790">
      <w:r>
        <w:separator/>
      </w:r>
    </w:p>
  </w:endnote>
  <w:endnote w:type="continuationSeparator" w:id="0">
    <w:p w14:paraId="11FA34FC" w14:textId="77777777" w:rsidR="00ED6790" w:rsidRDefault="00ED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46EC" w14:textId="77777777" w:rsidR="00543681" w:rsidRDefault="00ED679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3258ED" wp14:editId="448A420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99E5D1" w14:textId="77777777" w:rsidR="00543681" w:rsidRDefault="00ED679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6AC6" w14:textId="77777777" w:rsidR="00543681" w:rsidRDefault="00ED679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30C44" wp14:editId="00CA2F6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684A8C" w14:textId="77777777" w:rsidR="00543681" w:rsidRDefault="00ED679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F819" w14:textId="77777777" w:rsidR="00ED6790" w:rsidRDefault="00ED6790">
      <w:pPr>
        <w:spacing w:before="0" w:after="0"/>
      </w:pPr>
      <w:r>
        <w:separator/>
      </w:r>
    </w:p>
  </w:footnote>
  <w:footnote w:type="continuationSeparator" w:id="0">
    <w:p w14:paraId="3F04AF80" w14:textId="77777777" w:rsidR="00ED6790" w:rsidRDefault="00ED67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6008" w14:textId="77777777" w:rsidR="00543681" w:rsidRDefault="00ED679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209D" w14:textId="77777777" w:rsidR="00543681" w:rsidRDefault="00ED679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789135A" wp14:editId="10B83F7D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wNzk5ZThjYTI1NTJiZTVkNjQ4ZWU1MjUyYzAwYTE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7DD6"/>
    <w:rsid w:val="00267D18"/>
    <w:rsid w:val="002868E2"/>
    <w:rsid w:val="002869C3"/>
    <w:rsid w:val="002936E4"/>
    <w:rsid w:val="002B4A57"/>
    <w:rsid w:val="002C74CA"/>
    <w:rsid w:val="003544FB"/>
    <w:rsid w:val="0036739F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43681"/>
    <w:rsid w:val="00593EEA"/>
    <w:rsid w:val="005A5EEE"/>
    <w:rsid w:val="006375C7"/>
    <w:rsid w:val="00654E8F"/>
    <w:rsid w:val="00660D05"/>
    <w:rsid w:val="006820B1"/>
    <w:rsid w:val="006B2ABC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77C95"/>
    <w:rsid w:val="00DB59C3"/>
    <w:rsid w:val="00DC259A"/>
    <w:rsid w:val="00DD6DED"/>
    <w:rsid w:val="00DE23E8"/>
    <w:rsid w:val="00E52377"/>
    <w:rsid w:val="00E56D5F"/>
    <w:rsid w:val="00E64E17"/>
    <w:rsid w:val="00E866C9"/>
    <w:rsid w:val="00EA3D3C"/>
    <w:rsid w:val="00ED6790"/>
    <w:rsid w:val="00F46900"/>
    <w:rsid w:val="00F61D89"/>
    <w:rsid w:val="6F6A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5BC0F"/>
  <w15:docId w15:val="{6E6B1F07-2716-4E61-8EDA-B58D0466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autoRedefine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autoRedefine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autoRedefine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autoRedefine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autoRedefine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Pr>
      <w:b/>
      <w:bCs/>
    </w:rPr>
  </w:style>
  <w:style w:type="table" w:styleId="af9">
    <w:name w:val="Table Grid"/>
    <w:basedOn w:val="a2"/>
    <w:autoRedefine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autoRedefine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rPr>
      <w:vertAlign w:val="superscript"/>
    </w:rPr>
  </w:style>
  <w:style w:type="character" w:styleId="afc">
    <w:name w:val="FollowedHyperlink"/>
    <w:basedOn w:val="a1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autoRedefine/>
    <w:uiPriority w:val="99"/>
    <w:semiHidden/>
    <w:unhideWhenUsed/>
    <w:qFormat/>
  </w:style>
  <w:style w:type="character" w:styleId="aff">
    <w:name w:val="Hyperlink"/>
    <w:basedOn w:val="a1"/>
    <w:autoRedefine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ff1">
    <w:name w:val="footnote reference"/>
    <w:basedOn w:val="a1"/>
    <w:autoRedefine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autoRedefine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autoRedefine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autoRedefine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autoRedefine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autoRedefine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autoRedefine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autoRedefine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autoRedefine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autoRedefine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autoRedefine/>
    <w:qFormat/>
    <w:pPr>
      <w:spacing w:after="120"/>
    </w:pPr>
    <w:rPr>
      <w:i/>
    </w:rPr>
  </w:style>
  <w:style w:type="paragraph" w:customStyle="1" w:styleId="15">
    <w:name w:val="修订1"/>
    <w:autoRedefine/>
    <w:hidden/>
    <w:uiPriority w:val="99"/>
    <w:semiHidden/>
    <w:qFormat/>
    <w:rPr>
      <w:rFonts w:ascii="Times New Roman" w:hAnsi="Times New Roman"/>
      <w:sz w:val="24"/>
      <w:szCs w:val="22"/>
      <w:lang w:eastAsia="en-US"/>
    </w:rPr>
  </w:style>
  <w:style w:type="paragraph" w:customStyle="1" w:styleId="EndNoteBibliography">
    <w:name w:val="EndNote Bibliography"/>
    <w:basedOn w:val="a0"/>
    <w:link w:val="EndNoteBibliography0"/>
    <w:autoRedefine/>
    <w:qFormat/>
    <w:pPr>
      <w:widowControl w:val="0"/>
      <w:spacing w:before="0" w:after="0"/>
      <w:jc w:val="both"/>
    </w:pPr>
    <w:rPr>
      <w:rFonts w:ascii="等线" w:eastAsia="等线" w:hAnsi="等线"/>
      <w:kern w:val="2"/>
      <w:sz w:val="20"/>
      <w:lang w:eastAsia="zh-CN"/>
    </w:rPr>
  </w:style>
  <w:style w:type="character" w:customStyle="1" w:styleId="EndNoteBibliography0">
    <w:name w:val="EndNote Bibliography 字符"/>
    <w:basedOn w:val="a1"/>
    <w:link w:val="EndNoteBibliography"/>
    <w:autoRedefine/>
    <w:qFormat/>
    <w:rPr>
      <w:rFonts w:ascii="等线" w:eastAsia="等线" w:hAnsi="等线"/>
      <w:kern w:val="2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22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璐</cp:lastModifiedBy>
  <cp:revision>14</cp:revision>
  <cp:lastPrinted>2013-10-03T12:51:00Z</cp:lastPrinted>
  <dcterms:created xsi:type="dcterms:W3CDTF">2022-11-17T16:58:00Z</dcterms:created>
  <dcterms:modified xsi:type="dcterms:W3CDTF">2024-04-04T09:17:00Z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2052-12.1.0.16388</vt:lpwstr>
  </property>
  <property fmtid="{D5CDD505-2E9C-101B-9397-08002B2CF9AE}" pid="11" name="ICV">
    <vt:lpwstr>2D6AED778AA8489AA08D2E39AFE147F3_12</vt:lpwstr>
  </property>
</Properties>
</file>