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F1189" w14:textId="77777777" w:rsidR="00654C1A" w:rsidRDefault="00654C1A" w:rsidP="005A7CAA">
      <w:pPr>
        <w:pStyle w:val="Title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Supplementary materials</w:t>
      </w:r>
    </w:p>
    <w:p w14:paraId="15A754D5" w14:textId="139060D2" w:rsidR="005A7CAA" w:rsidRDefault="005A7CAA" w:rsidP="005A7CAA">
      <w:pPr>
        <w:pStyle w:val="Title"/>
        <w:jc w:val="center"/>
        <w:rPr>
          <w:rFonts w:ascii="Arial" w:hAnsi="Arial" w:cs="Arial"/>
          <w:sz w:val="32"/>
          <w:szCs w:val="32"/>
        </w:rPr>
      </w:pPr>
      <w:r w:rsidRPr="005A7CAA">
        <w:rPr>
          <w:rFonts w:ascii="Arial" w:hAnsi="Arial" w:cs="Arial"/>
          <w:sz w:val="32"/>
          <w:szCs w:val="32"/>
        </w:rPr>
        <w:t>Successful citizen science tools to monitor animal populations require innovation and communication: SealSpotter as a case study</w:t>
      </w:r>
    </w:p>
    <w:p w14:paraId="484D69AD" w14:textId="7A72AC83" w:rsidR="0080078B" w:rsidRDefault="0080078B" w:rsidP="00596653">
      <w:pPr>
        <w:pStyle w:val="AuthorList"/>
        <w:jc w:val="center"/>
      </w:pPr>
      <w:r w:rsidRPr="00A71130">
        <w:t xml:space="preserve">Peter S. </w:t>
      </w:r>
      <w:proofErr w:type="gramStart"/>
      <w:r w:rsidRPr="00A71130">
        <w:t>Puskic</w:t>
      </w:r>
      <w:r w:rsidRPr="00A545C6">
        <w:rPr>
          <w:vertAlign w:val="superscript"/>
        </w:rPr>
        <w:t xml:space="preserve"> </w:t>
      </w:r>
      <w:r w:rsidRPr="00376CC5">
        <w:t>,</w:t>
      </w:r>
      <w:proofErr w:type="gramEnd"/>
      <w:r w:rsidRPr="00376CC5">
        <w:t xml:space="preserve"> </w:t>
      </w:r>
      <w:r w:rsidRPr="00A71130">
        <w:t>Ross Holmberg</w:t>
      </w:r>
      <w:r w:rsidRPr="00A545C6">
        <w:rPr>
          <w:vertAlign w:val="superscript"/>
        </w:rPr>
        <w:t xml:space="preserve"> </w:t>
      </w:r>
      <w:r w:rsidRPr="00376CC5">
        <w:t xml:space="preserve">, </w:t>
      </w:r>
      <w:r w:rsidRPr="00A71130">
        <w:t>and Rebecca R. McIntosh</w:t>
      </w:r>
    </w:p>
    <w:p w14:paraId="0424EE79" w14:textId="77777777" w:rsidR="00A02898" w:rsidRDefault="00A02898" w:rsidP="00A02898">
      <w:pPr>
        <w:rPr>
          <w:lang w:val="en-US"/>
        </w:rPr>
      </w:pPr>
    </w:p>
    <w:p w14:paraId="1CBE145D" w14:textId="77777777" w:rsidR="00A02898" w:rsidRPr="00A02898" w:rsidRDefault="00A02898" w:rsidP="00A02898">
      <w:pPr>
        <w:rPr>
          <w:lang w:val="en-US"/>
        </w:rPr>
      </w:pPr>
    </w:p>
    <w:p w14:paraId="5CF20C56" w14:textId="77777777" w:rsidR="00710546" w:rsidRPr="0080078B" w:rsidRDefault="00710546" w:rsidP="0080078B"/>
    <w:p w14:paraId="694A6E88" w14:textId="4D488A04" w:rsidR="00076320" w:rsidRDefault="001C362C">
      <w:r>
        <w:rPr>
          <w:noProof/>
        </w:rPr>
        <w:drawing>
          <wp:inline distT="0" distB="0" distL="0" distR="0" wp14:anchorId="351CDE98" wp14:editId="5A2AE735">
            <wp:extent cx="5731510" cy="3684270"/>
            <wp:effectExtent l="0" t="0" r="2540" b="0"/>
            <wp:docPr id="16442091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8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1442C" w14:textId="1272A1A5" w:rsidR="00596653" w:rsidRDefault="00596653">
      <w:r w:rsidRPr="00730456">
        <w:rPr>
          <w:b/>
          <w:bCs/>
        </w:rPr>
        <w:t>Figure S1.</w:t>
      </w:r>
      <w:r>
        <w:t xml:space="preserve"> </w:t>
      </w:r>
      <w:r w:rsidR="0004203B">
        <w:t xml:space="preserve">Cumulative number of unique images counted from December 2018 to </w:t>
      </w:r>
      <w:r w:rsidR="00403938">
        <w:t xml:space="preserve">May 2023, the monthly number of </w:t>
      </w:r>
      <w:r w:rsidR="00E86DBB">
        <w:t>images counted and monthly participation for the SealSpotter citizen Science program.</w:t>
      </w:r>
    </w:p>
    <w:p w14:paraId="54152BFC" w14:textId="77777777" w:rsidR="00730456" w:rsidRDefault="00730456"/>
    <w:p w14:paraId="3C9757B4" w14:textId="3D193BC1" w:rsidR="00730456" w:rsidRDefault="00140439">
      <w:r>
        <w:rPr>
          <w:noProof/>
        </w:rPr>
        <w:lastRenderedPageBreak/>
        <w:drawing>
          <wp:inline distT="0" distB="0" distL="0" distR="0" wp14:anchorId="5AEAA53D" wp14:editId="13698A0D">
            <wp:extent cx="5731510" cy="3370580"/>
            <wp:effectExtent l="0" t="0" r="2540" b="1270"/>
            <wp:docPr id="372811658" name="Picture 2" descr="A graph of a number of patien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811658" name="Picture 2" descr="A graph of a number of patients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7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B7A7F" w14:textId="75386EF4" w:rsidR="005539BC" w:rsidRDefault="005539BC">
      <w:r w:rsidRPr="00E83209">
        <w:rPr>
          <w:b/>
          <w:bCs/>
        </w:rPr>
        <w:t>Figure S2.</w:t>
      </w:r>
      <w:r>
        <w:t xml:space="preserve"> </w:t>
      </w:r>
      <w:r w:rsidR="00AB0B28">
        <w:t xml:space="preserve">(a) </w:t>
      </w:r>
      <w:r w:rsidR="00CE459F">
        <w:t xml:space="preserve">Binned participant counts for each year of SealSpotter activity (2018-2022) </w:t>
      </w:r>
      <w:r w:rsidR="00AB0B28">
        <w:t xml:space="preserve">showing that </w:t>
      </w:r>
      <w:proofErr w:type="gramStart"/>
      <w:r w:rsidR="00AB0B28">
        <w:t>the majority of</w:t>
      </w:r>
      <w:proofErr w:type="gramEnd"/>
      <w:r w:rsidR="00AB0B28">
        <w:t xml:space="preserve"> participants count fewer than 10 images and (b) the proportional cumulative </w:t>
      </w:r>
      <w:r w:rsidR="00147E95">
        <w:t>number of images counted by participants.</w:t>
      </w:r>
    </w:p>
    <w:p w14:paraId="159248CF" w14:textId="77777777" w:rsidR="00E83209" w:rsidRDefault="00E83209"/>
    <w:p w14:paraId="21ED3565" w14:textId="60DFC23D" w:rsidR="00E83209" w:rsidRDefault="00DF53EF">
      <w:r>
        <w:rPr>
          <w:noProof/>
        </w:rPr>
        <w:lastRenderedPageBreak/>
        <w:drawing>
          <wp:inline distT="0" distB="0" distL="0" distR="0" wp14:anchorId="51600A9E" wp14:editId="47B332B7">
            <wp:extent cx="5731510" cy="4912995"/>
            <wp:effectExtent l="0" t="0" r="2540" b="1905"/>
            <wp:docPr id="9672528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91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C8639" w14:textId="079D0223" w:rsidR="002A23AA" w:rsidRDefault="002A23AA">
      <w:r w:rsidRPr="002A23AA">
        <w:rPr>
          <w:b/>
          <w:bCs/>
        </w:rPr>
        <w:t>Figure S3</w:t>
      </w:r>
      <w:r>
        <w:t xml:space="preserve">. </w:t>
      </w:r>
      <w:r w:rsidR="00DE4358">
        <w:t xml:space="preserve">The </w:t>
      </w:r>
      <w:r w:rsidR="000C7C73">
        <w:t>similarity of participant seal counts (User) and the reference seal count by the expert (black dashed line)</w:t>
      </w:r>
      <w:r w:rsidR="008749C0">
        <w:t xml:space="preserve"> for the dead pup and en</w:t>
      </w:r>
      <w:r w:rsidR="0075726E">
        <w:t>t</w:t>
      </w:r>
      <w:r w:rsidR="008749C0">
        <w:t>anglement count categories in the citizen science program SealSpotter.</w:t>
      </w:r>
      <w:r w:rsidR="001329FC">
        <w:t xml:space="preserve"> The data point is the mean of participant counts and the error bars represent the standard deviation of the multiple cou</w:t>
      </w:r>
      <w:r w:rsidR="00264A23">
        <w:t>nts</w:t>
      </w:r>
      <w:r w:rsidR="00741745">
        <w:t xml:space="preserve">. </w:t>
      </w:r>
      <w:r w:rsidR="00101707">
        <w:t>The e</w:t>
      </w:r>
      <w:r w:rsidR="00C4514B">
        <w:t xml:space="preserve">xpert counted </w:t>
      </w:r>
      <w:r w:rsidR="00101707">
        <w:t>a maximum of 15 dead pups in an image</w:t>
      </w:r>
      <w:r w:rsidR="00937483">
        <w:t>:</w:t>
      </w:r>
      <w:r w:rsidR="00101707">
        <w:t xml:space="preserve"> </w:t>
      </w:r>
      <w:r w:rsidR="00937483">
        <w:t xml:space="preserve">on average, </w:t>
      </w:r>
      <w:r w:rsidR="00101707">
        <w:t xml:space="preserve">participants would count </w:t>
      </w:r>
      <w:r w:rsidR="008D526B">
        <w:t xml:space="preserve">more dead pups </w:t>
      </w:r>
      <w:r w:rsidR="00937483">
        <w:t>when 1-3 were present</w:t>
      </w:r>
      <w:r w:rsidR="008307FE">
        <w:t xml:space="preserve"> and fewer</w:t>
      </w:r>
      <w:r w:rsidR="009C052F">
        <w:t xml:space="preserve"> dea</w:t>
      </w:r>
      <w:r w:rsidR="00A51573">
        <w:t>d</w:t>
      </w:r>
      <w:r w:rsidR="009C052F">
        <w:t xml:space="preserve"> pups</w:t>
      </w:r>
      <w:r w:rsidR="008307FE">
        <w:t xml:space="preserve"> for larger </w:t>
      </w:r>
      <w:r w:rsidR="009C052F">
        <w:t xml:space="preserve">expert </w:t>
      </w:r>
      <w:r w:rsidR="008307FE">
        <w:t xml:space="preserve">counts. </w:t>
      </w:r>
      <w:r w:rsidR="00BB4A33">
        <w:t xml:space="preserve">The expert identified </w:t>
      </w:r>
      <w:r w:rsidR="00F579E9">
        <w:t>a maximum of t</w:t>
      </w:r>
      <w:r w:rsidR="007771C9">
        <w:t>hree</w:t>
      </w:r>
      <w:r w:rsidR="00F579E9">
        <w:t xml:space="preserve"> entangled seals </w:t>
      </w:r>
      <w:r w:rsidR="009D182E">
        <w:t>in a single</w:t>
      </w:r>
      <w:r w:rsidR="00F579E9">
        <w:t xml:space="preserve"> image, however</w:t>
      </w:r>
      <w:r w:rsidR="00EE2591">
        <w:t xml:space="preserve"> participants </w:t>
      </w:r>
      <w:r w:rsidR="00346923">
        <w:t xml:space="preserve">overestimated the number of entangled seals when none were present and </w:t>
      </w:r>
      <w:r w:rsidR="00460F29">
        <w:t>underestimated</w:t>
      </w:r>
      <w:r w:rsidR="00856629">
        <w:t xml:space="preserve"> </w:t>
      </w:r>
      <w:r w:rsidR="00B92D1D">
        <w:t xml:space="preserve">the number of </w:t>
      </w:r>
      <w:r w:rsidR="00856629">
        <w:t>entangled seals</w:t>
      </w:r>
      <w:r w:rsidR="00346923">
        <w:t xml:space="preserve"> when they were present</w:t>
      </w:r>
      <w:r w:rsidR="003D583A">
        <w:t>.</w:t>
      </w:r>
    </w:p>
    <w:p w14:paraId="24D11964" w14:textId="77777777" w:rsidR="007E7539" w:rsidRDefault="007E7539"/>
    <w:p w14:paraId="03DACAB4" w14:textId="77777777" w:rsidR="007E7539" w:rsidRDefault="007E7539"/>
    <w:p w14:paraId="3AE45AB5" w14:textId="67500459" w:rsidR="003E7008" w:rsidRDefault="00CA4242">
      <w:r>
        <w:rPr>
          <w:noProof/>
        </w:rPr>
        <w:lastRenderedPageBreak/>
        <w:drawing>
          <wp:inline distT="0" distB="0" distL="0" distR="0" wp14:anchorId="133C5DF5" wp14:editId="5E11EF5B">
            <wp:extent cx="5813120" cy="2978150"/>
            <wp:effectExtent l="0" t="0" r="0" b="0"/>
            <wp:docPr id="1316282926" name="Picture 5" descr="A graph of a graph with a 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282926" name="Picture 5" descr="A graph of a graph with a lin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740" cy="2982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D7714" w14:textId="3F114263" w:rsidR="003E7008" w:rsidRDefault="003E7008" w:rsidP="003E7008">
      <w:pPr>
        <w:spacing w:after="0"/>
      </w:pPr>
      <w:r w:rsidRPr="00915F80">
        <w:rPr>
          <w:b/>
        </w:rPr>
        <w:t xml:space="preserve">Figure </w:t>
      </w:r>
      <w:r>
        <w:rPr>
          <w:b/>
        </w:rPr>
        <w:t>S4</w:t>
      </w:r>
      <w:r w:rsidRPr="00915F80">
        <w:rPr>
          <w:b/>
        </w:rPr>
        <w:t xml:space="preserve">: </w:t>
      </w:r>
      <w:r w:rsidRPr="00915F80">
        <w:rPr>
          <w:bCs/>
        </w:rPr>
        <w:t>Scatterplot of Australian fur seal pup abundance counts showing the accuracy of the expert count against the accuracy of an averaged citizen scientist count. The counts</w:t>
      </w:r>
      <w:r w:rsidRPr="00915F80">
        <w:t xml:space="preserve"> of Australian fur seal pups (live + dead) from both groups are highly correlated using linear regression (</w:t>
      </w:r>
      <w:r w:rsidRPr="00915F80">
        <w:rPr>
          <w:i/>
        </w:rPr>
        <w:t>P</w:t>
      </w:r>
      <w:r w:rsidRPr="00915F80">
        <w:t xml:space="preserve"> &gt; 0.001). Citizen scientists produce reliable count data when compared to an expert demonstrating that an expert is not required for the method to provide usable trend data for these animals.</w:t>
      </w:r>
    </w:p>
    <w:p w14:paraId="0BAE9CAC" w14:textId="77777777" w:rsidR="00B30FA7" w:rsidRDefault="00B30FA7" w:rsidP="003E7008">
      <w:pPr>
        <w:spacing w:after="0"/>
      </w:pPr>
    </w:p>
    <w:p w14:paraId="2A939B71" w14:textId="77777777" w:rsidR="00B30FA7" w:rsidRPr="00915F80" w:rsidRDefault="00B30FA7" w:rsidP="003E7008">
      <w:pPr>
        <w:spacing w:after="0"/>
      </w:pPr>
    </w:p>
    <w:p w14:paraId="55526705" w14:textId="77777777" w:rsidR="003E7008" w:rsidRDefault="003E7008" w:rsidP="003E7008">
      <w:r>
        <w:rPr>
          <w:noProof/>
        </w:rPr>
        <w:drawing>
          <wp:inline distT="0" distB="0" distL="0" distR="0" wp14:anchorId="22C0B93A" wp14:editId="568EB93D">
            <wp:extent cx="5075325" cy="2609850"/>
            <wp:effectExtent l="0" t="0" r="0" b="0"/>
            <wp:docPr id="73015724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76" cy="261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7136A" w14:textId="77777777" w:rsidR="003E7008" w:rsidRPr="00563A8E" w:rsidRDefault="003E7008" w:rsidP="003E7008">
      <w:pPr>
        <w:spacing w:after="0"/>
      </w:pPr>
      <w:r w:rsidRPr="00563A8E">
        <w:rPr>
          <w:b/>
        </w:rPr>
        <w:t xml:space="preserve">Figure </w:t>
      </w:r>
      <w:r>
        <w:rPr>
          <w:b/>
        </w:rPr>
        <w:t>S5</w:t>
      </w:r>
      <w:r w:rsidRPr="00563A8E">
        <w:rPr>
          <w:b/>
        </w:rPr>
        <w:t xml:space="preserve">: </w:t>
      </w:r>
      <w:r w:rsidRPr="00563A8E">
        <w:t xml:space="preserve">Boxplots showing a comparison of means between citizen science </w:t>
      </w:r>
      <w:r>
        <w:t xml:space="preserve">participants </w:t>
      </w:r>
      <w:r w:rsidRPr="00563A8E">
        <w:t>and the expert counts of drone surveys of Australian fur seal pups (live + dead) at Seal Rocks and The Skerries using the SealSpotter portal. Here, the expert produces higher pup counts th</w:t>
      </w:r>
      <w:r>
        <w:t>a</w:t>
      </w:r>
      <w:r w:rsidRPr="00563A8E">
        <w:t>n citizen scientists</w:t>
      </w:r>
      <w:r>
        <w:t xml:space="preserve"> but the interquartile ranges overlap</w:t>
      </w:r>
      <w:r w:rsidRPr="00563A8E">
        <w:t>.</w:t>
      </w:r>
    </w:p>
    <w:p w14:paraId="6DCE021F" w14:textId="77777777" w:rsidR="003E7008" w:rsidRDefault="003E7008" w:rsidP="003E7008">
      <w:pPr>
        <w:spacing w:after="0"/>
        <w:rPr>
          <w:b/>
        </w:rPr>
      </w:pPr>
    </w:p>
    <w:p w14:paraId="612ADA16" w14:textId="77777777" w:rsidR="003E7008" w:rsidRDefault="003E7008"/>
    <w:sectPr w:rsidR="003E7008" w:rsidSect="00E566C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F87A2" w14:textId="77777777" w:rsidR="00EA442B" w:rsidRDefault="00EA442B" w:rsidP="00B30FA7">
      <w:pPr>
        <w:spacing w:after="0" w:line="240" w:lineRule="auto"/>
      </w:pPr>
      <w:r>
        <w:separator/>
      </w:r>
    </w:p>
  </w:endnote>
  <w:endnote w:type="continuationSeparator" w:id="0">
    <w:p w14:paraId="4C7116FD" w14:textId="77777777" w:rsidR="00EA442B" w:rsidRDefault="00EA442B" w:rsidP="00B3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4634E" w14:textId="77777777" w:rsidR="00B30FA7" w:rsidRDefault="00B30F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87060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B15E98" w14:textId="65B4E5F3" w:rsidR="00B30FA7" w:rsidRDefault="00B30FA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A049D7" w14:textId="77777777" w:rsidR="00B30FA7" w:rsidRDefault="00B30F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6B883" w14:textId="77777777" w:rsidR="00B30FA7" w:rsidRDefault="00B30F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5A0B7" w14:textId="77777777" w:rsidR="00EA442B" w:rsidRDefault="00EA442B" w:rsidP="00B30FA7">
      <w:pPr>
        <w:spacing w:after="0" w:line="240" w:lineRule="auto"/>
      </w:pPr>
      <w:r>
        <w:separator/>
      </w:r>
    </w:p>
  </w:footnote>
  <w:footnote w:type="continuationSeparator" w:id="0">
    <w:p w14:paraId="46477CA9" w14:textId="77777777" w:rsidR="00EA442B" w:rsidRDefault="00EA442B" w:rsidP="00B3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0F0FA" w14:textId="77777777" w:rsidR="00B30FA7" w:rsidRDefault="00B30F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F28BF" w14:textId="77777777" w:rsidR="00B30FA7" w:rsidRDefault="00B30F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6E072" w14:textId="77777777" w:rsidR="00B30FA7" w:rsidRDefault="00B30F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A3F"/>
    <w:rsid w:val="0004203B"/>
    <w:rsid w:val="00043912"/>
    <w:rsid w:val="00076320"/>
    <w:rsid w:val="000C7C73"/>
    <w:rsid w:val="00101707"/>
    <w:rsid w:val="001329FC"/>
    <w:rsid w:val="00140439"/>
    <w:rsid w:val="00147E95"/>
    <w:rsid w:val="00182D55"/>
    <w:rsid w:val="001C362C"/>
    <w:rsid w:val="0026137B"/>
    <w:rsid w:val="00264A23"/>
    <w:rsid w:val="00294958"/>
    <w:rsid w:val="002A23AA"/>
    <w:rsid w:val="0030330F"/>
    <w:rsid w:val="00346923"/>
    <w:rsid w:val="003D583A"/>
    <w:rsid w:val="003E7008"/>
    <w:rsid w:val="00403938"/>
    <w:rsid w:val="004508F5"/>
    <w:rsid w:val="00460F29"/>
    <w:rsid w:val="005539BC"/>
    <w:rsid w:val="00596653"/>
    <w:rsid w:val="005A7CAA"/>
    <w:rsid w:val="00654C1A"/>
    <w:rsid w:val="00660A2B"/>
    <w:rsid w:val="00710546"/>
    <w:rsid w:val="00720843"/>
    <w:rsid w:val="00730456"/>
    <w:rsid w:val="00741745"/>
    <w:rsid w:val="0075726E"/>
    <w:rsid w:val="007714D4"/>
    <w:rsid w:val="007771C9"/>
    <w:rsid w:val="007E1A3F"/>
    <w:rsid w:val="007E7539"/>
    <w:rsid w:val="0080078B"/>
    <w:rsid w:val="0080108B"/>
    <w:rsid w:val="008307FE"/>
    <w:rsid w:val="00856629"/>
    <w:rsid w:val="008749C0"/>
    <w:rsid w:val="008D526B"/>
    <w:rsid w:val="00937483"/>
    <w:rsid w:val="009810E9"/>
    <w:rsid w:val="009C052F"/>
    <w:rsid w:val="009D182E"/>
    <w:rsid w:val="00A02898"/>
    <w:rsid w:val="00A51573"/>
    <w:rsid w:val="00AA2CFB"/>
    <w:rsid w:val="00AB0B28"/>
    <w:rsid w:val="00B30FA7"/>
    <w:rsid w:val="00B92D1D"/>
    <w:rsid w:val="00BB4A33"/>
    <w:rsid w:val="00BE7D90"/>
    <w:rsid w:val="00C4514B"/>
    <w:rsid w:val="00C91D40"/>
    <w:rsid w:val="00CA4242"/>
    <w:rsid w:val="00CE459F"/>
    <w:rsid w:val="00DA0FA7"/>
    <w:rsid w:val="00DE4358"/>
    <w:rsid w:val="00DF53EF"/>
    <w:rsid w:val="00E2727D"/>
    <w:rsid w:val="00E40B63"/>
    <w:rsid w:val="00E566C7"/>
    <w:rsid w:val="00E83209"/>
    <w:rsid w:val="00E86DBB"/>
    <w:rsid w:val="00EA442B"/>
    <w:rsid w:val="00EE2591"/>
    <w:rsid w:val="00F36ECD"/>
    <w:rsid w:val="00F57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A07CE"/>
  <w15:chartTrackingRefBased/>
  <w15:docId w15:val="{F4722FE7-4C29-42FC-9DEC-B6CF77F3A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1A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1A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A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1A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1A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1A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1A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1A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1A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1A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1A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1A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1A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1A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1A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1A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1A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1A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qFormat/>
    <w:rsid w:val="007E1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E1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1A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1A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1A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1A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1A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1A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1A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1A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1A3F"/>
    <w:rPr>
      <w:b/>
      <w:bCs/>
      <w:smallCaps/>
      <w:color w:val="0F4761" w:themeColor="accent1" w:themeShade="BF"/>
      <w:spacing w:val="5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80078B"/>
    <w:pPr>
      <w:numPr>
        <w:ilvl w:val="0"/>
      </w:numPr>
      <w:spacing w:before="240" w:after="240" w:line="240" w:lineRule="auto"/>
    </w:pPr>
    <w:rPr>
      <w:rFonts w:ascii="Times New Roman" w:eastAsiaTheme="minorHAnsi" w:hAnsi="Times New Roman" w:cs="Times New Roman"/>
      <w:b/>
      <w:color w:val="auto"/>
      <w:spacing w:val="0"/>
      <w:kern w:val="0"/>
      <w:sz w:val="24"/>
      <w:szCs w:val="24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30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0FA7"/>
  </w:style>
  <w:style w:type="paragraph" w:styleId="Footer">
    <w:name w:val="footer"/>
    <w:basedOn w:val="Normal"/>
    <w:link w:val="FooterChar"/>
    <w:uiPriority w:val="99"/>
    <w:unhideWhenUsed/>
    <w:rsid w:val="00B30F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0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42431-25e2-48e0-bba4-8a68b9d92df9" xsi:nil="true"/>
    <lcf76f155ced4ddcb4097134ff3c332f xmlns="07afa0b0-8d0e-4561-8bc7-793f6c77e5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F4AC85C1650A4FA2D5089348C61EFC" ma:contentTypeVersion="19" ma:contentTypeDescription="Create a new document." ma:contentTypeScope="" ma:versionID="adf264ca46919b432d7462da0dfeda08">
  <xsd:schema xmlns:xsd="http://www.w3.org/2001/XMLSchema" xmlns:xs="http://www.w3.org/2001/XMLSchema" xmlns:p="http://schemas.microsoft.com/office/2006/metadata/properties" xmlns:ns2="07afa0b0-8d0e-4561-8bc7-793f6c77e5d5" xmlns:ns3="dcd42431-25e2-48e0-bba4-8a68b9d92df9" targetNamespace="http://schemas.microsoft.com/office/2006/metadata/properties" ma:root="true" ma:fieldsID="7e0f6f810f3f580af50405ebfd128963" ns2:_="" ns3:_="">
    <xsd:import namespace="07afa0b0-8d0e-4561-8bc7-793f6c77e5d5"/>
    <xsd:import namespace="dcd42431-25e2-48e0-bba4-8a68b9d92d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OCR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fa0b0-8d0e-4561-8bc7-793f6c77e5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396ab87-0368-4ea4-92ca-c7aeb1e06e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42431-25e2-48e0-bba4-8a68b9d92df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b4a00e9-1dcf-4c12-bb72-500691564858}" ma:internalName="TaxCatchAll" ma:showField="CatchAllData" ma:web="dcd42431-25e2-48e0-bba4-8a68b9d92d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AC1E55-BFE3-4C4E-B9C3-BF27C9D4DB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432906-D6B1-4DE5-A9B2-3AC256FFA853}">
  <ds:schemaRefs>
    <ds:schemaRef ds:uri="http://schemas.microsoft.com/office/2006/metadata/properties"/>
    <ds:schemaRef ds:uri="http://schemas.microsoft.com/office/infopath/2007/PartnerControls"/>
    <ds:schemaRef ds:uri="dcd42431-25e2-48e0-bba4-8a68b9d92df9"/>
    <ds:schemaRef ds:uri="07afa0b0-8d0e-4561-8bc7-793f6c77e5d5"/>
  </ds:schemaRefs>
</ds:datastoreItem>
</file>

<file path=customXml/itemProps3.xml><?xml version="1.0" encoding="utf-8"?>
<ds:datastoreItem xmlns:ds="http://schemas.openxmlformats.org/officeDocument/2006/customXml" ds:itemID="{06F0A4AE-1859-4494-A45F-79983882A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afa0b0-8d0e-4561-8bc7-793f6c77e5d5"/>
    <ds:schemaRef ds:uri="dcd42431-25e2-48e0-bba4-8a68b9d92d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McIntosh</dc:creator>
  <cp:keywords/>
  <dc:description/>
  <cp:lastModifiedBy>Rebecca McIntosh</cp:lastModifiedBy>
  <cp:revision>58</cp:revision>
  <dcterms:created xsi:type="dcterms:W3CDTF">2024-06-17T06:19:00Z</dcterms:created>
  <dcterms:modified xsi:type="dcterms:W3CDTF">2024-06-21T03:07:00Z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0x010100C7F4AC85C1650A4FA2D5089348C61EFC</vt:lpwstr>
  </property>
  <property fmtid="{D5CDD505-2E9C-101B-9397-08002B2CF9AE}" pid="3" name="MediaServiceImageTags">
    <vt:lpwstr/>
  </property>
</Properties>
</file>