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BBCB0" w14:textId="77777777" w:rsidR="001D22B9" w:rsidRPr="009103C9" w:rsidRDefault="001D22B9" w:rsidP="001D22B9">
      <w:pPr>
        <w:pStyle w:val="a5"/>
        <w:numPr>
          <w:ilvl w:val="0"/>
          <w:numId w:val="1"/>
        </w:numPr>
        <w:spacing w:line="360" w:lineRule="auto"/>
        <w:rPr>
          <w:rFonts w:ascii="Times" w:eastAsia="Times New Roman" w:hAnsi="Times" w:cs="Times New Roman"/>
          <w:b/>
          <w:sz w:val="24"/>
          <w:szCs w:val="24"/>
          <w:lang w:val="en-CA"/>
        </w:rPr>
      </w:pPr>
      <w:r w:rsidRPr="009103C9">
        <w:rPr>
          <w:rFonts w:ascii="Times" w:eastAsia="Times New Roman" w:hAnsi="Times" w:cs="Times New Roman"/>
          <w:b/>
          <w:sz w:val="24"/>
          <w:lang w:val="en-CA"/>
        </w:rPr>
        <w:t>Table 1. MRI data acquisition parameters</w:t>
      </w:r>
    </w:p>
    <w:tbl>
      <w:tblPr>
        <w:tblW w:w="0" w:type="auto"/>
        <w:tblBorders>
          <w:top w:val="single" w:sz="8" w:space="0" w:color="auto"/>
          <w:bottom w:val="single" w:sz="8" w:space="0" w:color="auto"/>
        </w:tblBorders>
        <w:tblLook w:val="04A0" w:firstRow="1" w:lastRow="0" w:firstColumn="1" w:lastColumn="0" w:noHBand="0" w:noVBand="1"/>
      </w:tblPr>
      <w:tblGrid>
        <w:gridCol w:w="2367"/>
        <w:gridCol w:w="1290"/>
        <w:gridCol w:w="1396"/>
        <w:gridCol w:w="1290"/>
        <w:gridCol w:w="1775"/>
      </w:tblGrid>
      <w:tr w:rsidR="001D22B9" w:rsidRPr="001C2E1F" w14:paraId="711AF2E8" w14:textId="77777777" w:rsidTr="005A74E2">
        <w:trPr>
          <w:trHeight w:val="367"/>
        </w:trPr>
        <w:tc>
          <w:tcPr>
            <w:tcW w:w="0" w:type="auto"/>
            <w:tcBorders>
              <w:top w:val="single" w:sz="8" w:space="0" w:color="auto"/>
              <w:bottom w:val="single" w:sz="8" w:space="0" w:color="auto"/>
            </w:tcBorders>
            <w:shd w:val="clear" w:color="auto" w:fill="auto"/>
            <w:noWrap/>
            <w:vAlign w:val="center"/>
            <w:hideMark/>
          </w:tcPr>
          <w:p w14:paraId="53C2712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Protocols</w:t>
            </w:r>
          </w:p>
        </w:tc>
        <w:tc>
          <w:tcPr>
            <w:tcW w:w="0" w:type="auto"/>
            <w:tcBorders>
              <w:top w:val="single" w:sz="8" w:space="0" w:color="auto"/>
              <w:bottom w:val="single" w:sz="8" w:space="0" w:color="auto"/>
            </w:tcBorders>
            <w:shd w:val="clear" w:color="auto" w:fill="auto"/>
            <w:noWrap/>
            <w:vAlign w:val="center"/>
            <w:hideMark/>
          </w:tcPr>
          <w:p w14:paraId="657C7887"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Axial T2WI</w:t>
            </w:r>
          </w:p>
        </w:tc>
        <w:tc>
          <w:tcPr>
            <w:tcW w:w="0" w:type="auto"/>
            <w:tcBorders>
              <w:top w:val="single" w:sz="8" w:space="0" w:color="auto"/>
              <w:bottom w:val="single" w:sz="8" w:space="0" w:color="auto"/>
            </w:tcBorders>
            <w:shd w:val="clear" w:color="auto" w:fill="auto"/>
            <w:noWrap/>
            <w:vAlign w:val="center"/>
            <w:hideMark/>
          </w:tcPr>
          <w:p w14:paraId="7328C12F"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Axial FLAIR</w:t>
            </w:r>
          </w:p>
        </w:tc>
        <w:tc>
          <w:tcPr>
            <w:tcW w:w="0" w:type="auto"/>
            <w:tcBorders>
              <w:top w:val="single" w:sz="8" w:space="0" w:color="auto"/>
              <w:bottom w:val="single" w:sz="8" w:space="0" w:color="auto"/>
            </w:tcBorders>
            <w:shd w:val="clear" w:color="auto" w:fill="auto"/>
            <w:noWrap/>
            <w:vAlign w:val="center"/>
            <w:hideMark/>
          </w:tcPr>
          <w:p w14:paraId="7D8828B9"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DWI</w:t>
            </w:r>
          </w:p>
        </w:tc>
        <w:tc>
          <w:tcPr>
            <w:tcW w:w="0" w:type="auto"/>
            <w:tcBorders>
              <w:top w:val="single" w:sz="8" w:space="0" w:color="auto"/>
              <w:bottom w:val="single" w:sz="8" w:space="0" w:color="auto"/>
            </w:tcBorders>
            <w:shd w:val="clear" w:color="auto" w:fill="auto"/>
            <w:noWrap/>
            <w:vAlign w:val="center"/>
            <w:hideMark/>
          </w:tcPr>
          <w:p w14:paraId="6B8F3CC3"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3D-</w:t>
            </w:r>
            <w:r>
              <w:rPr>
                <w:rFonts w:ascii="Times New Roman" w:eastAsia="DengXian" w:hAnsi="Times New Roman" w:cs="Times New Roman"/>
                <w:color w:val="000000"/>
                <w:kern w:val="0"/>
                <w:sz w:val="22"/>
                <w:szCs w:val="22"/>
              </w:rPr>
              <w:t>T1 MPRAGE</w:t>
            </w:r>
          </w:p>
        </w:tc>
      </w:tr>
      <w:tr w:rsidR="001D22B9" w:rsidRPr="001C2E1F" w14:paraId="03AFEB38" w14:textId="77777777" w:rsidTr="005A74E2">
        <w:trPr>
          <w:trHeight w:val="367"/>
        </w:trPr>
        <w:tc>
          <w:tcPr>
            <w:tcW w:w="0" w:type="auto"/>
            <w:tcBorders>
              <w:top w:val="single" w:sz="8" w:space="0" w:color="auto"/>
            </w:tcBorders>
            <w:shd w:val="clear" w:color="auto" w:fill="auto"/>
            <w:noWrap/>
            <w:vAlign w:val="center"/>
            <w:hideMark/>
          </w:tcPr>
          <w:p w14:paraId="31E5A80A"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TR (</w:t>
            </w:r>
            <w:proofErr w:type="spellStart"/>
            <w:r w:rsidRPr="001C2E1F">
              <w:rPr>
                <w:rFonts w:ascii="Times New Roman" w:eastAsia="DengXian" w:hAnsi="Times New Roman" w:cs="Times New Roman"/>
                <w:color w:val="000000"/>
                <w:kern w:val="0"/>
                <w:sz w:val="22"/>
                <w:szCs w:val="22"/>
              </w:rPr>
              <w:t>ms</w:t>
            </w:r>
            <w:proofErr w:type="spellEnd"/>
            <w:r w:rsidRPr="001C2E1F">
              <w:rPr>
                <w:rFonts w:ascii="Times New Roman" w:eastAsia="DengXian" w:hAnsi="Times New Roman" w:cs="Times New Roman"/>
                <w:color w:val="000000"/>
                <w:kern w:val="0"/>
                <w:sz w:val="22"/>
                <w:szCs w:val="22"/>
              </w:rPr>
              <w:t>)</w:t>
            </w:r>
          </w:p>
        </w:tc>
        <w:tc>
          <w:tcPr>
            <w:tcW w:w="0" w:type="auto"/>
            <w:tcBorders>
              <w:top w:val="single" w:sz="8" w:space="0" w:color="auto"/>
            </w:tcBorders>
            <w:shd w:val="clear" w:color="auto" w:fill="auto"/>
            <w:noWrap/>
            <w:vAlign w:val="center"/>
            <w:hideMark/>
          </w:tcPr>
          <w:p w14:paraId="526C67EA"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4300</w:t>
            </w:r>
          </w:p>
        </w:tc>
        <w:tc>
          <w:tcPr>
            <w:tcW w:w="0" w:type="auto"/>
            <w:tcBorders>
              <w:top w:val="single" w:sz="8" w:space="0" w:color="auto"/>
            </w:tcBorders>
            <w:shd w:val="clear" w:color="auto" w:fill="auto"/>
            <w:noWrap/>
            <w:vAlign w:val="center"/>
            <w:hideMark/>
          </w:tcPr>
          <w:p w14:paraId="23DB6582"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7000</w:t>
            </w:r>
          </w:p>
        </w:tc>
        <w:tc>
          <w:tcPr>
            <w:tcW w:w="0" w:type="auto"/>
            <w:tcBorders>
              <w:top w:val="single" w:sz="8" w:space="0" w:color="auto"/>
            </w:tcBorders>
            <w:shd w:val="clear" w:color="auto" w:fill="auto"/>
            <w:noWrap/>
            <w:vAlign w:val="center"/>
            <w:hideMark/>
          </w:tcPr>
          <w:p w14:paraId="32D1FC7A"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1300</w:t>
            </w:r>
          </w:p>
        </w:tc>
        <w:tc>
          <w:tcPr>
            <w:tcW w:w="0" w:type="auto"/>
            <w:tcBorders>
              <w:top w:val="single" w:sz="8" w:space="0" w:color="auto"/>
            </w:tcBorders>
            <w:shd w:val="clear" w:color="auto" w:fill="auto"/>
            <w:noWrap/>
            <w:vAlign w:val="center"/>
            <w:hideMark/>
          </w:tcPr>
          <w:p w14:paraId="3CCF9C67"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2300</w:t>
            </w:r>
          </w:p>
        </w:tc>
      </w:tr>
      <w:tr w:rsidR="001D22B9" w:rsidRPr="001C2E1F" w14:paraId="15B506FF" w14:textId="77777777" w:rsidTr="005A74E2">
        <w:trPr>
          <w:trHeight w:val="367"/>
        </w:trPr>
        <w:tc>
          <w:tcPr>
            <w:tcW w:w="0" w:type="auto"/>
            <w:shd w:val="clear" w:color="auto" w:fill="auto"/>
            <w:noWrap/>
            <w:vAlign w:val="center"/>
            <w:hideMark/>
          </w:tcPr>
          <w:p w14:paraId="0EDF87FB"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TE (</w:t>
            </w:r>
            <w:proofErr w:type="spellStart"/>
            <w:r w:rsidRPr="001C2E1F">
              <w:rPr>
                <w:rFonts w:ascii="Times New Roman" w:eastAsia="DengXian" w:hAnsi="Times New Roman" w:cs="Times New Roman"/>
                <w:color w:val="000000"/>
                <w:kern w:val="0"/>
                <w:sz w:val="22"/>
                <w:szCs w:val="22"/>
              </w:rPr>
              <w:t>ms</w:t>
            </w:r>
            <w:proofErr w:type="spellEnd"/>
            <w:r w:rsidRPr="001C2E1F">
              <w:rPr>
                <w:rFonts w:ascii="Times New Roman" w:eastAsia="DengXian" w:hAnsi="Times New Roman" w:cs="Times New Roman"/>
                <w:color w:val="000000"/>
                <w:kern w:val="0"/>
                <w:sz w:val="22"/>
                <w:szCs w:val="22"/>
              </w:rPr>
              <w:t>)</w:t>
            </w:r>
          </w:p>
        </w:tc>
        <w:tc>
          <w:tcPr>
            <w:tcW w:w="0" w:type="auto"/>
            <w:shd w:val="clear" w:color="auto" w:fill="auto"/>
            <w:noWrap/>
            <w:vAlign w:val="center"/>
            <w:hideMark/>
          </w:tcPr>
          <w:p w14:paraId="30706A59"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98</w:t>
            </w:r>
          </w:p>
        </w:tc>
        <w:tc>
          <w:tcPr>
            <w:tcW w:w="0" w:type="auto"/>
            <w:shd w:val="clear" w:color="auto" w:fill="auto"/>
            <w:noWrap/>
            <w:vAlign w:val="center"/>
            <w:hideMark/>
          </w:tcPr>
          <w:p w14:paraId="63AC9AB7"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83</w:t>
            </w:r>
          </w:p>
        </w:tc>
        <w:tc>
          <w:tcPr>
            <w:tcW w:w="0" w:type="auto"/>
            <w:shd w:val="clear" w:color="auto" w:fill="auto"/>
            <w:noWrap/>
            <w:vAlign w:val="center"/>
            <w:hideMark/>
          </w:tcPr>
          <w:p w14:paraId="6FB85C22"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62</w:t>
            </w:r>
          </w:p>
        </w:tc>
        <w:tc>
          <w:tcPr>
            <w:tcW w:w="0" w:type="auto"/>
            <w:shd w:val="clear" w:color="auto" w:fill="auto"/>
            <w:noWrap/>
            <w:vAlign w:val="center"/>
            <w:hideMark/>
          </w:tcPr>
          <w:p w14:paraId="0EB375A5"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2.32</w:t>
            </w:r>
          </w:p>
        </w:tc>
      </w:tr>
      <w:tr w:rsidR="001D22B9" w:rsidRPr="001C2E1F" w14:paraId="2062735C" w14:textId="77777777" w:rsidTr="005A74E2">
        <w:trPr>
          <w:trHeight w:val="367"/>
        </w:trPr>
        <w:tc>
          <w:tcPr>
            <w:tcW w:w="0" w:type="auto"/>
            <w:shd w:val="clear" w:color="auto" w:fill="auto"/>
            <w:noWrap/>
            <w:vAlign w:val="center"/>
            <w:hideMark/>
          </w:tcPr>
          <w:p w14:paraId="5CDA261F"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TI (</w:t>
            </w:r>
            <w:proofErr w:type="spellStart"/>
            <w:r w:rsidRPr="001C2E1F">
              <w:rPr>
                <w:rFonts w:ascii="Times New Roman" w:eastAsia="DengXian" w:hAnsi="Times New Roman" w:cs="Times New Roman"/>
                <w:color w:val="000000"/>
                <w:kern w:val="0"/>
                <w:sz w:val="22"/>
                <w:szCs w:val="22"/>
              </w:rPr>
              <w:t>ms</w:t>
            </w:r>
            <w:proofErr w:type="spellEnd"/>
            <w:r w:rsidRPr="001C2E1F">
              <w:rPr>
                <w:rFonts w:ascii="Times New Roman" w:eastAsia="DengXian" w:hAnsi="Times New Roman" w:cs="Times New Roman"/>
                <w:color w:val="000000"/>
                <w:kern w:val="0"/>
                <w:sz w:val="22"/>
                <w:szCs w:val="22"/>
              </w:rPr>
              <w:t>)</w:t>
            </w:r>
          </w:p>
        </w:tc>
        <w:tc>
          <w:tcPr>
            <w:tcW w:w="0" w:type="auto"/>
            <w:shd w:val="clear" w:color="auto" w:fill="auto"/>
            <w:noWrap/>
            <w:vAlign w:val="center"/>
            <w:hideMark/>
          </w:tcPr>
          <w:p w14:paraId="37F56A06"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w:t>
            </w:r>
          </w:p>
        </w:tc>
        <w:tc>
          <w:tcPr>
            <w:tcW w:w="0" w:type="auto"/>
            <w:shd w:val="clear" w:color="auto" w:fill="auto"/>
            <w:noWrap/>
            <w:vAlign w:val="center"/>
            <w:hideMark/>
          </w:tcPr>
          <w:p w14:paraId="5CF13E32"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2217</w:t>
            </w:r>
          </w:p>
        </w:tc>
        <w:tc>
          <w:tcPr>
            <w:tcW w:w="0" w:type="auto"/>
            <w:shd w:val="clear" w:color="auto" w:fill="auto"/>
            <w:noWrap/>
            <w:vAlign w:val="center"/>
            <w:hideMark/>
          </w:tcPr>
          <w:p w14:paraId="2DEBF216"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w:t>
            </w:r>
          </w:p>
        </w:tc>
        <w:tc>
          <w:tcPr>
            <w:tcW w:w="0" w:type="auto"/>
            <w:shd w:val="clear" w:color="auto" w:fill="auto"/>
            <w:noWrap/>
            <w:vAlign w:val="center"/>
            <w:hideMark/>
          </w:tcPr>
          <w:p w14:paraId="4FB2FB60"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900</w:t>
            </w:r>
          </w:p>
        </w:tc>
      </w:tr>
      <w:tr w:rsidR="001D22B9" w:rsidRPr="001C2E1F" w14:paraId="24981D13" w14:textId="77777777" w:rsidTr="005A74E2">
        <w:trPr>
          <w:trHeight w:val="367"/>
        </w:trPr>
        <w:tc>
          <w:tcPr>
            <w:tcW w:w="0" w:type="auto"/>
            <w:shd w:val="clear" w:color="auto" w:fill="auto"/>
            <w:noWrap/>
            <w:vAlign w:val="center"/>
            <w:hideMark/>
          </w:tcPr>
          <w:p w14:paraId="7BF04FF5"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B values (s/mm</w:t>
            </w:r>
            <w:r w:rsidRPr="001C2E1F">
              <w:rPr>
                <w:rFonts w:ascii="Times New Roman" w:eastAsia="DengXian" w:hAnsi="Times New Roman" w:cs="Times New Roman"/>
                <w:color w:val="000000"/>
                <w:kern w:val="0"/>
                <w:sz w:val="22"/>
                <w:szCs w:val="22"/>
                <w:vertAlign w:val="superscript"/>
              </w:rPr>
              <w:t>2</w:t>
            </w:r>
            <w:r w:rsidRPr="001C2E1F">
              <w:rPr>
                <w:rFonts w:ascii="Times New Roman" w:eastAsia="DengXian" w:hAnsi="Times New Roman" w:cs="Times New Roman"/>
                <w:color w:val="000000"/>
                <w:kern w:val="0"/>
                <w:sz w:val="22"/>
                <w:szCs w:val="22"/>
              </w:rPr>
              <w:t>)</w:t>
            </w:r>
          </w:p>
        </w:tc>
        <w:tc>
          <w:tcPr>
            <w:tcW w:w="0" w:type="auto"/>
            <w:shd w:val="clear" w:color="auto" w:fill="auto"/>
            <w:noWrap/>
            <w:vAlign w:val="center"/>
            <w:hideMark/>
          </w:tcPr>
          <w:p w14:paraId="4D386B68"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w:t>
            </w:r>
          </w:p>
        </w:tc>
        <w:tc>
          <w:tcPr>
            <w:tcW w:w="0" w:type="auto"/>
            <w:shd w:val="clear" w:color="auto" w:fill="auto"/>
            <w:noWrap/>
            <w:vAlign w:val="center"/>
            <w:hideMark/>
          </w:tcPr>
          <w:p w14:paraId="087D42EF"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w:t>
            </w:r>
          </w:p>
        </w:tc>
        <w:tc>
          <w:tcPr>
            <w:tcW w:w="0" w:type="auto"/>
            <w:shd w:val="clear" w:color="auto" w:fill="auto"/>
            <w:noWrap/>
            <w:vAlign w:val="center"/>
            <w:hideMark/>
          </w:tcPr>
          <w:p w14:paraId="487D8F9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0/1000</w:t>
            </w:r>
          </w:p>
        </w:tc>
        <w:tc>
          <w:tcPr>
            <w:tcW w:w="0" w:type="auto"/>
            <w:shd w:val="clear" w:color="auto" w:fill="auto"/>
            <w:noWrap/>
            <w:vAlign w:val="center"/>
            <w:hideMark/>
          </w:tcPr>
          <w:p w14:paraId="13FB23C6"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w:t>
            </w:r>
          </w:p>
        </w:tc>
      </w:tr>
      <w:tr w:rsidR="001D22B9" w:rsidRPr="001C2E1F" w14:paraId="0D66F00B" w14:textId="77777777" w:rsidTr="005A74E2">
        <w:trPr>
          <w:trHeight w:val="367"/>
        </w:trPr>
        <w:tc>
          <w:tcPr>
            <w:tcW w:w="0" w:type="auto"/>
            <w:shd w:val="clear" w:color="auto" w:fill="auto"/>
            <w:noWrap/>
            <w:vAlign w:val="center"/>
            <w:hideMark/>
          </w:tcPr>
          <w:p w14:paraId="7AA039F1"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Slices</w:t>
            </w:r>
          </w:p>
        </w:tc>
        <w:tc>
          <w:tcPr>
            <w:tcW w:w="0" w:type="auto"/>
            <w:shd w:val="clear" w:color="auto" w:fill="auto"/>
            <w:noWrap/>
            <w:vAlign w:val="center"/>
            <w:hideMark/>
          </w:tcPr>
          <w:p w14:paraId="6FDBBCC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20-22</w:t>
            </w:r>
          </w:p>
        </w:tc>
        <w:tc>
          <w:tcPr>
            <w:tcW w:w="0" w:type="auto"/>
            <w:shd w:val="clear" w:color="auto" w:fill="auto"/>
            <w:noWrap/>
            <w:vAlign w:val="center"/>
            <w:hideMark/>
          </w:tcPr>
          <w:p w14:paraId="5BE6CDAD"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20-22</w:t>
            </w:r>
          </w:p>
        </w:tc>
        <w:tc>
          <w:tcPr>
            <w:tcW w:w="0" w:type="auto"/>
            <w:shd w:val="clear" w:color="auto" w:fill="auto"/>
            <w:noWrap/>
            <w:vAlign w:val="center"/>
            <w:hideMark/>
          </w:tcPr>
          <w:p w14:paraId="406D5185"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20-22</w:t>
            </w:r>
          </w:p>
        </w:tc>
        <w:tc>
          <w:tcPr>
            <w:tcW w:w="0" w:type="auto"/>
            <w:shd w:val="clear" w:color="auto" w:fill="auto"/>
            <w:noWrap/>
            <w:vAlign w:val="center"/>
            <w:hideMark/>
          </w:tcPr>
          <w:p w14:paraId="3CDD35D5"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192</w:t>
            </w:r>
          </w:p>
        </w:tc>
      </w:tr>
      <w:tr w:rsidR="001D22B9" w:rsidRPr="001C2E1F" w14:paraId="3B09F5FF" w14:textId="77777777" w:rsidTr="005A74E2">
        <w:trPr>
          <w:trHeight w:val="367"/>
        </w:trPr>
        <w:tc>
          <w:tcPr>
            <w:tcW w:w="0" w:type="auto"/>
            <w:shd w:val="clear" w:color="auto" w:fill="auto"/>
            <w:noWrap/>
            <w:vAlign w:val="center"/>
            <w:hideMark/>
          </w:tcPr>
          <w:p w14:paraId="41138A4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Dist. Factor (%)</w:t>
            </w:r>
          </w:p>
        </w:tc>
        <w:tc>
          <w:tcPr>
            <w:tcW w:w="0" w:type="auto"/>
            <w:shd w:val="clear" w:color="auto" w:fill="auto"/>
            <w:noWrap/>
            <w:vAlign w:val="center"/>
            <w:hideMark/>
          </w:tcPr>
          <w:p w14:paraId="25AD5735"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30</w:t>
            </w:r>
          </w:p>
        </w:tc>
        <w:tc>
          <w:tcPr>
            <w:tcW w:w="0" w:type="auto"/>
            <w:shd w:val="clear" w:color="auto" w:fill="auto"/>
            <w:noWrap/>
            <w:vAlign w:val="center"/>
            <w:hideMark/>
          </w:tcPr>
          <w:p w14:paraId="05F75EAE"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30</w:t>
            </w:r>
          </w:p>
        </w:tc>
        <w:tc>
          <w:tcPr>
            <w:tcW w:w="0" w:type="auto"/>
            <w:shd w:val="clear" w:color="auto" w:fill="auto"/>
            <w:noWrap/>
            <w:vAlign w:val="center"/>
            <w:hideMark/>
          </w:tcPr>
          <w:p w14:paraId="7DF7E531"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30</w:t>
            </w:r>
          </w:p>
        </w:tc>
        <w:tc>
          <w:tcPr>
            <w:tcW w:w="0" w:type="auto"/>
            <w:shd w:val="clear" w:color="auto" w:fill="auto"/>
            <w:noWrap/>
            <w:vAlign w:val="center"/>
            <w:hideMark/>
          </w:tcPr>
          <w:p w14:paraId="2A207A8B"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50</w:t>
            </w:r>
          </w:p>
        </w:tc>
      </w:tr>
      <w:tr w:rsidR="001D22B9" w:rsidRPr="001C2E1F" w14:paraId="6B915B54" w14:textId="77777777" w:rsidTr="005A74E2">
        <w:trPr>
          <w:trHeight w:val="367"/>
        </w:trPr>
        <w:tc>
          <w:tcPr>
            <w:tcW w:w="0" w:type="auto"/>
            <w:shd w:val="clear" w:color="auto" w:fill="auto"/>
            <w:noWrap/>
            <w:vAlign w:val="center"/>
            <w:hideMark/>
          </w:tcPr>
          <w:p w14:paraId="082F06C4"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Phase oversampling (%)</w:t>
            </w:r>
          </w:p>
        </w:tc>
        <w:tc>
          <w:tcPr>
            <w:tcW w:w="0" w:type="auto"/>
            <w:shd w:val="clear" w:color="auto" w:fill="auto"/>
            <w:noWrap/>
            <w:vAlign w:val="center"/>
            <w:hideMark/>
          </w:tcPr>
          <w:p w14:paraId="0F23397D"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10</w:t>
            </w:r>
          </w:p>
        </w:tc>
        <w:tc>
          <w:tcPr>
            <w:tcW w:w="0" w:type="auto"/>
            <w:shd w:val="clear" w:color="auto" w:fill="auto"/>
            <w:noWrap/>
            <w:vAlign w:val="center"/>
            <w:hideMark/>
          </w:tcPr>
          <w:p w14:paraId="5561314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w:t>
            </w:r>
          </w:p>
        </w:tc>
        <w:tc>
          <w:tcPr>
            <w:tcW w:w="0" w:type="auto"/>
            <w:shd w:val="clear" w:color="auto" w:fill="auto"/>
            <w:noWrap/>
            <w:vAlign w:val="center"/>
            <w:hideMark/>
          </w:tcPr>
          <w:p w14:paraId="0CAD15FE"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w:t>
            </w:r>
          </w:p>
        </w:tc>
        <w:tc>
          <w:tcPr>
            <w:tcW w:w="0" w:type="auto"/>
            <w:shd w:val="clear" w:color="auto" w:fill="auto"/>
            <w:noWrap/>
            <w:vAlign w:val="center"/>
            <w:hideMark/>
          </w:tcPr>
          <w:p w14:paraId="67315B88"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w:t>
            </w:r>
          </w:p>
        </w:tc>
      </w:tr>
      <w:tr w:rsidR="001D22B9" w:rsidRPr="001C2E1F" w14:paraId="1E8C9B9E" w14:textId="77777777" w:rsidTr="005A74E2">
        <w:trPr>
          <w:trHeight w:val="367"/>
        </w:trPr>
        <w:tc>
          <w:tcPr>
            <w:tcW w:w="0" w:type="auto"/>
            <w:shd w:val="clear" w:color="auto" w:fill="auto"/>
            <w:noWrap/>
            <w:vAlign w:val="center"/>
            <w:hideMark/>
          </w:tcPr>
          <w:p w14:paraId="42698713"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FOV read (mm)</w:t>
            </w:r>
          </w:p>
        </w:tc>
        <w:tc>
          <w:tcPr>
            <w:tcW w:w="0" w:type="auto"/>
            <w:shd w:val="clear" w:color="auto" w:fill="auto"/>
            <w:noWrap/>
            <w:vAlign w:val="center"/>
            <w:hideMark/>
          </w:tcPr>
          <w:p w14:paraId="656FAA68"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230</w:t>
            </w:r>
          </w:p>
        </w:tc>
        <w:tc>
          <w:tcPr>
            <w:tcW w:w="0" w:type="auto"/>
            <w:shd w:val="clear" w:color="auto" w:fill="auto"/>
            <w:noWrap/>
            <w:vAlign w:val="center"/>
            <w:hideMark/>
          </w:tcPr>
          <w:p w14:paraId="07E95511"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230</w:t>
            </w:r>
          </w:p>
        </w:tc>
        <w:tc>
          <w:tcPr>
            <w:tcW w:w="0" w:type="auto"/>
            <w:shd w:val="clear" w:color="auto" w:fill="auto"/>
            <w:noWrap/>
            <w:vAlign w:val="center"/>
            <w:hideMark/>
          </w:tcPr>
          <w:p w14:paraId="1D711544"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240</w:t>
            </w:r>
          </w:p>
        </w:tc>
        <w:tc>
          <w:tcPr>
            <w:tcW w:w="0" w:type="auto"/>
            <w:shd w:val="clear" w:color="auto" w:fill="auto"/>
            <w:noWrap/>
            <w:vAlign w:val="center"/>
            <w:hideMark/>
          </w:tcPr>
          <w:p w14:paraId="16498C00"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240</w:t>
            </w:r>
          </w:p>
        </w:tc>
      </w:tr>
      <w:tr w:rsidR="001D22B9" w:rsidRPr="001C2E1F" w14:paraId="01A3C430" w14:textId="77777777" w:rsidTr="005A74E2">
        <w:trPr>
          <w:trHeight w:val="367"/>
        </w:trPr>
        <w:tc>
          <w:tcPr>
            <w:tcW w:w="0" w:type="auto"/>
            <w:shd w:val="clear" w:color="auto" w:fill="auto"/>
            <w:noWrap/>
            <w:vAlign w:val="center"/>
            <w:hideMark/>
          </w:tcPr>
          <w:p w14:paraId="133AB80B"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FOV phase (%)</w:t>
            </w:r>
          </w:p>
        </w:tc>
        <w:tc>
          <w:tcPr>
            <w:tcW w:w="0" w:type="auto"/>
            <w:shd w:val="clear" w:color="auto" w:fill="auto"/>
            <w:noWrap/>
            <w:vAlign w:val="center"/>
            <w:hideMark/>
          </w:tcPr>
          <w:p w14:paraId="4EB347F3"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81.3</w:t>
            </w:r>
          </w:p>
        </w:tc>
        <w:tc>
          <w:tcPr>
            <w:tcW w:w="0" w:type="auto"/>
            <w:shd w:val="clear" w:color="auto" w:fill="auto"/>
            <w:noWrap/>
            <w:vAlign w:val="center"/>
            <w:hideMark/>
          </w:tcPr>
          <w:p w14:paraId="4EDC19D5"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81.3</w:t>
            </w:r>
          </w:p>
        </w:tc>
        <w:tc>
          <w:tcPr>
            <w:tcW w:w="0" w:type="auto"/>
            <w:shd w:val="clear" w:color="auto" w:fill="auto"/>
            <w:noWrap/>
            <w:vAlign w:val="center"/>
            <w:hideMark/>
          </w:tcPr>
          <w:p w14:paraId="6CD7D113"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100</w:t>
            </w:r>
          </w:p>
        </w:tc>
        <w:tc>
          <w:tcPr>
            <w:tcW w:w="0" w:type="auto"/>
            <w:shd w:val="clear" w:color="auto" w:fill="auto"/>
            <w:noWrap/>
            <w:vAlign w:val="center"/>
            <w:hideMark/>
          </w:tcPr>
          <w:p w14:paraId="2E7CB7CB"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100</w:t>
            </w:r>
          </w:p>
        </w:tc>
      </w:tr>
      <w:tr w:rsidR="001D22B9" w:rsidRPr="001C2E1F" w14:paraId="3E110DF2" w14:textId="77777777" w:rsidTr="005A74E2">
        <w:trPr>
          <w:trHeight w:val="367"/>
        </w:trPr>
        <w:tc>
          <w:tcPr>
            <w:tcW w:w="0" w:type="auto"/>
            <w:shd w:val="clear" w:color="auto" w:fill="auto"/>
            <w:noWrap/>
            <w:vAlign w:val="center"/>
            <w:hideMark/>
          </w:tcPr>
          <w:p w14:paraId="02AA05F6"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Slice thickness (mm)</w:t>
            </w:r>
          </w:p>
        </w:tc>
        <w:tc>
          <w:tcPr>
            <w:tcW w:w="0" w:type="auto"/>
            <w:shd w:val="clear" w:color="auto" w:fill="auto"/>
            <w:noWrap/>
            <w:vAlign w:val="center"/>
            <w:hideMark/>
          </w:tcPr>
          <w:p w14:paraId="4FB35B66"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5</w:t>
            </w:r>
          </w:p>
        </w:tc>
        <w:tc>
          <w:tcPr>
            <w:tcW w:w="0" w:type="auto"/>
            <w:shd w:val="clear" w:color="auto" w:fill="auto"/>
            <w:noWrap/>
            <w:vAlign w:val="center"/>
            <w:hideMark/>
          </w:tcPr>
          <w:p w14:paraId="2EC643C3"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5</w:t>
            </w:r>
          </w:p>
        </w:tc>
        <w:tc>
          <w:tcPr>
            <w:tcW w:w="0" w:type="auto"/>
            <w:shd w:val="clear" w:color="auto" w:fill="auto"/>
            <w:noWrap/>
            <w:vAlign w:val="center"/>
            <w:hideMark/>
          </w:tcPr>
          <w:p w14:paraId="07226A0F"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5</w:t>
            </w:r>
          </w:p>
        </w:tc>
        <w:tc>
          <w:tcPr>
            <w:tcW w:w="0" w:type="auto"/>
            <w:shd w:val="clear" w:color="auto" w:fill="auto"/>
            <w:noWrap/>
            <w:vAlign w:val="center"/>
            <w:hideMark/>
          </w:tcPr>
          <w:p w14:paraId="4E4B693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0.9</w:t>
            </w:r>
          </w:p>
        </w:tc>
      </w:tr>
      <w:tr w:rsidR="001D22B9" w:rsidRPr="001C2E1F" w14:paraId="3D2887D8" w14:textId="77777777" w:rsidTr="005A74E2">
        <w:trPr>
          <w:trHeight w:val="367"/>
        </w:trPr>
        <w:tc>
          <w:tcPr>
            <w:tcW w:w="0" w:type="auto"/>
            <w:tcBorders>
              <w:bottom w:val="nil"/>
            </w:tcBorders>
            <w:shd w:val="clear" w:color="auto" w:fill="auto"/>
            <w:noWrap/>
            <w:vAlign w:val="center"/>
            <w:hideMark/>
          </w:tcPr>
          <w:p w14:paraId="2F50CD04"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Averages</w:t>
            </w:r>
          </w:p>
        </w:tc>
        <w:tc>
          <w:tcPr>
            <w:tcW w:w="0" w:type="auto"/>
            <w:tcBorders>
              <w:bottom w:val="nil"/>
            </w:tcBorders>
            <w:shd w:val="clear" w:color="auto" w:fill="auto"/>
            <w:noWrap/>
            <w:vAlign w:val="center"/>
            <w:hideMark/>
          </w:tcPr>
          <w:p w14:paraId="49D5CC99"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w:t>
            </w:r>
          </w:p>
        </w:tc>
        <w:tc>
          <w:tcPr>
            <w:tcW w:w="0" w:type="auto"/>
            <w:tcBorders>
              <w:bottom w:val="nil"/>
            </w:tcBorders>
            <w:shd w:val="clear" w:color="auto" w:fill="auto"/>
            <w:noWrap/>
            <w:vAlign w:val="center"/>
            <w:hideMark/>
          </w:tcPr>
          <w:p w14:paraId="2A16E1A0"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w:t>
            </w:r>
          </w:p>
        </w:tc>
        <w:tc>
          <w:tcPr>
            <w:tcW w:w="0" w:type="auto"/>
            <w:tcBorders>
              <w:bottom w:val="nil"/>
            </w:tcBorders>
            <w:shd w:val="clear" w:color="auto" w:fill="auto"/>
            <w:noWrap/>
            <w:vAlign w:val="center"/>
            <w:hideMark/>
          </w:tcPr>
          <w:p w14:paraId="4ADA7B02"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w:t>
            </w:r>
          </w:p>
        </w:tc>
        <w:tc>
          <w:tcPr>
            <w:tcW w:w="0" w:type="auto"/>
            <w:tcBorders>
              <w:bottom w:val="nil"/>
            </w:tcBorders>
            <w:shd w:val="clear" w:color="auto" w:fill="auto"/>
            <w:noWrap/>
            <w:vAlign w:val="center"/>
            <w:hideMark/>
          </w:tcPr>
          <w:p w14:paraId="3AADEB4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1</w:t>
            </w:r>
          </w:p>
        </w:tc>
      </w:tr>
      <w:tr w:rsidR="001D22B9" w:rsidRPr="001C2E1F" w14:paraId="585C5500" w14:textId="77777777" w:rsidTr="005A74E2">
        <w:trPr>
          <w:trHeight w:val="367"/>
        </w:trPr>
        <w:tc>
          <w:tcPr>
            <w:tcW w:w="0" w:type="auto"/>
            <w:tcBorders>
              <w:top w:val="nil"/>
              <w:bottom w:val="single" w:sz="8" w:space="0" w:color="auto"/>
            </w:tcBorders>
            <w:shd w:val="clear" w:color="auto" w:fill="auto"/>
            <w:noWrap/>
            <w:vAlign w:val="center"/>
            <w:hideMark/>
          </w:tcPr>
          <w:p w14:paraId="56F03D03"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Voxel size (mm</w:t>
            </w:r>
            <w:r w:rsidRPr="001C2E1F">
              <w:rPr>
                <w:rFonts w:ascii="Times New Roman" w:eastAsia="DengXian" w:hAnsi="Times New Roman" w:cs="Times New Roman"/>
                <w:color w:val="000000"/>
                <w:kern w:val="0"/>
                <w:sz w:val="22"/>
                <w:szCs w:val="22"/>
                <w:vertAlign w:val="superscript"/>
              </w:rPr>
              <w:t>3</w:t>
            </w:r>
            <w:r w:rsidRPr="001C2E1F">
              <w:rPr>
                <w:rFonts w:ascii="Times New Roman" w:eastAsia="DengXian" w:hAnsi="Times New Roman" w:cs="Times New Roman"/>
                <w:color w:val="000000"/>
                <w:kern w:val="0"/>
                <w:sz w:val="22"/>
                <w:szCs w:val="22"/>
              </w:rPr>
              <w:t>)</w:t>
            </w:r>
          </w:p>
        </w:tc>
        <w:tc>
          <w:tcPr>
            <w:tcW w:w="0" w:type="auto"/>
            <w:tcBorders>
              <w:top w:val="nil"/>
              <w:bottom w:val="single" w:sz="8" w:space="0" w:color="auto"/>
            </w:tcBorders>
            <w:shd w:val="clear" w:color="auto" w:fill="auto"/>
            <w:noWrap/>
            <w:vAlign w:val="center"/>
            <w:hideMark/>
          </w:tcPr>
          <w:p w14:paraId="59618A3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0.6×0.6×5.0</w:t>
            </w:r>
          </w:p>
        </w:tc>
        <w:tc>
          <w:tcPr>
            <w:tcW w:w="0" w:type="auto"/>
            <w:tcBorders>
              <w:top w:val="nil"/>
              <w:bottom w:val="single" w:sz="8" w:space="0" w:color="auto"/>
            </w:tcBorders>
            <w:shd w:val="clear" w:color="auto" w:fill="auto"/>
            <w:noWrap/>
            <w:vAlign w:val="center"/>
            <w:hideMark/>
          </w:tcPr>
          <w:p w14:paraId="0E00FA17"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0.7×0.7×5.0</w:t>
            </w:r>
          </w:p>
        </w:tc>
        <w:tc>
          <w:tcPr>
            <w:tcW w:w="0" w:type="auto"/>
            <w:tcBorders>
              <w:top w:val="nil"/>
              <w:bottom w:val="single" w:sz="8" w:space="0" w:color="auto"/>
            </w:tcBorders>
            <w:shd w:val="clear" w:color="auto" w:fill="auto"/>
            <w:noWrap/>
            <w:vAlign w:val="center"/>
            <w:hideMark/>
          </w:tcPr>
          <w:p w14:paraId="5686F31C"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0.6×0.6×5.0</w:t>
            </w:r>
          </w:p>
        </w:tc>
        <w:tc>
          <w:tcPr>
            <w:tcW w:w="0" w:type="auto"/>
            <w:tcBorders>
              <w:top w:val="nil"/>
              <w:bottom w:val="single" w:sz="8" w:space="0" w:color="auto"/>
            </w:tcBorders>
            <w:shd w:val="clear" w:color="auto" w:fill="auto"/>
            <w:noWrap/>
            <w:vAlign w:val="center"/>
            <w:hideMark/>
          </w:tcPr>
          <w:p w14:paraId="12296034" w14:textId="77777777" w:rsidR="001D22B9" w:rsidRPr="001C2E1F" w:rsidRDefault="001D22B9" w:rsidP="005A74E2">
            <w:pPr>
              <w:widowControl/>
              <w:jc w:val="center"/>
              <w:rPr>
                <w:rFonts w:ascii="Times New Roman" w:eastAsia="DengXian" w:hAnsi="Times New Roman" w:cs="Times New Roman"/>
                <w:color w:val="000000"/>
                <w:kern w:val="0"/>
                <w:sz w:val="22"/>
                <w:szCs w:val="22"/>
              </w:rPr>
            </w:pPr>
            <w:r w:rsidRPr="001C2E1F">
              <w:rPr>
                <w:rFonts w:ascii="Times New Roman" w:eastAsia="DengXian" w:hAnsi="Times New Roman" w:cs="Times New Roman"/>
                <w:color w:val="000000"/>
                <w:kern w:val="0"/>
                <w:sz w:val="22"/>
                <w:szCs w:val="22"/>
              </w:rPr>
              <w:t>0.9×0.9×0.9</w:t>
            </w:r>
          </w:p>
        </w:tc>
      </w:tr>
    </w:tbl>
    <w:p w14:paraId="6935BDFC" w14:textId="77777777" w:rsidR="001D22B9" w:rsidRDefault="001D22B9" w:rsidP="001D22B9">
      <w:pPr>
        <w:rPr>
          <w:rFonts w:ascii="Times New Roman" w:eastAsia="DengXian" w:hAnsi="Times New Roman" w:cs="Times New Roman"/>
          <w:color w:val="000000"/>
          <w:kern w:val="0"/>
          <w:sz w:val="20"/>
          <w:szCs w:val="20"/>
        </w:rPr>
      </w:pPr>
      <w:r w:rsidRPr="001D22B9">
        <w:rPr>
          <w:rFonts w:ascii="Times New Roman" w:eastAsia="DengXian" w:hAnsi="Times New Roman" w:cs="Times New Roman"/>
          <w:color w:val="000000"/>
          <w:kern w:val="0"/>
          <w:sz w:val="20"/>
          <w:szCs w:val="20"/>
        </w:rPr>
        <w:t>Abbreviations: FLAIR = fluid-attenuated inversion recovery; DWI = Diffusion-weighted imaging; TR = Repetition time; TE = Echo time; TI = inversion time; FOV = Field of view.</w:t>
      </w:r>
    </w:p>
    <w:p w14:paraId="29994A9A" w14:textId="5BF08DD7" w:rsidR="001D22B9" w:rsidRDefault="001D22B9" w:rsidP="001D22B9">
      <w:pPr>
        <w:rPr>
          <w:rFonts w:ascii="Times New Roman" w:eastAsia="DengXian" w:hAnsi="Times New Roman" w:cs="Times New Roman"/>
          <w:color w:val="000000"/>
          <w:kern w:val="0"/>
          <w:sz w:val="20"/>
          <w:szCs w:val="20"/>
        </w:rPr>
      </w:pPr>
    </w:p>
    <w:p w14:paraId="756C02DE" w14:textId="77777777" w:rsidR="001D22B9" w:rsidRPr="001D22B9" w:rsidRDefault="001D22B9" w:rsidP="001D22B9">
      <w:pPr>
        <w:pStyle w:val="a5"/>
        <w:numPr>
          <w:ilvl w:val="0"/>
          <w:numId w:val="1"/>
        </w:numPr>
        <w:spacing w:line="360" w:lineRule="auto"/>
        <w:rPr>
          <w:rFonts w:ascii="Times" w:eastAsia="Times New Roman" w:hAnsi="Times" w:cs="Times New Roman"/>
          <w:b/>
          <w:sz w:val="24"/>
          <w:lang w:val="en-CA"/>
        </w:rPr>
      </w:pPr>
    </w:p>
    <w:p w14:paraId="2C27271D" w14:textId="77777777" w:rsidR="001D22B9" w:rsidRDefault="001D22B9" w:rsidP="001D22B9">
      <w:pPr>
        <w:rPr>
          <w:rFonts w:ascii="Times New Roman" w:hAnsi="Times New Roman" w:cs="Times New Roman"/>
        </w:rPr>
      </w:pPr>
      <w:r>
        <w:rPr>
          <w:noProof/>
        </w:rPr>
        <w:lastRenderedPageBreak/>
        <w:drawing>
          <wp:inline distT="0" distB="0" distL="0" distR="0" wp14:anchorId="3741CA11" wp14:editId="71F1AF23">
            <wp:extent cx="5400000" cy="6181200"/>
            <wp:effectExtent l="0" t="0" r="0" b="3810"/>
            <wp:docPr id="11269447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44767" name="图片 16"/>
                    <pic:cNvPicPr>
                      <a:picLocks noChangeAspect="1"/>
                    </pic:cNvPicPr>
                  </pic:nvPicPr>
                  <pic:blipFill>
                    <a:blip r:embed="rId5">
                      <a:extLst>
                        <a:ext uri="{28A0092B-C50C-407E-A947-70E740481C1C}">
                          <a14:useLocalDpi xmlns:a14="http://schemas.microsoft.com/office/drawing/2010/main" val="0"/>
                        </a:ext>
                      </a:extLst>
                    </a:blip>
                    <a:srcRect l="7979" r="50331" b="15164"/>
                    <a:stretch>
                      <a:fillRect/>
                    </a:stretch>
                  </pic:blipFill>
                  <pic:spPr>
                    <a:xfrm>
                      <a:off x="0" y="0"/>
                      <a:ext cx="5400000" cy="6181200"/>
                    </a:xfrm>
                    <a:prstGeom prst="rect">
                      <a:avLst/>
                    </a:prstGeom>
                    <a:ln>
                      <a:noFill/>
                    </a:ln>
                  </pic:spPr>
                </pic:pic>
              </a:graphicData>
            </a:graphic>
          </wp:inline>
        </w:drawing>
      </w:r>
    </w:p>
    <w:p w14:paraId="017D1957" w14:textId="5F97D4A7" w:rsidR="001D22B9" w:rsidRPr="001D22B9" w:rsidRDefault="001D22B9" w:rsidP="001D22B9">
      <w:pPr>
        <w:rPr>
          <w:rFonts w:ascii="Times New Roman" w:hAnsi="Times New Roman" w:cs="Times New Roman"/>
        </w:rPr>
      </w:pPr>
      <w:r w:rsidRPr="001D22B9">
        <w:rPr>
          <w:rFonts w:ascii="Times New Roman" w:hAnsi="Times New Roman" w:cs="Times New Roman"/>
          <w:b/>
          <w:bCs/>
          <w:sz w:val="20"/>
          <w:szCs w:val="20"/>
        </w:rPr>
        <w:t xml:space="preserve">Supplementary figure </w:t>
      </w:r>
      <w:r>
        <w:rPr>
          <w:rFonts w:ascii="Times New Roman" w:hAnsi="Times New Roman" w:cs="Times New Roman"/>
          <w:b/>
          <w:bCs/>
          <w:sz w:val="20"/>
          <w:szCs w:val="20"/>
        </w:rPr>
        <w:t>1</w:t>
      </w:r>
      <w:r w:rsidRPr="001D22B9">
        <w:rPr>
          <w:rFonts w:ascii="Times New Roman" w:hAnsi="Times New Roman" w:cs="Times New Roman"/>
          <w:b/>
          <w:bCs/>
          <w:sz w:val="20"/>
          <w:szCs w:val="20"/>
        </w:rPr>
        <w:t xml:space="preserve">. Transitivity, </w:t>
      </w:r>
      <w:proofErr w:type="spellStart"/>
      <w:r w:rsidRPr="001D22B9">
        <w:rPr>
          <w:rFonts w:ascii="Times New Roman" w:hAnsi="Times New Roman" w:cs="Times New Roman"/>
          <w:b/>
          <w:bCs/>
          <w:sz w:val="20"/>
          <w:szCs w:val="20"/>
        </w:rPr>
        <w:t>assortativity</w:t>
      </w:r>
      <w:proofErr w:type="spellEnd"/>
      <w:r w:rsidRPr="001D22B9">
        <w:rPr>
          <w:rFonts w:ascii="Times New Roman" w:hAnsi="Times New Roman" w:cs="Times New Roman"/>
          <w:b/>
          <w:bCs/>
          <w:sz w:val="20"/>
          <w:szCs w:val="20"/>
        </w:rPr>
        <w:t xml:space="preserve">, and modularity comparisons and intergroup differences between patients with tinnitus and HCs. </w:t>
      </w:r>
      <w:r w:rsidRPr="001D22B9">
        <w:rPr>
          <w:rFonts w:ascii="Times New Roman" w:hAnsi="Times New Roman" w:cs="Times New Roman"/>
          <w:sz w:val="20"/>
          <w:szCs w:val="20"/>
        </w:rPr>
        <w:t>HC, Healthy control; PA, patients with tinnitus.</w:t>
      </w:r>
    </w:p>
    <w:p w14:paraId="69F1A7BE" w14:textId="77777777" w:rsidR="001C2E1F" w:rsidRPr="001C2E1F" w:rsidRDefault="001C2E1F" w:rsidP="001C2E1F">
      <w:pPr>
        <w:spacing w:line="360" w:lineRule="auto"/>
        <w:rPr>
          <w:rFonts w:ascii="Times" w:eastAsia="Times New Roman" w:hAnsi="Times" w:cs="Times New Roman"/>
          <w:b/>
          <w:sz w:val="24"/>
          <w:lang w:val="en-CA"/>
        </w:rPr>
      </w:pPr>
    </w:p>
    <w:p w14:paraId="76BD17A3" w14:textId="77777777" w:rsidR="009103C9" w:rsidRPr="009103C9" w:rsidRDefault="009103C9" w:rsidP="009103C9">
      <w:pPr>
        <w:pStyle w:val="a5"/>
        <w:numPr>
          <w:ilvl w:val="0"/>
          <w:numId w:val="1"/>
        </w:numPr>
        <w:spacing w:line="360" w:lineRule="auto"/>
        <w:rPr>
          <w:rFonts w:ascii="Times" w:eastAsia="Times New Roman" w:hAnsi="Times" w:cs="Times New Roman"/>
          <w:b/>
          <w:sz w:val="24"/>
          <w:szCs w:val="24"/>
          <w:lang w:val="en-CA"/>
        </w:rPr>
      </w:pPr>
      <w:r w:rsidRPr="009103C9">
        <w:rPr>
          <w:rFonts w:ascii="Times" w:eastAsia="Times New Roman" w:hAnsi="Times" w:cs="Times New Roman"/>
          <w:b/>
          <w:sz w:val="24"/>
          <w:szCs w:val="24"/>
          <w:lang w:val="en-CA"/>
        </w:rPr>
        <w:t>Differences between GMV in both groups and its correlation with THI</w:t>
      </w:r>
    </w:p>
    <w:p w14:paraId="4F40AC78" w14:textId="2E79AF08" w:rsidR="009103C9" w:rsidRDefault="009103C9" w:rsidP="001D22B9">
      <w:pPr>
        <w:spacing w:line="276" w:lineRule="auto"/>
        <w:ind w:firstLine="360"/>
      </w:pPr>
      <w:r w:rsidRPr="00BF2D7C">
        <w:t>The GMV in bilateral cerebellum, right Rolandic operculum (RLN), left superior temporal gyrus (STG), left paracentral lobule (PCL), and left precuneus (PCUN) were substantially higher in patients with tinnitus than in HCs (</w:t>
      </w:r>
      <w:r w:rsidRPr="0043276F">
        <w:rPr>
          <w:i/>
        </w:rPr>
        <w:t>P</w:t>
      </w:r>
      <w:r w:rsidRPr="00BF2D7C">
        <w:t xml:space="preserve"> &lt;.001, uncorrected, </w:t>
      </w:r>
      <w:r w:rsidRPr="009103C9">
        <w:t>Supplementary figure 1</w:t>
      </w:r>
      <w:r w:rsidRPr="00BF2D7C">
        <w:t xml:space="preserve">). </w:t>
      </w:r>
    </w:p>
    <w:p w14:paraId="7F2552C7" w14:textId="77777777" w:rsidR="009103C9" w:rsidRDefault="009103C9" w:rsidP="001D22B9">
      <w:pPr>
        <w:spacing w:line="360" w:lineRule="auto"/>
        <w:jc w:val="center"/>
      </w:pPr>
      <w:r w:rsidRPr="00BF2D7C">
        <w:rPr>
          <w:noProof/>
        </w:rPr>
        <w:lastRenderedPageBreak/>
        <w:drawing>
          <wp:inline distT="0" distB="0" distL="0" distR="0" wp14:anchorId="1CD8A6F7" wp14:editId="3E8A262D">
            <wp:extent cx="4553633" cy="4029710"/>
            <wp:effectExtent l="0" t="0" r="5715" b="0"/>
            <wp:docPr id="16185965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96513" name="图片 1618596513"/>
                    <pic:cNvPicPr/>
                  </pic:nvPicPr>
                  <pic:blipFill rotWithShape="1">
                    <a:blip r:embed="rId6">
                      <a:extLst>
                        <a:ext uri="{28A0092B-C50C-407E-A947-70E740481C1C}">
                          <a14:useLocalDpi xmlns:a14="http://schemas.microsoft.com/office/drawing/2010/main" val="0"/>
                        </a:ext>
                      </a:extLst>
                    </a:blip>
                    <a:srcRect l="21888" t="5334" r="21503" b="5603"/>
                    <a:stretch/>
                  </pic:blipFill>
                  <pic:spPr bwMode="auto">
                    <a:xfrm>
                      <a:off x="0" y="0"/>
                      <a:ext cx="4559893" cy="4035250"/>
                    </a:xfrm>
                    <a:prstGeom prst="rect">
                      <a:avLst/>
                    </a:prstGeom>
                    <a:ln>
                      <a:noFill/>
                    </a:ln>
                    <a:extLst>
                      <a:ext uri="{53640926-AAD7-44D8-BBD7-CCE9431645EC}">
                        <a14:shadowObscured xmlns:a14="http://schemas.microsoft.com/office/drawing/2010/main"/>
                      </a:ext>
                    </a:extLst>
                  </pic:spPr>
                </pic:pic>
              </a:graphicData>
            </a:graphic>
          </wp:inline>
        </w:drawing>
      </w:r>
    </w:p>
    <w:p w14:paraId="55E59EAB" w14:textId="6CF7D58D" w:rsidR="009103C9" w:rsidRPr="001D22B9" w:rsidRDefault="009103C9" w:rsidP="001D22B9">
      <w:pPr>
        <w:rPr>
          <w:rFonts w:ascii="Times New Roman" w:hAnsi="Times New Roman" w:cs="Times New Roman"/>
          <w:sz w:val="20"/>
          <w:szCs w:val="22"/>
        </w:rPr>
      </w:pPr>
      <w:r w:rsidRPr="001D22B9">
        <w:rPr>
          <w:rFonts w:ascii="Times New Roman" w:hAnsi="Times New Roman" w:cs="Times New Roman"/>
          <w:b/>
          <w:bCs/>
          <w:sz w:val="20"/>
          <w:szCs w:val="22"/>
        </w:rPr>
        <w:t xml:space="preserve">Supplementary figure </w:t>
      </w:r>
      <w:r w:rsidR="001D22B9">
        <w:rPr>
          <w:rFonts w:ascii="Times New Roman" w:hAnsi="Times New Roman" w:cs="Times New Roman"/>
          <w:b/>
          <w:bCs/>
          <w:sz w:val="20"/>
          <w:szCs w:val="22"/>
        </w:rPr>
        <w:t>2</w:t>
      </w:r>
      <w:r w:rsidRPr="001D22B9">
        <w:rPr>
          <w:rFonts w:ascii="Times New Roman" w:hAnsi="Times New Roman" w:cs="Times New Roman"/>
          <w:b/>
          <w:bCs/>
          <w:sz w:val="20"/>
          <w:szCs w:val="22"/>
        </w:rPr>
        <w:t>.</w:t>
      </w:r>
      <w:r w:rsidRPr="001D22B9">
        <w:rPr>
          <w:rFonts w:ascii="Times New Roman" w:hAnsi="Times New Roman" w:cs="Times New Roman"/>
          <w:sz w:val="20"/>
          <w:szCs w:val="22"/>
        </w:rPr>
        <w:t xml:space="preserve"> </w:t>
      </w:r>
      <w:r w:rsidRPr="001D22B9">
        <w:rPr>
          <w:rFonts w:ascii="Times New Roman" w:hAnsi="Times New Roman" w:cs="Times New Roman"/>
          <w:b/>
          <w:bCs/>
          <w:sz w:val="20"/>
          <w:szCs w:val="22"/>
        </w:rPr>
        <w:t>Differences in gray matter volume between patients with tinnitus and HCs.</w:t>
      </w:r>
      <w:r w:rsidRPr="001D22B9">
        <w:rPr>
          <w:rFonts w:ascii="Times New Roman" w:hAnsi="Times New Roman" w:cs="Times New Roman"/>
          <w:sz w:val="20"/>
          <w:szCs w:val="22"/>
        </w:rPr>
        <w:t xml:space="preserve"> The results showed differences in GMV in bilateral cerebellum, right Rolandic operculum (RLN), left superior temporal gyrus (STG), left paracentral lobule (PCL), and left precuneus (PCUN), which is shown in red. HCs, Healthy controls.</w:t>
      </w:r>
    </w:p>
    <w:p w14:paraId="363E97F6" w14:textId="77777777" w:rsidR="009103C9" w:rsidRPr="00BF2D7C" w:rsidRDefault="009103C9" w:rsidP="009103C9">
      <w:pPr>
        <w:spacing w:line="360" w:lineRule="auto"/>
      </w:pPr>
    </w:p>
    <w:p w14:paraId="774EE48D" w14:textId="77777777" w:rsidR="001D22B9" w:rsidRDefault="001D22B9" w:rsidP="001D22B9">
      <w:pPr>
        <w:pStyle w:val="a5"/>
        <w:numPr>
          <w:ilvl w:val="0"/>
          <w:numId w:val="1"/>
        </w:numPr>
        <w:spacing w:line="360" w:lineRule="auto"/>
        <w:rPr>
          <w:rFonts w:ascii="Times" w:eastAsia="Times New Roman" w:hAnsi="Times" w:cs="Times New Roman"/>
          <w:b/>
          <w:sz w:val="24"/>
          <w:szCs w:val="24"/>
          <w:lang w:val="en-CA"/>
        </w:rPr>
      </w:pPr>
      <w:r w:rsidRPr="001C2E1F">
        <w:rPr>
          <w:rFonts w:ascii="Times" w:eastAsia="Times New Roman" w:hAnsi="Times" w:cs="Times New Roman"/>
          <w:b/>
          <w:sz w:val="24"/>
          <w:szCs w:val="24"/>
          <w:lang w:val="en-CA"/>
        </w:rPr>
        <w:t>Abbreviations of the relevant brain regions</w:t>
      </w:r>
    </w:p>
    <w:p w14:paraId="28A2E9D0"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AMYG</w:t>
      </w:r>
      <w:r w:rsidRPr="00B73801">
        <w:rPr>
          <w:rFonts w:ascii="Times New Roman" w:hAnsi="Times New Roman" w:cs="Times New Roman"/>
          <w:sz w:val="22"/>
          <w:szCs w:val="22"/>
        </w:rPr>
        <w:tab/>
      </w:r>
      <w:r w:rsidRPr="00B73801">
        <w:rPr>
          <w:rFonts w:ascii="Times New Roman" w:hAnsi="Times New Roman" w:cs="Times New Roman"/>
          <w:sz w:val="22"/>
          <w:szCs w:val="22"/>
        </w:rPr>
        <w:tab/>
        <w:t>amygdala</w:t>
      </w:r>
    </w:p>
    <w:p w14:paraId="0CF09C52"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ANG</w:t>
      </w:r>
      <w:r w:rsidRPr="00B73801">
        <w:rPr>
          <w:rFonts w:ascii="Times New Roman" w:hAnsi="Times New Roman" w:cs="Times New Roman"/>
          <w:sz w:val="22"/>
          <w:szCs w:val="22"/>
        </w:rPr>
        <w:tab/>
      </w:r>
      <w:r w:rsidRPr="00B73801">
        <w:rPr>
          <w:rFonts w:ascii="Times New Roman" w:hAnsi="Times New Roman" w:cs="Times New Roman"/>
          <w:sz w:val="22"/>
          <w:szCs w:val="22"/>
        </w:rPr>
        <w:tab/>
        <w:t>angular gyrus</w:t>
      </w:r>
    </w:p>
    <w:p w14:paraId="05A99B68"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CALC</w:t>
      </w:r>
      <w:r w:rsidRPr="00B73801">
        <w:rPr>
          <w:rFonts w:ascii="Times New Roman" w:hAnsi="Times New Roman" w:cs="Times New Roman"/>
          <w:sz w:val="22"/>
          <w:szCs w:val="22"/>
        </w:rPr>
        <w:tab/>
      </w:r>
      <w:r w:rsidRPr="00B73801">
        <w:rPr>
          <w:rFonts w:ascii="Times New Roman" w:hAnsi="Times New Roman" w:cs="Times New Roman"/>
          <w:sz w:val="22"/>
          <w:szCs w:val="22"/>
        </w:rPr>
        <w:tab/>
        <w:t>calcarine fissure</w:t>
      </w:r>
    </w:p>
    <w:p w14:paraId="56BB9F4D"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CN</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caudate nucleus</w:t>
      </w:r>
    </w:p>
    <w:p w14:paraId="76DB217D"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ACC</w:t>
      </w:r>
      <w:r w:rsidRPr="00B73801">
        <w:rPr>
          <w:rFonts w:ascii="Times New Roman" w:hAnsi="Times New Roman" w:cs="Times New Roman"/>
          <w:sz w:val="22"/>
          <w:szCs w:val="22"/>
        </w:rPr>
        <w:tab/>
      </w:r>
      <w:r w:rsidRPr="00B73801">
        <w:rPr>
          <w:rFonts w:ascii="Times New Roman" w:hAnsi="Times New Roman" w:cs="Times New Roman"/>
          <w:sz w:val="22"/>
          <w:szCs w:val="22"/>
        </w:rPr>
        <w:tab/>
        <w:t>anterior cingulate</w:t>
      </w:r>
    </w:p>
    <w:p w14:paraId="4FA0B46A"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MCC</w:t>
      </w:r>
      <w:r w:rsidRPr="00B73801">
        <w:rPr>
          <w:rFonts w:ascii="Times New Roman" w:hAnsi="Times New Roman" w:cs="Times New Roman"/>
          <w:sz w:val="22"/>
          <w:szCs w:val="22"/>
        </w:rPr>
        <w:tab/>
      </w:r>
      <w:r w:rsidRPr="00B73801">
        <w:rPr>
          <w:rFonts w:ascii="Times New Roman" w:hAnsi="Times New Roman" w:cs="Times New Roman"/>
          <w:sz w:val="22"/>
          <w:szCs w:val="22"/>
        </w:rPr>
        <w:tab/>
        <w:t>mid-cingulate</w:t>
      </w:r>
    </w:p>
    <w:p w14:paraId="63363806"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PCC</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posterior cingulate</w:t>
      </w:r>
    </w:p>
    <w:p w14:paraId="32101F23"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CUN</w:t>
      </w:r>
      <w:r w:rsidRPr="00B73801">
        <w:rPr>
          <w:rFonts w:ascii="Times New Roman" w:hAnsi="Times New Roman" w:cs="Times New Roman"/>
          <w:sz w:val="22"/>
          <w:szCs w:val="22"/>
        </w:rPr>
        <w:tab/>
      </w:r>
      <w:r w:rsidRPr="00B73801">
        <w:rPr>
          <w:rFonts w:ascii="Times New Roman" w:hAnsi="Times New Roman" w:cs="Times New Roman"/>
          <w:sz w:val="22"/>
          <w:szCs w:val="22"/>
        </w:rPr>
        <w:tab/>
        <w:t>cuneus</w:t>
      </w:r>
    </w:p>
    <w:p w14:paraId="2F875D34"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IFOp</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inferior frontal gyrus, opercular part</w:t>
      </w:r>
    </w:p>
    <w:p w14:paraId="770F6569"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IFOr</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 xml:space="preserve">inferior frontal gyrus, </w:t>
      </w:r>
      <w:proofErr w:type="spellStart"/>
      <w:r w:rsidRPr="00B73801">
        <w:rPr>
          <w:rFonts w:ascii="Times New Roman" w:hAnsi="Times New Roman" w:cs="Times New Roman"/>
          <w:sz w:val="22"/>
          <w:szCs w:val="22"/>
        </w:rPr>
        <w:t>orbirtal</w:t>
      </w:r>
      <w:proofErr w:type="spellEnd"/>
      <w:r w:rsidRPr="00B73801">
        <w:rPr>
          <w:rFonts w:ascii="Times New Roman" w:hAnsi="Times New Roman" w:cs="Times New Roman"/>
          <w:sz w:val="22"/>
          <w:szCs w:val="22"/>
        </w:rPr>
        <w:t xml:space="preserve"> part</w:t>
      </w:r>
    </w:p>
    <w:p w14:paraId="24B25EF6"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IFTr</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inferior frontal gyrus, triangular part</w:t>
      </w:r>
    </w:p>
    <w:p w14:paraId="69F1D9E8"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MedFOr</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 xml:space="preserve">medial </w:t>
      </w:r>
      <w:proofErr w:type="spellStart"/>
      <w:r w:rsidRPr="00B73801">
        <w:rPr>
          <w:rFonts w:ascii="Times New Roman" w:hAnsi="Times New Roman" w:cs="Times New Roman"/>
          <w:sz w:val="22"/>
          <w:szCs w:val="22"/>
        </w:rPr>
        <w:t>fronal</w:t>
      </w:r>
      <w:proofErr w:type="spellEnd"/>
      <w:r w:rsidRPr="00B73801">
        <w:rPr>
          <w:rFonts w:ascii="Times New Roman" w:hAnsi="Times New Roman" w:cs="Times New Roman"/>
          <w:sz w:val="22"/>
          <w:szCs w:val="22"/>
        </w:rPr>
        <w:t xml:space="preserve"> gyrus, orbital part</w:t>
      </w:r>
    </w:p>
    <w:p w14:paraId="7E41919D"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MFG</w:t>
      </w:r>
      <w:r w:rsidRPr="00B73801">
        <w:rPr>
          <w:rFonts w:ascii="Times New Roman" w:hAnsi="Times New Roman" w:cs="Times New Roman"/>
          <w:sz w:val="22"/>
          <w:szCs w:val="22"/>
        </w:rPr>
        <w:tab/>
      </w:r>
      <w:r w:rsidRPr="00B73801">
        <w:rPr>
          <w:rFonts w:ascii="Times New Roman" w:hAnsi="Times New Roman" w:cs="Times New Roman"/>
          <w:sz w:val="22"/>
          <w:szCs w:val="22"/>
        </w:rPr>
        <w:tab/>
        <w:t>middle frontal gyrus</w:t>
      </w:r>
    </w:p>
    <w:p w14:paraId="347C294D"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MFOr</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middle frontal gyrus, orbital part</w:t>
      </w:r>
    </w:p>
    <w:p w14:paraId="1A492CCB"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SFG</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superior frontal gyrus</w:t>
      </w:r>
    </w:p>
    <w:p w14:paraId="0448159B"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MedSF</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superior frontal gyrus, medial part</w:t>
      </w:r>
    </w:p>
    <w:p w14:paraId="5C719514"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lastRenderedPageBreak/>
        <w:t>SFOr</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superior frontal gyrus, orbital part</w:t>
      </w:r>
    </w:p>
    <w:p w14:paraId="0C70FBD5"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FG</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fusiform gyrus</w:t>
      </w:r>
    </w:p>
    <w:p w14:paraId="6579CC81"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HSHL</w:t>
      </w:r>
      <w:r w:rsidRPr="00B73801">
        <w:rPr>
          <w:rFonts w:ascii="Times New Roman" w:hAnsi="Times New Roman" w:cs="Times New Roman"/>
          <w:sz w:val="22"/>
          <w:szCs w:val="22"/>
        </w:rPr>
        <w:tab/>
      </w:r>
      <w:r w:rsidRPr="00B73801">
        <w:rPr>
          <w:rFonts w:ascii="Times New Roman" w:hAnsi="Times New Roman" w:cs="Times New Roman"/>
          <w:sz w:val="22"/>
          <w:szCs w:val="22"/>
        </w:rPr>
        <w:tab/>
      </w:r>
      <w:proofErr w:type="spellStart"/>
      <w:r w:rsidRPr="00B73801">
        <w:rPr>
          <w:rFonts w:ascii="Times New Roman" w:hAnsi="Times New Roman" w:cs="Times New Roman"/>
          <w:sz w:val="22"/>
          <w:szCs w:val="22"/>
        </w:rPr>
        <w:t>heschl</w:t>
      </w:r>
      <w:proofErr w:type="spellEnd"/>
      <w:r w:rsidRPr="00B73801">
        <w:rPr>
          <w:rFonts w:ascii="Times New Roman" w:hAnsi="Times New Roman" w:cs="Times New Roman"/>
          <w:sz w:val="22"/>
          <w:szCs w:val="22"/>
        </w:rPr>
        <w:t xml:space="preserve"> gyrus</w:t>
      </w:r>
    </w:p>
    <w:p w14:paraId="0CA75E90"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HIPP</w:t>
      </w:r>
      <w:r w:rsidRPr="00B73801">
        <w:rPr>
          <w:rFonts w:ascii="Times New Roman" w:hAnsi="Times New Roman" w:cs="Times New Roman"/>
          <w:sz w:val="22"/>
          <w:szCs w:val="22"/>
        </w:rPr>
        <w:tab/>
      </w:r>
      <w:r w:rsidRPr="00B73801">
        <w:rPr>
          <w:rFonts w:ascii="Times New Roman" w:hAnsi="Times New Roman" w:cs="Times New Roman"/>
          <w:sz w:val="22"/>
          <w:szCs w:val="22"/>
        </w:rPr>
        <w:tab/>
        <w:t>hippocampus</w:t>
      </w:r>
    </w:p>
    <w:p w14:paraId="0BE36ACB"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INS</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insula</w:t>
      </w:r>
    </w:p>
    <w:p w14:paraId="2E84B53B"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LNG</w:t>
      </w:r>
      <w:r w:rsidRPr="00B73801">
        <w:rPr>
          <w:rFonts w:ascii="Times New Roman" w:hAnsi="Times New Roman" w:cs="Times New Roman"/>
          <w:sz w:val="22"/>
          <w:szCs w:val="22"/>
        </w:rPr>
        <w:tab/>
      </w:r>
      <w:r w:rsidRPr="00B73801">
        <w:rPr>
          <w:rFonts w:ascii="Times New Roman" w:hAnsi="Times New Roman" w:cs="Times New Roman"/>
          <w:sz w:val="22"/>
          <w:szCs w:val="22"/>
        </w:rPr>
        <w:tab/>
        <w:t>lingual gyrus</w:t>
      </w:r>
    </w:p>
    <w:p w14:paraId="342956DA"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IOG</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inferior occipital gyrus</w:t>
      </w:r>
    </w:p>
    <w:p w14:paraId="30F5A870"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MOG</w:t>
      </w:r>
      <w:r w:rsidRPr="00B73801">
        <w:rPr>
          <w:rFonts w:ascii="Times New Roman" w:hAnsi="Times New Roman" w:cs="Times New Roman"/>
          <w:sz w:val="22"/>
          <w:szCs w:val="22"/>
        </w:rPr>
        <w:tab/>
      </w:r>
      <w:r w:rsidRPr="00B73801">
        <w:rPr>
          <w:rFonts w:ascii="Times New Roman" w:hAnsi="Times New Roman" w:cs="Times New Roman"/>
          <w:sz w:val="22"/>
          <w:szCs w:val="22"/>
        </w:rPr>
        <w:tab/>
        <w:t>middle occipital gyrus</w:t>
      </w:r>
    </w:p>
    <w:p w14:paraId="5B4B8FDA"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SOG</w:t>
      </w:r>
      <w:r w:rsidRPr="00B73801">
        <w:rPr>
          <w:rFonts w:ascii="Times New Roman" w:hAnsi="Times New Roman" w:cs="Times New Roman"/>
          <w:sz w:val="22"/>
          <w:szCs w:val="22"/>
        </w:rPr>
        <w:tab/>
      </w:r>
      <w:r w:rsidRPr="00B73801">
        <w:rPr>
          <w:rFonts w:ascii="Times New Roman" w:hAnsi="Times New Roman" w:cs="Times New Roman"/>
          <w:sz w:val="22"/>
          <w:szCs w:val="22"/>
        </w:rPr>
        <w:tab/>
        <w:t>superior occipital gyrus</w:t>
      </w:r>
    </w:p>
    <w:p w14:paraId="7CDA7CC0"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OFB</w:t>
      </w:r>
      <w:r w:rsidRPr="00B73801">
        <w:rPr>
          <w:rFonts w:ascii="Times New Roman" w:hAnsi="Times New Roman" w:cs="Times New Roman"/>
          <w:sz w:val="22"/>
          <w:szCs w:val="22"/>
        </w:rPr>
        <w:tab/>
      </w:r>
      <w:r w:rsidRPr="00B73801">
        <w:rPr>
          <w:rFonts w:ascii="Times New Roman" w:hAnsi="Times New Roman" w:cs="Times New Roman"/>
          <w:sz w:val="22"/>
          <w:szCs w:val="22"/>
        </w:rPr>
        <w:tab/>
        <w:t>olfactory cortex</w:t>
      </w:r>
    </w:p>
    <w:p w14:paraId="64F0DACB"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PLD</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lenticular nucleus, pallidum</w:t>
      </w:r>
    </w:p>
    <w:p w14:paraId="07068021"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PCL</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paracentral lobule</w:t>
      </w:r>
    </w:p>
    <w:p w14:paraId="1F6E386C"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PHIP</w:t>
      </w:r>
      <w:r w:rsidRPr="00B73801">
        <w:rPr>
          <w:rFonts w:ascii="Times New Roman" w:hAnsi="Times New Roman" w:cs="Times New Roman"/>
          <w:sz w:val="22"/>
          <w:szCs w:val="22"/>
        </w:rPr>
        <w:tab/>
      </w:r>
      <w:r w:rsidRPr="00B73801">
        <w:rPr>
          <w:rFonts w:ascii="Times New Roman" w:hAnsi="Times New Roman" w:cs="Times New Roman"/>
          <w:sz w:val="22"/>
          <w:szCs w:val="22"/>
        </w:rPr>
        <w:tab/>
      </w:r>
      <w:proofErr w:type="spellStart"/>
      <w:r w:rsidRPr="00B73801">
        <w:rPr>
          <w:rFonts w:ascii="Times New Roman" w:hAnsi="Times New Roman" w:cs="Times New Roman"/>
          <w:sz w:val="22"/>
          <w:szCs w:val="22"/>
        </w:rPr>
        <w:t>parahippocampal</w:t>
      </w:r>
      <w:proofErr w:type="spellEnd"/>
      <w:r w:rsidRPr="00B73801">
        <w:rPr>
          <w:rFonts w:ascii="Times New Roman" w:hAnsi="Times New Roman" w:cs="Times New Roman"/>
          <w:sz w:val="22"/>
          <w:szCs w:val="22"/>
        </w:rPr>
        <w:t xml:space="preserve"> gyrus</w:t>
      </w:r>
    </w:p>
    <w:p w14:paraId="6277572E"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IPL</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inferior parietal lobule</w:t>
      </w:r>
    </w:p>
    <w:p w14:paraId="175878A6"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SPL</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superior parietal lobule</w:t>
      </w:r>
    </w:p>
    <w:p w14:paraId="3819323A"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PoCG</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postcentral gyrus</w:t>
      </w:r>
    </w:p>
    <w:p w14:paraId="39A89E35" w14:textId="77777777" w:rsidR="001D22B9" w:rsidRPr="00B73801" w:rsidRDefault="001D22B9" w:rsidP="001D22B9">
      <w:pPr>
        <w:rPr>
          <w:rFonts w:ascii="Times New Roman" w:hAnsi="Times New Roman" w:cs="Times New Roman"/>
          <w:sz w:val="22"/>
          <w:szCs w:val="22"/>
        </w:rPr>
      </w:pPr>
      <w:proofErr w:type="spellStart"/>
      <w:r w:rsidRPr="00B73801">
        <w:rPr>
          <w:rFonts w:ascii="Times New Roman" w:hAnsi="Times New Roman" w:cs="Times New Roman"/>
          <w:sz w:val="22"/>
          <w:szCs w:val="22"/>
        </w:rPr>
        <w:t>PreCG</w:t>
      </w:r>
      <w:proofErr w:type="spellEnd"/>
      <w:r w:rsidRPr="00B73801">
        <w:rPr>
          <w:rFonts w:ascii="Times New Roman" w:hAnsi="Times New Roman" w:cs="Times New Roman"/>
          <w:sz w:val="22"/>
          <w:szCs w:val="22"/>
        </w:rPr>
        <w:tab/>
      </w:r>
      <w:r w:rsidRPr="00B73801">
        <w:rPr>
          <w:rFonts w:ascii="Times New Roman" w:hAnsi="Times New Roman" w:cs="Times New Roman"/>
          <w:sz w:val="22"/>
          <w:szCs w:val="22"/>
        </w:rPr>
        <w:tab/>
        <w:t>precentral gyrus</w:t>
      </w:r>
    </w:p>
    <w:p w14:paraId="14CA2781"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PCUN</w:t>
      </w:r>
      <w:r w:rsidRPr="00B73801">
        <w:rPr>
          <w:rFonts w:ascii="Times New Roman" w:hAnsi="Times New Roman" w:cs="Times New Roman"/>
          <w:sz w:val="22"/>
          <w:szCs w:val="22"/>
        </w:rPr>
        <w:tab/>
      </w:r>
      <w:r w:rsidRPr="00B73801">
        <w:rPr>
          <w:rFonts w:ascii="Times New Roman" w:hAnsi="Times New Roman" w:cs="Times New Roman"/>
          <w:sz w:val="22"/>
          <w:szCs w:val="22"/>
        </w:rPr>
        <w:tab/>
        <w:t>precuneus</w:t>
      </w:r>
    </w:p>
    <w:p w14:paraId="2A5A47F2"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PUT</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putamen</w:t>
      </w:r>
    </w:p>
    <w:p w14:paraId="6486DEB6"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REC</w:t>
      </w:r>
      <w:r w:rsidRPr="00B73801">
        <w:rPr>
          <w:rFonts w:ascii="Times New Roman" w:hAnsi="Times New Roman" w:cs="Times New Roman"/>
          <w:sz w:val="22"/>
          <w:szCs w:val="22"/>
        </w:rPr>
        <w:tab/>
      </w:r>
      <w:r w:rsidRPr="00B73801">
        <w:rPr>
          <w:rFonts w:ascii="Times New Roman" w:hAnsi="Times New Roman" w:cs="Times New Roman"/>
          <w:sz w:val="22"/>
          <w:szCs w:val="22"/>
        </w:rPr>
        <w:tab/>
        <w:t>gyrus rectus</w:t>
      </w:r>
    </w:p>
    <w:p w14:paraId="251AD71E"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RLN</w:t>
      </w:r>
      <w:r w:rsidRPr="00B73801">
        <w:rPr>
          <w:rFonts w:ascii="Times New Roman" w:hAnsi="Times New Roman" w:cs="Times New Roman"/>
          <w:sz w:val="22"/>
          <w:szCs w:val="22"/>
        </w:rPr>
        <w:tab/>
      </w:r>
      <w:r w:rsidRPr="00B73801">
        <w:rPr>
          <w:rFonts w:ascii="Times New Roman" w:hAnsi="Times New Roman" w:cs="Times New Roman"/>
          <w:sz w:val="22"/>
          <w:szCs w:val="22"/>
        </w:rPr>
        <w:tab/>
      </w:r>
      <w:proofErr w:type="spellStart"/>
      <w:r w:rsidRPr="00B73801">
        <w:rPr>
          <w:rFonts w:ascii="Times New Roman" w:hAnsi="Times New Roman" w:cs="Times New Roman"/>
          <w:sz w:val="22"/>
          <w:szCs w:val="22"/>
        </w:rPr>
        <w:t>rolandic</w:t>
      </w:r>
      <w:proofErr w:type="spellEnd"/>
      <w:r w:rsidRPr="00B73801">
        <w:rPr>
          <w:rFonts w:ascii="Times New Roman" w:hAnsi="Times New Roman" w:cs="Times New Roman"/>
          <w:sz w:val="22"/>
          <w:szCs w:val="22"/>
        </w:rPr>
        <w:t xml:space="preserve"> operculum</w:t>
      </w:r>
    </w:p>
    <w:p w14:paraId="11BB5C10"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SMA</w:t>
      </w:r>
      <w:r w:rsidRPr="00B73801">
        <w:rPr>
          <w:rFonts w:ascii="Times New Roman" w:hAnsi="Times New Roman" w:cs="Times New Roman"/>
          <w:sz w:val="22"/>
          <w:szCs w:val="22"/>
        </w:rPr>
        <w:tab/>
      </w:r>
      <w:r w:rsidRPr="00B73801">
        <w:rPr>
          <w:rFonts w:ascii="Times New Roman" w:hAnsi="Times New Roman" w:cs="Times New Roman"/>
          <w:sz w:val="22"/>
          <w:szCs w:val="22"/>
        </w:rPr>
        <w:tab/>
        <w:t>supplementary motor area</w:t>
      </w:r>
    </w:p>
    <w:p w14:paraId="5BC79433"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SMG</w:t>
      </w:r>
      <w:r w:rsidRPr="00B73801">
        <w:rPr>
          <w:rFonts w:ascii="Times New Roman" w:hAnsi="Times New Roman" w:cs="Times New Roman"/>
          <w:sz w:val="22"/>
          <w:szCs w:val="22"/>
        </w:rPr>
        <w:tab/>
      </w:r>
      <w:r w:rsidRPr="00B73801">
        <w:rPr>
          <w:rFonts w:ascii="Times New Roman" w:hAnsi="Times New Roman" w:cs="Times New Roman"/>
          <w:sz w:val="22"/>
          <w:szCs w:val="22"/>
        </w:rPr>
        <w:tab/>
        <w:t>supramarginal gyrus</w:t>
      </w:r>
    </w:p>
    <w:p w14:paraId="128D3FD2"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ITG</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inferior temporal gyrus</w:t>
      </w:r>
    </w:p>
    <w:p w14:paraId="4FD62637"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MTG</w:t>
      </w:r>
      <w:r w:rsidRPr="00B73801">
        <w:rPr>
          <w:rFonts w:ascii="Times New Roman" w:hAnsi="Times New Roman" w:cs="Times New Roman"/>
          <w:sz w:val="22"/>
          <w:szCs w:val="22"/>
        </w:rPr>
        <w:tab/>
      </w:r>
      <w:r w:rsidRPr="00B73801">
        <w:rPr>
          <w:rFonts w:ascii="Times New Roman" w:hAnsi="Times New Roman" w:cs="Times New Roman"/>
          <w:sz w:val="22"/>
          <w:szCs w:val="22"/>
        </w:rPr>
        <w:tab/>
        <w:t>middle temporal gyrus</w:t>
      </w:r>
    </w:p>
    <w:p w14:paraId="6584FE65"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MTP</w:t>
      </w:r>
      <w:r w:rsidRPr="00B73801">
        <w:rPr>
          <w:rFonts w:ascii="Times New Roman" w:hAnsi="Times New Roman" w:cs="Times New Roman"/>
          <w:sz w:val="22"/>
          <w:szCs w:val="22"/>
        </w:rPr>
        <w:tab/>
      </w:r>
      <w:r w:rsidRPr="00B73801">
        <w:rPr>
          <w:rFonts w:ascii="Times New Roman" w:hAnsi="Times New Roman" w:cs="Times New Roman"/>
          <w:sz w:val="22"/>
          <w:szCs w:val="22"/>
        </w:rPr>
        <w:tab/>
        <w:t>middle temporal pole</w:t>
      </w:r>
    </w:p>
    <w:p w14:paraId="3A20508B"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STP</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superior temporal pole</w:t>
      </w:r>
    </w:p>
    <w:p w14:paraId="04BEB4E6"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STG</w:t>
      </w:r>
      <w:r w:rsidRPr="00B73801">
        <w:rPr>
          <w:rFonts w:ascii="Times New Roman" w:hAnsi="Times New Roman" w:cs="Times New Roman"/>
          <w:sz w:val="22"/>
          <w:szCs w:val="22"/>
        </w:rPr>
        <w:tab/>
      </w:r>
      <w:r w:rsidRPr="00B73801">
        <w:rPr>
          <w:rFonts w:ascii="Times New Roman" w:hAnsi="Times New Roman" w:cs="Times New Roman"/>
          <w:sz w:val="22"/>
          <w:szCs w:val="22"/>
        </w:rPr>
        <w:tab/>
      </w:r>
      <w:r w:rsidRPr="00B73801">
        <w:rPr>
          <w:rFonts w:ascii="Times New Roman" w:hAnsi="Times New Roman" w:cs="Times New Roman"/>
          <w:sz w:val="22"/>
          <w:szCs w:val="22"/>
        </w:rPr>
        <w:tab/>
        <w:t>superior temporal gyrus</w:t>
      </w:r>
    </w:p>
    <w:p w14:paraId="232E8B36" w14:textId="77777777" w:rsidR="001D22B9" w:rsidRPr="00B73801" w:rsidRDefault="001D22B9" w:rsidP="001D22B9">
      <w:pPr>
        <w:rPr>
          <w:rFonts w:ascii="Times New Roman" w:hAnsi="Times New Roman" w:cs="Times New Roman"/>
          <w:sz w:val="22"/>
          <w:szCs w:val="22"/>
        </w:rPr>
      </w:pPr>
      <w:r w:rsidRPr="00B73801">
        <w:rPr>
          <w:rFonts w:ascii="Times New Roman" w:hAnsi="Times New Roman" w:cs="Times New Roman"/>
          <w:sz w:val="22"/>
          <w:szCs w:val="22"/>
        </w:rPr>
        <w:t>THL</w:t>
      </w:r>
      <w:r w:rsidRPr="00B73801">
        <w:rPr>
          <w:rFonts w:ascii="Times New Roman" w:hAnsi="Times New Roman" w:cs="Times New Roman"/>
          <w:sz w:val="22"/>
          <w:szCs w:val="22"/>
        </w:rPr>
        <w:tab/>
      </w:r>
      <w:r w:rsidRPr="00B73801">
        <w:rPr>
          <w:rFonts w:ascii="Times New Roman" w:hAnsi="Times New Roman" w:cs="Times New Roman"/>
          <w:sz w:val="22"/>
          <w:szCs w:val="22"/>
        </w:rPr>
        <w:tab/>
        <w:t>thalamus</w:t>
      </w:r>
    </w:p>
    <w:p w14:paraId="000D91F2" w14:textId="77777777" w:rsidR="001C2E1F" w:rsidRDefault="001C2E1F" w:rsidP="001C2E1F">
      <w:pPr>
        <w:rPr>
          <w:rFonts w:ascii="Times New Roman" w:hAnsi="Times New Roman" w:cs="Times New Roman"/>
          <w:b/>
          <w:bCs/>
          <w:sz w:val="22"/>
          <w:szCs w:val="22"/>
        </w:rPr>
      </w:pPr>
    </w:p>
    <w:p w14:paraId="44896761" w14:textId="77777777" w:rsidR="00DE3A2E" w:rsidRDefault="00DE3A2E" w:rsidP="001C2E1F">
      <w:pPr>
        <w:rPr>
          <w:rFonts w:ascii="Times New Roman" w:hAnsi="Times New Roman" w:cs="Times New Roman"/>
          <w:b/>
          <w:bCs/>
          <w:sz w:val="22"/>
          <w:szCs w:val="22"/>
        </w:rPr>
      </w:pPr>
    </w:p>
    <w:p w14:paraId="664FC22A" w14:textId="77777777" w:rsidR="00DE3A2E" w:rsidRPr="00DE3A2E" w:rsidRDefault="00DE3A2E" w:rsidP="001C2E1F">
      <w:pPr>
        <w:rPr>
          <w:rFonts w:ascii="Times New Roman" w:hAnsi="Times New Roman" w:cs="Times New Roman"/>
          <w:b/>
          <w:bCs/>
          <w:sz w:val="22"/>
          <w:szCs w:val="22"/>
        </w:rPr>
      </w:pPr>
    </w:p>
    <w:sectPr w:rsidR="00DE3A2E" w:rsidRPr="00DE3A2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6D4406"/>
    <w:multiLevelType w:val="multilevel"/>
    <w:tmpl w:val="C71E656E"/>
    <w:lvl w:ilvl="0">
      <w:start w:val="1"/>
      <w:numFmt w:val="decimal"/>
      <w:lvlText w:val="%1."/>
      <w:lvlJc w:val="left"/>
      <w:pPr>
        <w:ind w:left="360" w:hanging="360"/>
      </w:pPr>
      <w:rPr>
        <w:rFonts w:hint="default"/>
        <w:sz w:val="2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728223C8"/>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33174957">
    <w:abstractNumId w:val="1"/>
  </w:num>
  <w:num w:numId="2" w16cid:durableId="1576939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A2F"/>
    <w:rsid w:val="0002038D"/>
    <w:rsid w:val="0004050A"/>
    <w:rsid w:val="00063B58"/>
    <w:rsid w:val="000A7E5C"/>
    <w:rsid w:val="000B07E5"/>
    <w:rsid w:val="000D1969"/>
    <w:rsid w:val="000D284A"/>
    <w:rsid w:val="000E0015"/>
    <w:rsid w:val="000E3A4E"/>
    <w:rsid w:val="0010318F"/>
    <w:rsid w:val="001205CB"/>
    <w:rsid w:val="00147F95"/>
    <w:rsid w:val="0016733F"/>
    <w:rsid w:val="001924E0"/>
    <w:rsid w:val="001A7E24"/>
    <w:rsid w:val="001C2E1F"/>
    <w:rsid w:val="001D22B9"/>
    <w:rsid w:val="001E51ED"/>
    <w:rsid w:val="001E7A00"/>
    <w:rsid w:val="0020165A"/>
    <w:rsid w:val="00226A93"/>
    <w:rsid w:val="00237FA3"/>
    <w:rsid w:val="00250000"/>
    <w:rsid w:val="00274DC6"/>
    <w:rsid w:val="002B7FCB"/>
    <w:rsid w:val="002E3A5A"/>
    <w:rsid w:val="00350DB0"/>
    <w:rsid w:val="00363AFD"/>
    <w:rsid w:val="00374843"/>
    <w:rsid w:val="003945C6"/>
    <w:rsid w:val="003B51D0"/>
    <w:rsid w:val="003C453B"/>
    <w:rsid w:val="004160DE"/>
    <w:rsid w:val="00427AEB"/>
    <w:rsid w:val="004949A4"/>
    <w:rsid w:val="004A1EE5"/>
    <w:rsid w:val="004B57CF"/>
    <w:rsid w:val="004D07AC"/>
    <w:rsid w:val="004E3DD1"/>
    <w:rsid w:val="0052783F"/>
    <w:rsid w:val="00573899"/>
    <w:rsid w:val="00581AA2"/>
    <w:rsid w:val="005B0CFB"/>
    <w:rsid w:val="005C3513"/>
    <w:rsid w:val="005D6806"/>
    <w:rsid w:val="005F33CF"/>
    <w:rsid w:val="0066243C"/>
    <w:rsid w:val="00685C22"/>
    <w:rsid w:val="00690CB1"/>
    <w:rsid w:val="006A2EC2"/>
    <w:rsid w:val="006C70AC"/>
    <w:rsid w:val="00720C01"/>
    <w:rsid w:val="007277E5"/>
    <w:rsid w:val="00774AEB"/>
    <w:rsid w:val="00784134"/>
    <w:rsid w:val="00792ED4"/>
    <w:rsid w:val="007D7EA8"/>
    <w:rsid w:val="007F3550"/>
    <w:rsid w:val="00806400"/>
    <w:rsid w:val="00810CFC"/>
    <w:rsid w:val="00815A2F"/>
    <w:rsid w:val="008243E0"/>
    <w:rsid w:val="00850601"/>
    <w:rsid w:val="00854FD2"/>
    <w:rsid w:val="00867C7E"/>
    <w:rsid w:val="00882907"/>
    <w:rsid w:val="008A5527"/>
    <w:rsid w:val="008B67D2"/>
    <w:rsid w:val="008F3B72"/>
    <w:rsid w:val="009103C9"/>
    <w:rsid w:val="00912F80"/>
    <w:rsid w:val="00916A98"/>
    <w:rsid w:val="00935264"/>
    <w:rsid w:val="00942EDE"/>
    <w:rsid w:val="009649C6"/>
    <w:rsid w:val="00977CD5"/>
    <w:rsid w:val="00983A41"/>
    <w:rsid w:val="009A63DC"/>
    <w:rsid w:val="009D2225"/>
    <w:rsid w:val="009D5B55"/>
    <w:rsid w:val="009E119F"/>
    <w:rsid w:val="009F0740"/>
    <w:rsid w:val="009F676F"/>
    <w:rsid w:val="00A359F8"/>
    <w:rsid w:val="00A41931"/>
    <w:rsid w:val="00A5538C"/>
    <w:rsid w:val="00A808AC"/>
    <w:rsid w:val="00AA0B23"/>
    <w:rsid w:val="00AA632B"/>
    <w:rsid w:val="00AA7BAB"/>
    <w:rsid w:val="00AB5445"/>
    <w:rsid w:val="00AE5E8A"/>
    <w:rsid w:val="00AF1048"/>
    <w:rsid w:val="00AF7946"/>
    <w:rsid w:val="00B42375"/>
    <w:rsid w:val="00B42C25"/>
    <w:rsid w:val="00B5365F"/>
    <w:rsid w:val="00B55635"/>
    <w:rsid w:val="00B67283"/>
    <w:rsid w:val="00B73801"/>
    <w:rsid w:val="00B755DA"/>
    <w:rsid w:val="00B86837"/>
    <w:rsid w:val="00BD54B0"/>
    <w:rsid w:val="00BD7F8F"/>
    <w:rsid w:val="00BE6937"/>
    <w:rsid w:val="00C01E27"/>
    <w:rsid w:val="00C06805"/>
    <w:rsid w:val="00C1385A"/>
    <w:rsid w:val="00C2565C"/>
    <w:rsid w:val="00C45E07"/>
    <w:rsid w:val="00C47BCF"/>
    <w:rsid w:val="00C53AF9"/>
    <w:rsid w:val="00C57FA4"/>
    <w:rsid w:val="00C627F9"/>
    <w:rsid w:val="00C74C88"/>
    <w:rsid w:val="00CA13EF"/>
    <w:rsid w:val="00CA4D11"/>
    <w:rsid w:val="00CD343F"/>
    <w:rsid w:val="00CF57DA"/>
    <w:rsid w:val="00D12486"/>
    <w:rsid w:val="00D14CF1"/>
    <w:rsid w:val="00D171D7"/>
    <w:rsid w:val="00D3174E"/>
    <w:rsid w:val="00D3185F"/>
    <w:rsid w:val="00D356A3"/>
    <w:rsid w:val="00D56C8B"/>
    <w:rsid w:val="00D64184"/>
    <w:rsid w:val="00D67EEC"/>
    <w:rsid w:val="00D73A9F"/>
    <w:rsid w:val="00D840E1"/>
    <w:rsid w:val="00DE00DF"/>
    <w:rsid w:val="00DE3A2E"/>
    <w:rsid w:val="00DF3E4C"/>
    <w:rsid w:val="00E004BF"/>
    <w:rsid w:val="00E105D2"/>
    <w:rsid w:val="00E54572"/>
    <w:rsid w:val="00E643C2"/>
    <w:rsid w:val="00E802C4"/>
    <w:rsid w:val="00E831DC"/>
    <w:rsid w:val="00EA1742"/>
    <w:rsid w:val="00EA1AE8"/>
    <w:rsid w:val="00EA72A1"/>
    <w:rsid w:val="00F152B7"/>
    <w:rsid w:val="00F2085B"/>
    <w:rsid w:val="00F24D56"/>
    <w:rsid w:val="00F311DA"/>
    <w:rsid w:val="00F4075E"/>
    <w:rsid w:val="00F507A6"/>
    <w:rsid w:val="00F5619A"/>
    <w:rsid w:val="00F643B8"/>
    <w:rsid w:val="00F70522"/>
    <w:rsid w:val="00F91E0D"/>
    <w:rsid w:val="00FD0895"/>
    <w:rsid w:val="00FD4042"/>
    <w:rsid w:val="00FD61B4"/>
    <w:rsid w:val="00FD7DAB"/>
    <w:rsid w:val="00FE0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6BF6"/>
  <w15:chartTrackingRefBased/>
  <w15:docId w15:val="{EDA5625A-AB1F-4342-AB15-4B35A66F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5A2F"/>
    <w:rPr>
      <w:color w:val="0563C1" w:themeColor="hyperlink"/>
      <w:u w:val="single"/>
    </w:rPr>
  </w:style>
  <w:style w:type="character" w:styleId="a4">
    <w:name w:val="Unresolved Mention"/>
    <w:basedOn w:val="a0"/>
    <w:uiPriority w:val="99"/>
    <w:semiHidden/>
    <w:unhideWhenUsed/>
    <w:rsid w:val="00815A2F"/>
    <w:rPr>
      <w:color w:val="605E5C"/>
      <w:shd w:val="clear" w:color="auto" w:fill="E1DFDD"/>
    </w:rPr>
  </w:style>
  <w:style w:type="paragraph" w:styleId="a5">
    <w:name w:val="List Paragraph"/>
    <w:basedOn w:val="a"/>
    <w:uiPriority w:val="34"/>
    <w:qFormat/>
    <w:rsid w:val="001C2E1F"/>
    <w:pPr>
      <w:widowControl/>
      <w:spacing w:line="276" w:lineRule="auto"/>
      <w:ind w:left="720"/>
      <w:contextualSpacing/>
      <w:jc w:val="left"/>
    </w:pPr>
    <w:rPr>
      <w:rFonts w:ascii="Arial" w:eastAsia="Arial" w:hAnsi="Arial" w:cs="Arial"/>
      <w:kern w:val="0"/>
      <w:sz w:val="22"/>
      <w:szCs w:val="22"/>
      <w:lang w:val="en" w:eastAsia="fr-CA"/>
    </w:rPr>
  </w:style>
  <w:style w:type="character" w:customStyle="1" w:styleId="font21">
    <w:name w:val="font21"/>
    <w:basedOn w:val="a0"/>
    <w:rsid w:val="001C2E1F"/>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font31">
    <w:name w:val="font31"/>
    <w:basedOn w:val="a0"/>
    <w:rsid w:val="001C2E1F"/>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11">
    <w:name w:val="font11"/>
    <w:basedOn w:val="a0"/>
    <w:rsid w:val="001C2E1F"/>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font41">
    <w:name w:val="font41"/>
    <w:basedOn w:val="a0"/>
    <w:rsid w:val="001C2E1F"/>
    <w:rPr>
      <w:rFonts w:ascii="Times New Roman" w:hAnsi="Times New Roman" w:cs="Times New Roman" w:hint="default"/>
      <w:b w:val="0"/>
      <w:bCs w:val="0"/>
      <w:i w:val="0"/>
      <w:iCs w:val="0"/>
      <w:strike w:val="0"/>
      <w:dstrike w:val="0"/>
      <w:color w:val="000000"/>
      <w:sz w:val="22"/>
      <w:szCs w:val="22"/>
      <w:u w:val="none"/>
      <w:effect w:val="none"/>
      <w:vertAlign w:val="superscript"/>
    </w:rPr>
  </w:style>
  <w:style w:type="character" w:customStyle="1" w:styleId="font51">
    <w:name w:val="font51"/>
    <w:basedOn w:val="a0"/>
    <w:rsid w:val="001C2E1F"/>
    <w:rPr>
      <w:rFonts w:ascii="DengXian" w:eastAsia="DengXian" w:hAnsi="DengXian" w:hint="eastAsia"/>
      <w:b w:val="0"/>
      <w:bCs w:val="0"/>
      <w:i w:val="0"/>
      <w:iCs w:val="0"/>
      <w:strike w:val="0"/>
      <w:dstrike w:val="0"/>
      <w:color w:val="000000"/>
      <w:sz w:val="22"/>
      <w:szCs w:val="22"/>
      <w:u w:val="none"/>
      <w:effect w:val="none"/>
    </w:rPr>
  </w:style>
  <w:style w:type="character" w:styleId="a6">
    <w:name w:val="annotation reference"/>
    <w:basedOn w:val="a0"/>
    <w:uiPriority w:val="99"/>
    <w:semiHidden/>
    <w:unhideWhenUsed/>
    <w:rsid w:val="009103C9"/>
    <w:rPr>
      <w:sz w:val="16"/>
      <w:szCs w:val="16"/>
    </w:rPr>
  </w:style>
  <w:style w:type="paragraph" w:styleId="a7">
    <w:name w:val="annotation text"/>
    <w:basedOn w:val="a"/>
    <w:link w:val="a8"/>
    <w:uiPriority w:val="99"/>
    <w:semiHidden/>
    <w:unhideWhenUsed/>
    <w:rsid w:val="009103C9"/>
    <w:rPr>
      <w:sz w:val="20"/>
      <w:szCs w:val="20"/>
    </w:rPr>
  </w:style>
  <w:style w:type="character" w:customStyle="1" w:styleId="a8">
    <w:name w:val="批注文字 字符"/>
    <w:basedOn w:val="a0"/>
    <w:link w:val="a7"/>
    <w:uiPriority w:val="99"/>
    <w:semiHidden/>
    <w:rsid w:val="009103C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9144463">
      <w:bodyDiv w:val="1"/>
      <w:marLeft w:val="0"/>
      <w:marRight w:val="0"/>
      <w:marTop w:val="0"/>
      <w:marBottom w:val="0"/>
      <w:divBdr>
        <w:top w:val="none" w:sz="0" w:space="0" w:color="auto"/>
        <w:left w:val="none" w:sz="0" w:space="0" w:color="auto"/>
        <w:bottom w:val="none" w:sz="0" w:space="0" w:color="auto"/>
        <w:right w:val="none" w:sz="0" w:space="0" w:color="auto"/>
      </w:divBdr>
    </w:div>
    <w:div w:id="182998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备份属于 Normal.dotm</Template>
  <TotalTime>9</TotalTime>
  <Pages>4</Pages>
  <Words>413</Words>
  <Characters>2355</Characters>
  <Application>Microsoft Office Word</Application>
  <DocSecurity>0</DocSecurity>
  <Lines>19</Lines>
  <Paragraphs>5</Paragraphs>
  <ScaleCrop>false</ScaleCrop>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雅雯 卢</dc:creator>
  <cp:keywords/>
  <dc:description/>
  <cp:lastModifiedBy>雅雯 卢</cp:lastModifiedBy>
  <cp:revision>4</cp:revision>
  <dcterms:created xsi:type="dcterms:W3CDTF">2024-08-29T17:15:00Z</dcterms:created>
  <dcterms:modified xsi:type="dcterms:W3CDTF">2024-09-02T12:02:00Z</dcterms:modified>
</cp:coreProperties>
</file>