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360" w:lineRule="auto"/>
        <w:rPr>
          <w:rFonts w:ascii="Times New Roman" w:hAnsi="Times New Roman"/>
          <w:b/>
          <w:bCs/>
          <w:sz w:val="24"/>
        </w:rPr>
      </w:pPr>
      <w:r>
        <w:rPr>
          <w:rFonts w:ascii="Times New Roman" w:hAnsi="Times New Roman"/>
          <w:b/>
          <w:bCs/>
          <w:sz w:val="28"/>
          <w:szCs w:val="28"/>
          <w:lang w:bidi="ar"/>
        </w:rPr>
        <w:t>Materials and Methods</w:t>
      </w:r>
      <w:r>
        <w:rPr>
          <w:rFonts w:ascii="Times New Roman" w:hAnsi="Times New Roman"/>
          <w:b/>
          <w:bCs/>
          <w:sz w:val="24"/>
          <w:lang w:bidi="ar"/>
        </w:rPr>
        <w:t xml:space="preserve"> </w:t>
      </w:r>
    </w:p>
    <w:p>
      <w:pPr>
        <w:widowControl/>
        <w:spacing w:line="360" w:lineRule="auto"/>
        <w:rPr>
          <w:rFonts w:ascii="Times New Roman" w:hAnsi="Times New Roman"/>
          <w:b/>
          <w:bCs/>
          <w:color w:val="000000"/>
          <w:sz w:val="24"/>
        </w:rPr>
      </w:pPr>
      <w:r>
        <w:rPr>
          <w:rFonts w:ascii="Times New Roman" w:hAnsi="Times New Roman"/>
          <w:b/>
          <w:bCs/>
          <w:color w:val="000000"/>
          <w:sz w:val="24"/>
          <w:lang w:bidi="ar"/>
        </w:rPr>
        <w:t>Data availability and treatment</w:t>
      </w:r>
    </w:p>
    <w:p>
      <w:pPr>
        <w:widowControl/>
        <w:spacing w:after="156" w:afterLines="50" w:line="36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development cohort comprised 655 newly diagnosed AML patients from three large centers, 442 of these patients were from Shanghai Institute of Hematology (SIH), 110 from Jiangsu Institute of Hematology (JIH), and 103 from Zhejiang Institute of Hematology (ZIH).</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All bone marrow (BM) samples from 655 AML patients were collected at diagnosis. Anonymized [RNA sequencing] data have been deposited in [The Genome Sequence Archive for Human (GSA-Human, https://ngdc.cncb.ac.cn/gsa-human)] (HRA002693). All Bone marrow (BM) samples were collected at diagnosis</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This study was approved by the three </w:t>
      </w:r>
      <w:r>
        <w:rPr>
          <w:rFonts w:hint="eastAsia" w:ascii="Times New Roman" w:hAnsi="Times New Roman"/>
          <w:color w:val="000000" w:themeColor="text1"/>
          <w:sz w:val="24"/>
          <w14:textFill>
            <w14:solidFill>
              <w14:schemeClr w14:val="tx1"/>
            </w14:solidFill>
          </w14:textFill>
        </w:rPr>
        <w:t>participating</w:t>
      </w:r>
      <w:r>
        <w:rPr>
          <w:rFonts w:ascii="Times New Roman" w:hAnsi="Times New Roman"/>
          <w:color w:val="000000" w:themeColor="text1"/>
          <w:sz w:val="24"/>
          <w14:textFill>
            <w14:solidFill>
              <w14:schemeClr w14:val="tx1"/>
            </w14:solidFill>
          </w14:textFill>
        </w:rPr>
        <w:t xml:space="preserve"> centers. All patients had given informed consent for both treatment and cryopreservation of BM and peripheral blood samples according to the Declaration of Helsinki.</w:t>
      </w:r>
    </w:p>
    <w:p>
      <w:pPr>
        <w:widowControl/>
        <w:spacing w:after="156" w:afterLines="50" w:line="36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For non-M3 AML, young patients (&lt; 60 years) were </w:t>
      </w:r>
      <w:bookmarkStart w:id="0" w:name="OLE_LINK101"/>
      <w:r>
        <w:rPr>
          <w:rFonts w:ascii="Times New Roman" w:hAnsi="Times New Roman"/>
          <w:color w:val="000000" w:themeColor="text1"/>
          <w:sz w:val="24"/>
          <w14:textFill>
            <w14:solidFill>
              <w14:schemeClr w14:val="tx1"/>
            </w14:solidFill>
          </w14:textFill>
        </w:rPr>
        <w:t>given standard intensive “3+7” IA-based regimens as initial induction,</w:t>
      </w:r>
      <w:bookmarkEnd w:id="0"/>
      <w:r>
        <w:rPr>
          <w:rFonts w:ascii="Times New Roman" w:hAnsi="Times New Roman"/>
          <w:color w:val="000000" w:themeColor="text1"/>
          <w:sz w:val="24"/>
          <w14:textFill>
            <w14:solidFill>
              <w14:schemeClr w14:val="tx1"/>
            </w14:solidFill>
          </w14:textFill>
        </w:rPr>
        <w:t xml:space="preserve"> and after CR was achieved, 4 cycles of high-dose </w:t>
      </w:r>
      <w:r>
        <w:rPr>
          <w:rFonts w:hint="eastAsia" w:ascii="Times New Roman" w:hAnsi="Times New Roman"/>
          <w:color w:val="000000" w:themeColor="text1"/>
          <w:sz w:val="24"/>
          <w14:textFill>
            <w14:solidFill>
              <w14:schemeClr w14:val="tx1"/>
            </w14:solidFill>
          </w14:textFill>
        </w:rPr>
        <w:t>cytarabine were</w:t>
      </w:r>
      <w:r>
        <w:rPr>
          <w:rFonts w:ascii="Times New Roman" w:hAnsi="Times New Roman"/>
          <w:color w:val="000000" w:themeColor="text1"/>
          <w:sz w:val="24"/>
          <w14:textFill>
            <w14:solidFill>
              <w14:schemeClr w14:val="tx1"/>
            </w14:solidFill>
          </w14:textFill>
        </w:rPr>
        <w:t xml:space="preserve"> </w:t>
      </w:r>
      <w:bookmarkStart w:id="1" w:name="OLE_LINK3"/>
      <w:r>
        <w:rPr>
          <w:rFonts w:ascii="Times New Roman" w:hAnsi="Times New Roman"/>
          <w:color w:val="000000" w:themeColor="text1"/>
          <w:sz w:val="24"/>
          <w14:textFill>
            <w14:solidFill>
              <w14:schemeClr w14:val="tx1"/>
            </w14:solidFill>
          </w14:textFill>
        </w:rPr>
        <w:t>delivered</w:t>
      </w:r>
      <w:bookmarkEnd w:id="1"/>
      <w:r>
        <w:rPr>
          <w:rFonts w:ascii="Times New Roman" w:hAnsi="Times New Roman"/>
          <w:color w:val="000000" w:themeColor="text1"/>
          <w:sz w:val="24"/>
          <w14:textFill>
            <w14:solidFill>
              <w14:schemeClr w14:val="tx1"/>
            </w14:solidFill>
          </w14:textFill>
        </w:rPr>
        <w:t xml:space="preserve"> as consolidation. Elderly patients (≥60 years) were evaluated by the treating physician. Fit patients received reduced IA/DA-based induction chemotherapy, while unfit patients were assigned to other less intensive therapies. For acute promyelocytic leukemia (APL) patients, the combination of All-trans retinoic acid (ATRA) and Arsenic trioxide (ATO) with or without chemotherapy was administered based on Sanz risk stratification. The diagnosis and subtype classification of AML were based on the </w:t>
      </w:r>
      <w:bookmarkStart w:id="2" w:name="OLE_LINK11"/>
      <w:r>
        <w:rPr>
          <w:rFonts w:ascii="Times New Roman" w:hAnsi="Times New Roman"/>
          <w:color w:val="000000" w:themeColor="text1"/>
          <w:sz w:val="24"/>
          <w14:textFill>
            <w14:solidFill>
              <w14:schemeClr w14:val="tx1"/>
            </w14:solidFill>
          </w14:textFill>
        </w:rPr>
        <w:t>2022 World Health Organization criteria.</w:t>
      </w:r>
      <w:bookmarkEnd w:id="2"/>
      <w:r>
        <w:rPr>
          <w:rFonts w:ascii="Times New Roman" w:hAnsi="Times New Roman"/>
          <w:color w:val="000000" w:themeColor="text1"/>
          <w:sz w:val="24"/>
          <w14:textFill>
            <w14:solidFill>
              <w14:schemeClr w14:val="tx1"/>
            </w14:solidFill>
          </w14:textFill>
        </w:rPr>
        <w:t xml:space="preserve"> </w:t>
      </w:r>
    </w:p>
    <w:p>
      <w:pPr>
        <w:widowControl/>
        <w:spacing w:after="156" w:afterLines="50" w:line="360" w:lineRule="auto"/>
        <w:rPr>
          <w:rFonts w:ascii="Times New Roman" w:hAnsi="Times New Roman"/>
          <w:b/>
          <w:bCs/>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 validation cohorts were obtained from TCGA (https://portal.gdc.cancer.gov/), BeatAML (http://www.vizome.org/), and HOVON cohort retrieved from Array Express (Dataset ID: E-MTAB-3444). Only treatment-naive adult patients were included, and individuals without available survival information were excluded.</w:t>
      </w:r>
    </w:p>
    <w:p>
      <w:pPr>
        <w:widowControl/>
        <w:spacing w:line="360" w:lineRule="auto"/>
        <w:rPr>
          <w:rFonts w:ascii="Times New Roman" w:hAnsi="Times New Roman"/>
          <w:b/>
          <w:bCs/>
          <w:color w:val="000000"/>
          <w:sz w:val="24"/>
        </w:rPr>
      </w:pPr>
      <w:r>
        <w:rPr>
          <w:rFonts w:ascii="Times New Roman" w:hAnsi="Times New Roman"/>
          <w:b/>
          <w:bCs/>
          <w:color w:val="000000"/>
          <w:sz w:val="24"/>
          <w:lang w:bidi="ar"/>
        </w:rPr>
        <w:t>Acquisition of NAD metabolism-related genesets</w:t>
      </w:r>
    </w:p>
    <w:p>
      <w:pPr>
        <w:widowControl/>
        <w:spacing w:line="360" w:lineRule="auto"/>
        <w:rPr>
          <w:rFonts w:ascii="Times New Roman" w:hAnsi="Times New Roman"/>
          <w:color w:val="000000"/>
          <w:sz w:val="24"/>
        </w:rPr>
      </w:pPr>
      <w:r>
        <w:rPr>
          <w:rFonts w:ascii="Times New Roman" w:hAnsi="Times New Roman"/>
          <w:color w:val="000000"/>
          <w:sz w:val="24"/>
          <w:lang w:bidi="ar"/>
        </w:rPr>
        <w:t>The NAD metabolism-related genes were obtained from the Molecular Signatures Database (MSigDB), including REACTOME_NICOTINATE_METABOLISM(R-HAS-196807) from Reactome database, KEGG_NICOTINATE_AND_NICOTINAMIDE_METABOLISM (has00760) from KEGG database, and GOBP_DE_NOVO_NAD_BIOSYNTHETIC_PROCESS, GOBP_NAD_TRANSPORT from GO database. After integrating the genes in these pathways, a total of seventy-seven genes were selected. Detailed information about the NAD+ metabolism-related genes is contained in (Supplementary Table S1).</w:t>
      </w:r>
    </w:p>
    <w:p>
      <w:pPr>
        <w:widowControl/>
        <w:spacing w:line="360" w:lineRule="auto"/>
        <w:rPr>
          <w:rFonts w:ascii="Times New Roman" w:hAnsi="Times New Roman"/>
          <w:b/>
          <w:bCs/>
          <w:color w:val="000000"/>
          <w:sz w:val="24"/>
        </w:rPr>
      </w:pPr>
      <w:r>
        <w:rPr>
          <w:rFonts w:ascii="Times New Roman" w:hAnsi="Times New Roman"/>
          <w:b/>
          <w:bCs/>
          <w:color w:val="000000"/>
          <w:sz w:val="24"/>
          <w:lang w:bidi="ar"/>
        </w:rPr>
        <w:t xml:space="preserve">Developing and validation of AML prognostic model </w:t>
      </w:r>
    </w:p>
    <w:p>
      <w:pPr>
        <w:widowControl/>
        <w:spacing w:after="156" w:afterLines="50" w:line="360" w:lineRule="auto"/>
        <w:rPr>
          <w:rFonts w:ascii="Times New Roman" w:hAnsi="Times New Roman"/>
          <w:color w:val="000000"/>
          <w:sz w:val="24"/>
          <w:lang w:bidi="ar"/>
        </w:rPr>
      </w:pPr>
      <w:r>
        <w:rPr>
          <w:rFonts w:hint="eastAsia" w:ascii="Times New Roman" w:hAnsi="Times New Roman"/>
          <w:color w:val="000000"/>
          <w:sz w:val="24"/>
          <w:lang w:bidi="ar"/>
        </w:rPr>
        <w:t xml:space="preserve">The </w:t>
      </w:r>
      <w:r>
        <w:rPr>
          <w:rFonts w:ascii="Times New Roman" w:hAnsi="Times New Roman"/>
          <w:sz w:val="24"/>
        </w:rPr>
        <w:t>least absolute shrinkage selector operator (LASSO)</w:t>
      </w:r>
      <w:r>
        <w:rPr>
          <w:rFonts w:ascii="Times New Roman" w:hAnsi="Times New Roman"/>
          <w:color w:val="000000"/>
          <w:sz w:val="24"/>
          <w:lang w:bidi="ar"/>
        </w:rPr>
        <w:t xml:space="preserve"> regression algorithm was employed</w:t>
      </w:r>
      <w:r>
        <w:rPr>
          <w:rFonts w:ascii="Times New Roman" w:hAnsi="Times New Roman"/>
          <w:sz w:val="24"/>
        </w:rPr>
        <w:t xml:space="preserve"> in the </w:t>
      </w:r>
      <w:r>
        <w:rPr>
          <w:rFonts w:ascii="Times New Roman" w:hAnsi="Times New Roman"/>
          <w:i/>
          <w:iCs/>
          <w:sz w:val="24"/>
        </w:rPr>
        <w:t>glmnet</w:t>
      </w:r>
      <w:r>
        <w:rPr>
          <w:rFonts w:hint="eastAsia" w:ascii="Times New Roman" w:hAnsi="Times New Roman"/>
          <w:i/>
          <w:iCs/>
          <w:sz w:val="24"/>
        </w:rPr>
        <w:t xml:space="preserve"> </w:t>
      </w:r>
      <w:r>
        <w:rPr>
          <w:rFonts w:ascii="Times New Roman" w:hAnsi="Times New Roman"/>
          <w:sz w:val="24"/>
        </w:rPr>
        <w:t xml:space="preserve">R package to select </w:t>
      </w:r>
      <w:r>
        <w:rPr>
          <w:rFonts w:hint="eastAsia" w:ascii="Times New Roman" w:hAnsi="Times New Roman"/>
          <w:sz w:val="24"/>
        </w:rPr>
        <w:t>the</w:t>
      </w:r>
      <w:r>
        <w:rPr>
          <w:rFonts w:ascii="Times New Roman" w:hAnsi="Times New Roman"/>
          <w:sz w:val="24"/>
        </w:rPr>
        <w:t xml:space="preserve"> fitness genes that could be utilized to </w:t>
      </w:r>
      <w:r>
        <w:rPr>
          <w:rFonts w:hint="eastAsia" w:ascii="Times New Roman" w:hAnsi="Times New Roman"/>
          <w:sz w:val="24"/>
        </w:rPr>
        <w:t>develop</w:t>
      </w:r>
      <w:r>
        <w:rPr>
          <w:rFonts w:ascii="Times New Roman" w:hAnsi="Times New Roman"/>
          <w:sz w:val="24"/>
        </w:rPr>
        <w:t xml:space="preserve"> a predictive model</w:t>
      </w:r>
      <w:r>
        <w:rPr>
          <w:rFonts w:ascii="Times New Roman" w:hAnsi="Times New Roman"/>
          <w:color w:val="000000"/>
          <w:sz w:val="24"/>
          <w:lang w:bidi="ar"/>
        </w:rPr>
        <w:t xml:space="preserve">, ultimately </w:t>
      </w:r>
      <w:r>
        <w:rPr>
          <w:rFonts w:hint="eastAsia" w:ascii="Times New Roman" w:hAnsi="Times New Roman"/>
          <w:color w:val="000000"/>
          <w:sz w:val="24"/>
          <w:lang w:bidi="ar"/>
        </w:rPr>
        <w:t>generat</w:t>
      </w:r>
      <w:r>
        <w:rPr>
          <w:rFonts w:ascii="Times New Roman" w:hAnsi="Times New Roman"/>
          <w:color w:val="000000"/>
          <w:sz w:val="24"/>
          <w:lang w:bidi="ar"/>
        </w:rPr>
        <w:t xml:space="preserve">ing eight genes most pertinent to prognosis. </w:t>
      </w:r>
      <w:r>
        <w:rPr>
          <w:rFonts w:hint="eastAsia" w:ascii="Times New Roman" w:hAnsi="Times New Roman"/>
          <w:color w:val="000000"/>
          <w:sz w:val="24"/>
          <w:lang w:bidi="ar"/>
        </w:rPr>
        <w:t xml:space="preserve">The seed number was </w:t>
      </w:r>
      <w:r>
        <w:rPr>
          <w:rFonts w:ascii="Times New Roman" w:hAnsi="Times New Roman"/>
          <w:color w:val="000000"/>
          <w:sz w:val="24"/>
          <w:lang w:bidi="ar"/>
        </w:rPr>
        <w:t>“</w:t>
      </w:r>
      <w:r>
        <w:rPr>
          <w:rFonts w:hint="eastAsia" w:ascii="Times New Roman" w:hAnsi="Times New Roman"/>
          <w:color w:val="000000"/>
          <w:sz w:val="24"/>
          <w:lang w:bidi="ar"/>
        </w:rPr>
        <w:t>1006</w:t>
      </w:r>
      <w:r>
        <w:rPr>
          <w:rFonts w:ascii="Times New Roman" w:hAnsi="Times New Roman"/>
          <w:color w:val="000000"/>
          <w:sz w:val="24"/>
          <w:lang w:bidi="ar"/>
        </w:rPr>
        <w:t>”</w:t>
      </w:r>
      <w:r>
        <w:rPr>
          <w:rFonts w:hint="eastAsia" w:ascii="Times New Roman" w:hAnsi="Times New Roman"/>
          <w:color w:val="000000"/>
          <w:sz w:val="24"/>
          <w:lang w:bidi="ar"/>
        </w:rPr>
        <w:t xml:space="preserve"> and the </w:t>
      </w:r>
      <w:r>
        <w:rPr>
          <w:rFonts w:ascii="Times New Roman" w:hAnsi="Times New Roman"/>
          <w:color w:val="000000"/>
          <w:sz w:val="24"/>
          <w:lang w:bidi="ar"/>
        </w:rPr>
        <w:t>“</w:t>
      </w:r>
      <w:r>
        <w:rPr>
          <w:rFonts w:hint="eastAsia" w:ascii="Times New Roman" w:hAnsi="Times New Roman"/>
          <w:color w:val="000000"/>
          <w:sz w:val="24"/>
          <w:lang w:bidi="ar"/>
        </w:rPr>
        <w:t>lambda.min</w:t>
      </w:r>
      <w:r>
        <w:rPr>
          <w:rFonts w:ascii="Times New Roman" w:hAnsi="Times New Roman"/>
          <w:color w:val="000000"/>
          <w:sz w:val="24"/>
          <w:lang w:bidi="ar"/>
        </w:rPr>
        <w:t>”</w:t>
      </w:r>
      <w:r>
        <w:rPr>
          <w:rFonts w:hint="eastAsia" w:ascii="Times New Roman" w:hAnsi="Times New Roman"/>
          <w:color w:val="000000"/>
          <w:sz w:val="24"/>
          <w:lang w:bidi="ar"/>
        </w:rPr>
        <w:t xml:space="preserve"> was selected for the model. Then</w:t>
      </w:r>
      <w:r>
        <w:rPr>
          <w:rFonts w:ascii="Times New Roman" w:hAnsi="Times New Roman"/>
          <w:color w:val="000000"/>
          <w:sz w:val="24"/>
          <w:lang w:bidi="ar"/>
        </w:rPr>
        <w:t>, the 8 genes were incorporated into the multivariate Cox regression and established the NA</w:t>
      </w:r>
      <w:r>
        <w:rPr>
          <w:rFonts w:hint="eastAsia" w:ascii="Times New Roman" w:hAnsi="Times New Roman"/>
          <w:color w:val="000000"/>
          <w:sz w:val="24"/>
          <w:lang w:val="en-US" w:eastAsia="zh-CN" w:bidi="ar"/>
        </w:rPr>
        <w:t>DM</w:t>
      </w:r>
      <w:r>
        <w:rPr>
          <w:rFonts w:ascii="Times New Roman" w:hAnsi="Times New Roman"/>
          <w:color w:val="000000"/>
          <w:sz w:val="24"/>
          <w:lang w:bidi="ar"/>
        </w:rPr>
        <w:t>8 model. The NA</w:t>
      </w:r>
      <w:r>
        <w:rPr>
          <w:rFonts w:hint="eastAsia" w:ascii="Times New Roman" w:hAnsi="Times New Roman"/>
          <w:color w:val="000000"/>
          <w:sz w:val="24"/>
          <w:lang w:val="en-US" w:eastAsia="zh-CN" w:bidi="ar"/>
        </w:rPr>
        <w:t>DM</w:t>
      </w:r>
      <w:r>
        <w:rPr>
          <w:rFonts w:ascii="Times New Roman" w:hAnsi="Times New Roman"/>
          <w:color w:val="000000"/>
          <w:sz w:val="24"/>
          <w:lang w:bidi="ar"/>
        </w:rPr>
        <w:t>8 risk score was calculated using the formula: NA</w:t>
      </w:r>
      <w:r>
        <w:rPr>
          <w:rFonts w:hint="eastAsia" w:ascii="Times New Roman" w:hAnsi="Times New Roman"/>
          <w:color w:val="000000"/>
          <w:sz w:val="24"/>
          <w:lang w:val="en-US" w:eastAsia="zh-CN" w:bidi="ar"/>
        </w:rPr>
        <w:t>DM</w:t>
      </w:r>
      <w:r>
        <w:rPr>
          <w:rFonts w:ascii="Times New Roman" w:hAnsi="Times New Roman"/>
          <w:color w:val="000000"/>
          <w:sz w:val="24"/>
          <w:lang w:bidi="ar"/>
        </w:rPr>
        <w:t>8 score = Σ (β</w:t>
      </w:r>
      <w:r>
        <w:rPr>
          <w:rFonts w:hint="default" w:ascii="Times New Roman Italic" w:hAnsi="Times New Roman Italic" w:cs="Times New Roman Italic"/>
          <w:i/>
          <w:iCs/>
          <w:color w:val="000000"/>
          <w:sz w:val="24"/>
          <w:lang w:bidi="ar"/>
        </w:rPr>
        <w:t>i</w:t>
      </w:r>
      <w:r>
        <w:rPr>
          <w:rFonts w:ascii="Times New Roman" w:hAnsi="Times New Roman"/>
          <w:color w:val="000000"/>
          <w:sz w:val="24"/>
          <w:lang w:bidi="ar"/>
        </w:rPr>
        <w:t xml:space="preserve"> × expression level of gene</w:t>
      </w:r>
      <w:r>
        <w:rPr>
          <w:rFonts w:hint="default" w:ascii="Times New Roman Italic" w:hAnsi="Times New Roman Italic" w:cs="Times New Roman Italic"/>
          <w:i/>
          <w:iCs/>
          <w:color w:val="000000"/>
          <w:sz w:val="24"/>
          <w:lang w:bidi="ar"/>
        </w:rPr>
        <w:t>i</w:t>
      </w:r>
      <w:r>
        <w:rPr>
          <w:rFonts w:ascii="Times New Roman" w:hAnsi="Times New Roman"/>
          <w:color w:val="000000"/>
          <w:sz w:val="24"/>
          <w:lang w:bidi="ar"/>
        </w:rPr>
        <w:t>), where β</w:t>
      </w:r>
      <w:r>
        <w:rPr>
          <w:rFonts w:hint="default" w:ascii="Times New Roman Italic" w:hAnsi="Times New Roman Italic" w:cs="Times New Roman Italic"/>
          <w:i/>
          <w:iCs/>
          <w:color w:val="000000"/>
          <w:sz w:val="24"/>
          <w:lang w:bidi="ar"/>
        </w:rPr>
        <w:t>i</w:t>
      </w:r>
      <w:r>
        <w:rPr>
          <w:rFonts w:ascii="Times New Roman" w:hAnsi="Times New Roman"/>
          <w:color w:val="000000"/>
          <w:sz w:val="24"/>
          <w:lang w:bidi="ar"/>
        </w:rPr>
        <w:t xml:space="preserve"> was the coefficient generated by multivariable Cox regression analysis. </w:t>
      </w:r>
      <w:r>
        <w:rPr>
          <w:rFonts w:hint="eastAsia" w:ascii="Times New Roman" w:hAnsi="Times New Roman"/>
          <w:color w:val="000000"/>
          <w:sz w:val="24"/>
          <w:lang w:bidi="ar"/>
        </w:rPr>
        <w:t>Furthermore, e</w:t>
      </w:r>
      <w:r>
        <w:rPr>
          <w:rFonts w:ascii="Times New Roman" w:hAnsi="Times New Roman"/>
          <w:color w:val="000000"/>
          <w:sz w:val="24"/>
          <w:lang w:bidi="ar"/>
        </w:rPr>
        <w:t>ach patient was allocated a risk score according to the formula and subsequently divided into high-risk and low-risk subgroups according to the median cut-off risk score. Kaplan-Meier survival analysis was employed to assess the prognostic implications of the NA</w:t>
      </w:r>
      <w:r>
        <w:rPr>
          <w:rFonts w:hint="eastAsia" w:ascii="Times New Roman" w:hAnsi="Times New Roman"/>
          <w:color w:val="000000"/>
          <w:sz w:val="24"/>
          <w:lang w:val="en-US" w:eastAsia="zh-CN" w:bidi="ar"/>
        </w:rPr>
        <w:t>DM</w:t>
      </w:r>
      <w:r>
        <w:rPr>
          <w:rFonts w:ascii="Times New Roman" w:hAnsi="Times New Roman"/>
          <w:color w:val="000000"/>
          <w:sz w:val="24"/>
          <w:lang w:bidi="ar"/>
        </w:rPr>
        <w:t xml:space="preserve">8 model using the </w:t>
      </w:r>
      <w:r>
        <w:rPr>
          <w:rFonts w:ascii="Times New Roman Italic" w:hAnsi="Times New Roman Italic" w:cs="Times New Roman Italic"/>
          <w:i/>
          <w:iCs/>
          <w:color w:val="000000"/>
          <w:sz w:val="24"/>
          <w:lang w:bidi="ar"/>
        </w:rPr>
        <w:t>survival</w:t>
      </w:r>
      <w:r>
        <w:rPr>
          <w:rFonts w:hint="eastAsia" w:ascii="Times New Roman Italic" w:hAnsi="Times New Roman Italic" w:cs="Times New Roman Italic"/>
          <w:i/>
          <w:iCs/>
          <w:color w:val="000000"/>
          <w:sz w:val="24"/>
          <w:lang w:bidi="ar"/>
        </w:rPr>
        <w:t xml:space="preserve"> </w:t>
      </w:r>
      <w:r>
        <w:rPr>
          <w:rFonts w:hint="eastAsia" w:ascii="Times New Roman" w:hAnsi="Times New Roman"/>
          <w:color w:val="000000"/>
          <w:sz w:val="24"/>
          <w:lang w:bidi="ar"/>
        </w:rPr>
        <w:t>and</w:t>
      </w:r>
      <w:bookmarkStart w:id="3" w:name="OLE_LINK24"/>
      <w:r>
        <w:rPr>
          <w:rFonts w:hint="eastAsia" w:ascii="Times New Roman" w:hAnsi="Times New Roman"/>
          <w:color w:val="000000"/>
          <w:sz w:val="24"/>
          <w:lang w:bidi="ar"/>
        </w:rPr>
        <w:t xml:space="preserve"> </w:t>
      </w:r>
      <w:r>
        <w:rPr>
          <w:rFonts w:ascii="Times New Roman Italic" w:hAnsi="Times New Roman Italic" w:cs="Times New Roman Italic"/>
          <w:i/>
          <w:color w:val="000000"/>
          <w:sz w:val="24"/>
          <w:lang w:bidi="ar"/>
        </w:rPr>
        <w:t>survminer</w:t>
      </w:r>
      <w:r>
        <w:rPr>
          <w:rFonts w:ascii="Times New Roman" w:hAnsi="Times New Roman"/>
          <w:color w:val="000000"/>
          <w:sz w:val="24"/>
          <w:lang w:bidi="ar"/>
        </w:rPr>
        <w:t xml:space="preserve"> R package</w:t>
      </w:r>
      <w:r>
        <w:rPr>
          <w:rFonts w:hint="eastAsia" w:ascii="Times New Roman" w:hAnsi="Times New Roman"/>
          <w:color w:val="000000"/>
          <w:sz w:val="24"/>
          <w:lang w:bidi="ar"/>
        </w:rPr>
        <w:t>. The t</w:t>
      </w:r>
      <w:r>
        <w:rPr>
          <w:rFonts w:ascii="Times New Roman" w:hAnsi="Times New Roman"/>
          <w:color w:val="000000"/>
          <w:sz w:val="24"/>
          <w:lang w:bidi="ar"/>
        </w:rPr>
        <w:t>ime-dependent ROC curves</w:t>
      </w:r>
      <w:bookmarkEnd w:id="3"/>
      <w:r>
        <w:rPr>
          <w:rFonts w:ascii="Times New Roman" w:hAnsi="Times New Roman"/>
          <w:color w:val="000000"/>
          <w:sz w:val="24"/>
          <w:lang w:bidi="ar"/>
        </w:rPr>
        <w:t xml:space="preserve"> </w:t>
      </w:r>
      <w:r>
        <w:rPr>
          <w:rFonts w:hint="eastAsia" w:ascii="Times New Roman" w:hAnsi="Times New Roman"/>
          <w:color w:val="000000"/>
          <w:sz w:val="24"/>
          <w:lang w:bidi="ar"/>
        </w:rPr>
        <w:t xml:space="preserve">and </w:t>
      </w:r>
      <w:r>
        <w:rPr>
          <w:rFonts w:ascii="Times New Roman" w:hAnsi="Times New Roman"/>
          <w:color w:val="000000"/>
          <w:sz w:val="24"/>
          <w:lang w:bidi="ar"/>
        </w:rPr>
        <w:t xml:space="preserve">area under </w:t>
      </w:r>
      <w:r>
        <w:rPr>
          <w:rFonts w:hint="eastAsia" w:ascii="Times New Roman" w:hAnsi="Times New Roman"/>
          <w:color w:val="000000"/>
          <w:sz w:val="24"/>
          <w:lang w:bidi="ar"/>
        </w:rPr>
        <w:t>time-dependent</w:t>
      </w:r>
      <w:r>
        <w:rPr>
          <w:rFonts w:ascii="Times New Roman" w:hAnsi="Times New Roman"/>
          <w:color w:val="000000"/>
          <w:sz w:val="24"/>
          <w:lang w:bidi="ar"/>
        </w:rPr>
        <w:t xml:space="preserve"> ROC curve (AUC) were </w:t>
      </w:r>
      <w:r>
        <w:rPr>
          <w:rFonts w:hint="eastAsia" w:ascii="Times New Roman" w:hAnsi="Times New Roman"/>
          <w:color w:val="000000"/>
          <w:sz w:val="24"/>
          <w:lang w:bidi="ar"/>
        </w:rPr>
        <w:t>perform</w:t>
      </w:r>
      <w:r>
        <w:rPr>
          <w:rFonts w:ascii="Times New Roman" w:hAnsi="Times New Roman"/>
          <w:color w:val="000000"/>
          <w:sz w:val="24"/>
          <w:lang w:bidi="ar"/>
        </w:rPr>
        <w:t xml:space="preserve">ed using the </w:t>
      </w:r>
      <w:r>
        <w:rPr>
          <w:rFonts w:ascii="Times New Roman Italic" w:hAnsi="Times New Roman Italic" w:cs="Times New Roman Italic"/>
          <w:i/>
          <w:iCs/>
          <w:color w:val="000000"/>
          <w:sz w:val="24"/>
          <w:lang w:bidi="ar"/>
        </w:rPr>
        <w:t>timeROC</w:t>
      </w:r>
      <w:r>
        <w:rPr>
          <w:rFonts w:hint="eastAsia" w:ascii="Times New Roman Italic" w:hAnsi="Times New Roman Italic" w:cs="Times New Roman Italic"/>
          <w:i/>
          <w:iCs/>
          <w:color w:val="000000"/>
          <w:sz w:val="24"/>
          <w:lang w:bidi="ar"/>
        </w:rPr>
        <w:t xml:space="preserve"> </w:t>
      </w:r>
      <w:r>
        <w:rPr>
          <w:rFonts w:ascii="Times New Roman" w:hAnsi="Times New Roman"/>
          <w:color w:val="000000"/>
          <w:sz w:val="24"/>
          <w:lang w:bidi="ar"/>
        </w:rPr>
        <w:t>package.</w:t>
      </w:r>
    </w:p>
    <w:p>
      <w:pPr>
        <w:widowControl/>
        <w:spacing w:line="360" w:lineRule="auto"/>
        <w:rPr>
          <w:rFonts w:ascii="Times New Roman" w:hAnsi="Times New Roman"/>
          <w:color w:val="000000"/>
          <w:sz w:val="24"/>
          <w:lang w:bidi="ar"/>
        </w:rPr>
      </w:pPr>
      <w:r>
        <w:rPr>
          <w:rFonts w:ascii="Times New Roman" w:hAnsi="Times New Roman"/>
          <w:b/>
          <w:bCs/>
          <w:color w:val="000000"/>
          <w:sz w:val="24"/>
          <w:lang w:bidi="ar"/>
        </w:rPr>
        <w:t>Gene set variation analysis (GSVA) and pathway survival analysis</w:t>
      </w:r>
    </w:p>
    <w:p>
      <w:pPr>
        <w:widowControl/>
        <w:spacing w:after="156" w:afterLines="50" w:line="360" w:lineRule="auto"/>
        <w:rPr>
          <w:rFonts w:ascii="Times New Roman" w:hAnsi="Times New Roman"/>
          <w:color w:val="000000"/>
          <w:sz w:val="24"/>
          <w:lang w:bidi="ar"/>
        </w:rPr>
      </w:pPr>
      <w:bookmarkStart w:id="4" w:name="OLE_LINK130"/>
      <w:r>
        <w:rPr>
          <w:rFonts w:ascii="Times New Roman" w:hAnsi="Times New Roman"/>
          <w:color w:val="000000" w:themeColor="text1"/>
          <w:sz w:val="24"/>
          <w14:textFill>
            <w14:solidFill>
              <w14:schemeClr w14:val="tx1"/>
            </w14:solidFill>
          </w14:textFill>
        </w:rPr>
        <w:t>We systematically collected the NAD metabolism-related pathways from the "msigdb.v2023.1.Hs.symbols.gmt" in MSigDB database</w:t>
      </w:r>
      <w:r>
        <w:rPr>
          <w:rFonts w:ascii="Times New Roman" w:hAnsi="Times New Roman"/>
          <w:color w:val="000000" w:themeColor="text1"/>
          <w:sz w:val="24"/>
          <w14:textFill>
            <w14:solidFill>
              <w14:schemeClr w14:val="tx1"/>
            </w14:solidFill>
          </w14:textFill>
        </w:rPr>
        <w:fldChar w:fldCharType="begin"/>
      </w:r>
      <w:r>
        <w:rPr>
          <w:rFonts w:ascii="Times New Roman" w:hAnsi="Times New Roman"/>
          <w:color w:val="000000" w:themeColor="text1"/>
          <w:sz w:val="24"/>
          <w14:textFill>
            <w14:solidFill>
              <w14:schemeClr w14:val="tx1"/>
            </w14:solidFill>
          </w14:textFill>
        </w:rPr>
        <w:instrText xml:space="preserve"> ADDIN EN.CITE &lt;EndNote&gt;&lt;Cite&gt;&lt;Author&gt;Liberzon&lt;/Author&gt;&lt;Year&gt;2015&lt;/Year&gt;&lt;RecNum&gt;49&lt;/RecNum&gt;&lt;DisplayText&gt;(1)&lt;/DisplayText&gt;&lt;record&gt;&lt;rec-number&gt;49&lt;/rec-number&gt;&lt;foreign-keys&gt;&lt;key app="EN" db-id="95faxwpafsxvfhe95whvzetg9tdavpvv5ew0" timestamp="1702042604"&gt;49&lt;/key&gt;&lt;/foreign-keys&gt;&lt;ref-type name="Journal Article"&gt;17&lt;/ref-type&gt;&lt;contributors&gt;&lt;authors&gt;&lt;author&gt;Liberzon, A.&lt;/author&gt;&lt;author&gt;Birger, C.&lt;/author&gt;&lt;author&gt;Thorvaldsdóttir, H.&lt;/author&gt;&lt;author&gt;Ghandi, M.&lt;/author&gt;&lt;author&gt;Mesirov, J. P.&lt;/author&gt;&lt;author&gt;Tamayo, P.&lt;/author&gt;&lt;/authors&gt;&lt;/contributors&gt;&lt;auth-address&gt;Broad Institute of MIT and Harvard, 415 Main St. Cambridge, MA 02142, USA.&amp;#xD;Broad Institute of MIT and Harvard, 415 Main St. Cambridge, MA 02142, USA; Department of Medicine, UC San Diego, La Jolla, CA 92093, USA; Moores Cancer Center, UC San Diego, La Jolla, CA 92093, USA.&amp;#xD;Broad Institute of MIT and Harvard, 415 Main St. Cambridge, MA 02142, USA; Department of Medicine, UC San Diego, La Jolla, CA 92093, USA; Moores Cancer Center, UC San Diego, La Jolla, CA 92093, USA; Broad Institute of MIT and Harvard, 415 Main St. Cambridge, MA 02142, USA.&lt;/auth-address&gt;&lt;titles&gt;&lt;title&gt;The Molecular Signatures Database (MSigDB) hallmark gene set collection&lt;/title&gt;&lt;secondary-title&gt;Cell Syst&lt;/secondary-title&gt;&lt;/titles&gt;&lt;periodical&gt;&lt;full-title&gt;Cell Syst&lt;/full-title&gt;&lt;/periodical&gt;&lt;pages&gt;417-425&lt;/pages&gt;&lt;volume&gt;1&lt;/volume&gt;&lt;number&gt;6&lt;/number&gt;&lt;edition&gt;2016/01/16&lt;/edition&gt;&lt;keywords&gt;&lt;keyword&gt;gene expression&lt;/keyword&gt;&lt;keyword&gt;gene set enrichment analysis&lt;/keyword&gt;&lt;keyword&gt;gene sets&lt;/keyword&gt;&lt;/keywords&gt;&lt;dates&gt;&lt;year&gt;2015&lt;/year&gt;&lt;pub-dates&gt;&lt;date&gt;Dec 23&lt;/date&gt;&lt;/pub-dates&gt;&lt;/dates&gt;&lt;isbn&gt;2405-4712 (Print)&amp;#xD;2405-4712&lt;/isbn&gt;&lt;accession-num&gt;26771021&lt;/accession-num&gt;&lt;urls&gt;&lt;/urls&gt;&lt;custom2&gt;PMC4707969&lt;/custom2&gt;&lt;custom6&gt;NIHMS743907&lt;/custom6&gt;&lt;electronic-resource-num&gt;10.1016/j.cels.2015.12.004&lt;/electronic-resource-num&gt;&lt;remote-database-provider&gt;NLM&lt;/remote-database-provider&gt;&lt;language&gt;eng&lt;/language&gt;&lt;/record&gt;&lt;/Cite&gt;&lt;/EndNote&gt;</w:instrText>
      </w:r>
      <w:r>
        <w:rPr>
          <w:rFonts w:ascii="Times New Roman" w:hAnsi="Times New Roman"/>
          <w:color w:val="000000" w:themeColor="text1"/>
          <w:sz w:val="24"/>
          <w14:textFill>
            <w14:solidFill>
              <w14:schemeClr w14:val="tx1"/>
            </w14:solidFill>
          </w14:textFill>
        </w:rPr>
        <w:fldChar w:fldCharType="separate"/>
      </w:r>
      <w:r>
        <w:rPr>
          <w:rFonts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14:textFill>
            <w14:solidFill>
              <w14:schemeClr w14:val="tx1"/>
            </w14:solidFill>
          </w14:textFill>
        </w:rPr>
        <w:t xml:space="preserve"> and conduct</w:t>
      </w:r>
      <w:r>
        <w:rPr>
          <w:rFonts w:hint="eastAsia" w:ascii="Times New Roman" w:hAnsi="Times New Roman"/>
          <w:color w:val="000000" w:themeColor="text1"/>
          <w:sz w:val="24"/>
          <w14:textFill>
            <w14:solidFill>
              <w14:schemeClr w14:val="tx1"/>
            </w14:solidFill>
          </w14:textFill>
        </w:rPr>
        <w:t>ed</w:t>
      </w:r>
      <w:r>
        <w:rPr>
          <w:rFonts w:ascii="Times New Roman" w:hAnsi="Times New Roman"/>
          <w:color w:val="000000" w:themeColor="text1"/>
          <w:sz w:val="24"/>
          <w14:textFill>
            <w14:solidFill>
              <w14:schemeClr w14:val="tx1"/>
            </w14:solidFill>
          </w14:textFill>
        </w:rPr>
        <w:t xml:space="preserve"> Gene Set Variation Analysis (GSVA) </w:t>
      </w:r>
      <w:r>
        <w:rPr>
          <w:rFonts w:hint="eastAsia" w:ascii="Times New Roman" w:hAnsi="Times New Roman"/>
          <w:color w:val="000000" w:themeColor="text1"/>
          <w:sz w:val="24"/>
          <w14:textFill>
            <w14:solidFill>
              <w14:schemeClr w14:val="tx1"/>
            </w14:solidFill>
          </w14:textFill>
        </w:rPr>
        <w:t>ut</w:t>
      </w:r>
      <w:r>
        <w:rPr>
          <w:rFonts w:ascii="Times New Roman" w:hAnsi="Times New Roman"/>
          <w:color w:val="000000" w:themeColor="text1"/>
          <w:sz w:val="24"/>
          <w14:textFill>
            <w14:solidFill>
              <w14:schemeClr w14:val="tx1"/>
            </w14:solidFill>
          </w14:textFill>
        </w:rPr>
        <w:t xml:space="preserve">ilizing the </w:t>
      </w:r>
      <w:r>
        <w:rPr>
          <w:rFonts w:ascii="Times New Roman" w:hAnsi="Times New Roman"/>
          <w:i/>
          <w:iCs/>
          <w:color w:val="000000" w:themeColor="text1"/>
          <w:sz w:val="24"/>
          <w14:textFill>
            <w14:solidFill>
              <w14:schemeClr w14:val="tx1"/>
            </w14:solidFill>
          </w14:textFill>
        </w:rPr>
        <w:t xml:space="preserve">GSVA </w:t>
      </w:r>
      <w:r>
        <w:rPr>
          <w:rFonts w:ascii="Times New Roman" w:hAnsi="Times New Roman"/>
          <w:color w:val="000000" w:themeColor="text1"/>
          <w:sz w:val="24"/>
          <w14:textFill>
            <w14:solidFill>
              <w14:schemeClr w14:val="tx1"/>
            </w14:solidFill>
          </w14:textFill>
        </w:rPr>
        <w:t>R package to calculate a score of each pathway for the patients. T</w:t>
      </w:r>
      <w:r>
        <w:rPr>
          <w:rFonts w:hint="eastAsia" w:ascii="Times New Roman" w:hAnsi="Times New Roman"/>
          <w:color w:val="000000" w:themeColor="text1"/>
          <w:sz w:val="24"/>
          <w14:textFill>
            <w14:solidFill>
              <w14:schemeClr w14:val="tx1"/>
            </w14:solidFill>
          </w14:textFill>
        </w:rPr>
        <w:t>h</w:t>
      </w:r>
      <w:r>
        <w:rPr>
          <w:rFonts w:ascii="Times New Roman" w:hAnsi="Times New Roman"/>
          <w:color w:val="000000" w:themeColor="text1"/>
          <w:sz w:val="24"/>
          <w14:textFill>
            <w14:solidFill>
              <w14:schemeClr w14:val="tx1"/>
            </w14:solidFill>
          </w14:textFill>
        </w:rPr>
        <w:t xml:space="preserve">en, survival analysis was performed using univariate Cox regression analysis and Kaplan-Meier </w:t>
      </w:r>
      <w:r>
        <w:rPr>
          <w:rFonts w:hint="eastAsia" w:ascii="Times New Roman" w:hAnsi="Times New Roman"/>
          <w:color w:val="000000" w:themeColor="text1"/>
          <w:sz w:val="24"/>
          <w14:textFill>
            <w14:solidFill>
              <w14:schemeClr w14:val="tx1"/>
            </w14:solidFill>
          </w14:textFill>
        </w:rPr>
        <w:t>plotter</w:t>
      </w:r>
      <w:r>
        <w:rPr>
          <w:rFonts w:ascii="Times New Roman" w:hAnsi="Times New Roman"/>
          <w:color w:val="000000" w:themeColor="text1"/>
          <w:sz w:val="24"/>
          <w14:textFill>
            <w14:solidFill>
              <w14:schemeClr w14:val="tx1"/>
            </w14:solidFill>
          </w14:textFill>
        </w:rPr>
        <w:t xml:space="preserve"> to explore the prognostic value of these pathways. </w:t>
      </w:r>
      <w:r>
        <w:rPr>
          <w:rFonts w:ascii="Times New Roman" w:hAnsi="Times New Roman"/>
          <w:i/>
          <w:iCs/>
          <w:color w:val="000000" w:themeColor="text1"/>
          <w:sz w:val="24"/>
          <w14:textFill>
            <w14:solidFill>
              <w14:schemeClr w14:val="tx1"/>
            </w14:solidFill>
          </w14:textFill>
        </w:rPr>
        <w:t>P</w:t>
      </w:r>
      <w:r>
        <w:rPr>
          <w:rFonts w:ascii="Times New Roman" w:hAnsi="Times New Roman"/>
          <w:color w:val="000000" w:themeColor="text1"/>
          <w:sz w:val="24"/>
          <w14:textFill>
            <w14:solidFill>
              <w14:schemeClr w14:val="tx1"/>
            </w14:solidFill>
          </w14:textFill>
        </w:rPr>
        <w:t xml:space="preserve"> value&lt;0.05 was </w:t>
      </w:r>
      <w:r>
        <w:rPr>
          <w:rFonts w:ascii="Times New Roman" w:hAnsi="Times New Roman"/>
          <w:color w:val="000000"/>
          <w:sz w:val="24"/>
          <w:lang w:bidi="ar"/>
        </w:rPr>
        <w:t>determined as significant.</w:t>
      </w:r>
    </w:p>
    <w:bookmarkEnd w:id="4"/>
    <w:p>
      <w:pPr>
        <w:widowControl/>
        <w:spacing w:line="360" w:lineRule="auto"/>
        <w:rPr>
          <w:rFonts w:ascii="Times New Roman" w:hAnsi="Times New Roman"/>
          <w:b/>
          <w:bCs/>
          <w:color w:val="000000"/>
          <w:sz w:val="24"/>
          <w:lang w:bidi="ar"/>
        </w:rPr>
      </w:pPr>
      <w:r>
        <w:rPr>
          <w:rFonts w:ascii="Times New Roman" w:hAnsi="Times New Roman"/>
          <w:b/>
          <w:bCs/>
          <w:color w:val="000000"/>
          <w:sz w:val="24"/>
          <w:lang w:bidi="ar"/>
        </w:rPr>
        <w:t>Differential gene expression analysis and gene set enrichment analysis (GSEA)</w:t>
      </w:r>
    </w:p>
    <w:p>
      <w:pPr>
        <w:widowControl/>
        <w:spacing w:after="156" w:afterLines="50" w:line="360" w:lineRule="auto"/>
        <w:rPr>
          <w:rFonts w:ascii="Times New Roman" w:hAnsi="Times New Roman"/>
          <w:sz w:val="24"/>
          <w:szCs w:val="24"/>
        </w:rPr>
      </w:pPr>
      <w:r>
        <w:rPr>
          <w:rFonts w:ascii="Times New Roman" w:hAnsi="Times New Roman"/>
          <w:sz w:val="24"/>
          <w:szCs w:val="24"/>
        </w:rPr>
        <w:t xml:space="preserve">The differential expression analysis was conducted by the </w:t>
      </w:r>
      <w:r>
        <w:rPr>
          <w:rFonts w:ascii="Times New Roman" w:hAnsi="Times New Roman"/>
          <w:i/>
          <w:iCs/>
          <w:sz w:val="24"/>
          <w:szCs w:val="24"/>
        </w:rPr>
        <w:t>limma</w:t>
      </w:r>
      <w:r>
        <w:rPr>
          <w:rFonts w:ascii="Times New Roman" w:hAnsi="Times New Roman"/>
          <w:sz w:val="24"/>
          <w:szCs w:val="24"/>
        </w:rPr>
        <w:t xml:space="preserve"> R package comparing the raw count data </w:t>
      </w:r>
      <w:r>
        <w:rPr>
          <w:rFonts w:hint="eastAsia" w:ascii="Times New Roman" w:hAnsi="Times New Roman"/>
          <w:sz w:val="24"/>
          <w:szCs w:val="24"/>
        </w:rPr>
        <w:t>between</w:t>
      </w:r>
      <w:r>
        <w:rPr>
          <w:rFonts w:ascii="Times New Roman" w:hAnsi="Times New Roman"/>
          <w:sz w:val="24"/>
          <w:szCs w:val="24"/>
        </w:rPr>
        <w:t xml:space="preserve"> NA</w:t>
      </w:r>
      <w:r>
        <w:rPr>
          <w:rFonts w:hint="eastAsia" w:ascii="Times New Roman" w:hAnsi="Times New Roman"/>
          <w:sz w:val="24"/>
          <w:szCs w:val="24"/>
          <w:lang w:val="en-US" w:eastAsia="zh-CN"/>
        </w:rPr>
        <w:t>DM</w:t>
      </w:r>
      <w:r>
        <w:rPr>
          <w:rFonts w:ascii="Times New Roman" w:hAnsi="Times New Roman"/>
          <w:sz w:val="24"/>
          <w:szCs w:val="24"/>
        </w:rPr>
        <w:t>8</w:t>
      </w:r>
      <w:r>
        <w:rPr>
          <w:rFonts w:ascii="Times New Roman" w:hAnsi="Times New Roman"/>
          <w:sz w:val="24"/>
          <w:szCs w:val="24"/>
          <w:vertAlign w:val="superscript"/>
        </w:rPr>
        <w:t>high</w:t>
      </w:r>
      <w:r>
        <w:rPr>
          <w:rFonts w:ascii="Times New Roman" w:hAnsi="Times New Roman"/>
          <w:sz w:val="24"/>
          <w:szCs w:val="24"/>
        </w:rPr>
        <w:t xml:space="preserve"> and NA</w:t>
      </w:r>
      <w:r>
        <w:rPr>
          <w:rFonts w:hint="eastAsia" w:ascii="Times New Roman" w:hAnsi="Times New Roman"/>
          <w:sz w:val="24"/>
          <w:szCs w:val="24"/>
          <w:lang w:val="en-US" w:eastAsia="zh-CN"/>
        </w:rPr>
        <w:t>DM</w:t>
      </w:r>
      <w:r>
        <w:rPr>
          <w:rFonts w:ascii="Times New Roman" w:hAnsi="Times New Roman"/>
          <w:sz w:val="24"/>
          <w:szCs w:val="24"/>
        </w:rPr>
        <w:t>8</w:t>
      </w:r>
      <w:r>
        <w:rPr>
          <w:rFonts w:ascii="Times New Roman" w:hAnsi="Times New Roman"/>
          <w:sz w:val="24"/>
          <w:szCs w:val="24"/>
          <w:vertAlign w:val="superscript"/>
        </w:rPr>
        <w:t xml:space="preserve">low </w:t>
      </w:r>
      <w:r>
        <w:rPr>
          <w:rFonts w:ascii="Times New Roman" w:hAnsi="Times New Roman"/>
          <w:sz w:val="24"/>
          <w:szCs w:val="24"/>
        </w:rPr>
        <w:t>patients. Differentially expressed genes were determined with the threshold of |log</w:t>
      </w:r>
      <w:r>
        <w:rPr>
          <w:rFonts w:ascii="Times New Roman" w:hAnsi="Times New Roman"/>
          <w:sz w:val="24"/>
          <w:szCs w:val="24"/>
          <w:vertAlign w:val="subscript"/>
        </w:rPr>
        <w:t>2</w:t>
      </w:r>
      <w:r>
        <w:rPr>
          <w:rFonts w:ascii="Times New Roman" w:hAnsi="Times New Roman"/>
          <w:sz w:val="24"/>
          <w:szCs w:val="24"/>
        </w:rPr>
        <w:t xml:space="preserve">(fold change) | &gt;=1 and </w:t>
      </w:r>
      <w:r>
        <w:rPr>
          <w:rFonts w:ascii="Times New Roman" w:hAnsi="Times New Roman"/>
          <w:i/>
          <w:iCs/>
          <w:sz w:val="24"/>
          <w:szCs w:val="24"/>
        </w:rPr>
        <w:t>P</w:t>
      </w:r>
      <w:r>
        <w:rPr>
          <w:rFonts w:ascii="Times New Roman" w:hAnsi="Times New Roman"/>
          <w:sz w:val="24"/>
          <w:szCs w:val="24"/>
        </w:rPr>
        <w:t xml:space="preserve"> &lt; 0.05. All the genes ordered in rank were used as input for GSEA analysis utilizing the </w:t>
      </w:r>
      <w:r>
        <w:rPr>
          <w:rFonts w:ascii="Times New Roman" w:hAnsi="Times New Roman"/>
          <w:i/>
          <w:iCs/>
          <w:sz w:val="24"/>
          <w:szCs w:val="24"/>
        </w:rPr>
        <w:t>clusterProfiler</w:t>
      </w:r>
      <w:r>
        <w:rPr>
          <w:rFonts w:ascii="Times New Roman" w:hAnsi="Times New Roman"/>
          <w:sz w:val="24"/>
          <w:szCs w:val="24"/>
        </w:rPr>
        <w:t xml:space="preserve"> R package. Hallmark genesets "h.all.v2023.1.Hs.symbols.gmt", </w:t>
      </w:r>
      <w:r>
        <w:rPr>
          <w:rStyle w:val="4"/>
          <w:rFonts w:ascii="Times New Roman" w:hAnsi="Times New Roman"/>
          <w:sz w:val="24"/>
          <w:szCs w:val="24"/>
        </w:rPr>
        <w:t>KEGG pathway "c2.cp.kegg.v2023.1.Hs.symbols.gmt", Reactome geneset "c2.cp.reactome.v2023.1.Hs.symbols.gmt",</w:t>
      </w:r>
      <w:r>
        <w:rPr>
          <w:rFonts w:ascii="Times New Roman" w:hAnsi="Times New Roman"/>
          <w:sz w:val="24"/>
          <w:szCs w:val="24"/>
        </w:rPr>
        <w:t xml:space="preserve"> and GO geneset "c5.all.v2023.2.Hs.symbols.gmt" from MSigdb were used for GSEA analysis.</w:t>
      </w:r>
      <w:r>
        <w:rPr>
          <w:rFonts w:hint="eastAsia" w:ascii="Times New Roman" w:hAnsi="Times New Roman"/>
          <w:sz w:val="24"/>
          <w:szCs w:val="24"/>
        </w:rPr>
        <w:t xml:space="preserve"> </w:t>
      </w:r>
      <w:r>
        <w:rPr>
          <w:rFonts w:ascii="Times New Roman" w:hAnsi="Times New Roman"/>
          <w:i/>
          <w:iCs/>
          <w:color w:val="000000" w:themeColor="text1"/>
          <w:sz w:val="24"/>
          <w14:textFill>
            <w14:solidFill>
              <w14:schemeClr w14:val="tx1"/>
            </w14:solidFill>
          </w14:textFill>
        </w:rPr>
        <w:t>P</w:t>
      </w:r>
      <w:r>
        <w:rPr>
          <w:rFonts w:ascii="Times New Roman" w:hAnsi="Times New Roman"/>
          <w:color w:val="000000" w:themeColor="text1"/>
          <w:sz w:val="24"/>
          <w14:textFill>
            <w14:solidFill>
              <w14:schemeClr w14:val="tx1"/>
            </w14:solidFill>
          </w14:textFill>
        </w:rPr>
        <w:t xml:space="preserve"> value&lt;0.05 was </w:t>
      </w:r>
      <w:r>
        <w:rPr>
          <w:rFonts w:ascii="Times New Roman" w:hAnsi="Times New Roman"/>
          <w:color w:val="000000"/>
          <w:sz w:val="24"/>
          <w:lang w:bidi="ar"/>
        </w:rPr>
        <w:t>regarded as significant.</w:t>
      </w:r>
    </w:p>
    <w:p>
      <w:pPr>
        <w:widowControl/>
        <w:spacing w:line="360" w:lineRule="auto"/>
        <w:rPr>
          <w:rFonts w:ascii="Times New Roman" w:hAnsi="Times New Roman"/>
          <w:b/>
          <w:bCs/>
          <w:color w:val="000000"/>
          <w:sz w:val="24"/>
        </w:rPr>
      </w:pPr>
      <w:r>
        <w:rPr>
          <w:rFonts w:ascii="Times New Roman" w:hAnsi="Times New Roman"/>
          <w:b/>
          <w:bCs/>
          <w:color w:val="000000"/>
          <w:sz w:val="24"/>
          <w:lang w:bidi="ar"/>
        </w:rPr>
        <w:t xml:space="preserve">Cell culture </w:t>
      </w:r>
    </w:p>
    <w:p>
      <w:pPr>
        <w:widowControl/>
        <w:spacing w:line="360" w:lineRule="auto"/>
        <w:rPr>
          <w:rFonts w:ascii="Times New Roman" w:hAnsi="Times New Roman"/>
          <w:color w:val="000000"/>
          <w:sz w:val="24"/>
          <w:lang w:bidi="ar"/>
        </w:rPr>
      </w:pPr>
      <w:r>
        <w:rPr>
          <w:rFonts w:hint="eastAsia" w:ascii="Times New Roman" w:hAnsi="Times New Roman"/>
          <w:color w:val="000000"/>
          <w:sz w:val="24"/>
          <w:lang w:bidi="ar"/>
        </w:rPr>
        <w:t>All the h</w:t>
      </w:r>
      <w:r>
        <w:rPr>
          <w:rFonts w:ascii="Times New Roman" w:hAnsi="Times New Roman"/>
          <w:color w:val="000000"/>
          <w:sz w:val="24"/>
          <w:lang w:bidi="ar"/>
        </w:rPr>
        <w:t>uman AML cells were obtained from</w:t>
      </w:r>
      <w:r>
        <w:rPr>
          <w:rFonts w:hint="eastAsia" w:ascii="Times New Roman" w:hAnsi="Times New Roman"/>
          <w:color w:val="000000"/>
          <w:sz w:val="24"/>
          <w:lang w:bidi="ar"/>
        </w:rPr>
        <w:t xml:space="preserve"> </w:t>
      </w:r>
      <w:r>
        <w:rPr>
          <w:rFonts w:ascii="Times New Roman" w:hAnsi="Times New Roman"/>
          <w:color w:val="000000"/>
          <w:sz w:val="24"/>
          <w:lang w:bidi="ar"/>
        </w:rPr>
        <w:t xml:space="preserve">the </w:t>
      </w:r>
      <w:r>
        <w:rPr>
          <w:rFonts w:hint="eastAsia" w:ascii="Times New Roman" w:hAnsi="Times New Roman"/>
          <w:color w:val="000000"/>
          <w:sz w:val="24"/>
          <w:lang w:bidi="ar"/>
        </w:rPr>
        <w:t xml:space="preserve">Shanghai Institute of Hematology. </w:t>
      </w:r>
      <w:r>
        <w:rPr>
          <w:rFonts w:ascii="Times New Roman" w:hAnsi="Times New Roman"/>
          <w:color w:val="000000"/>
          <w:sz w:val="24"/>
          <w:lang w:bidi="ar"/>
        </w:rPr>
        <w:t>NB4, HL</w:t>
      </w:r>
      <w:r>
        <w:rPr>
          <w:rFonts w:hint="eastAsia" w:ascii="Times New Roman" w:hAnsi="Times New Roman"/>
          <w:color w:val="000000"/>
          <w:sz w:val="24"/>
          <w:lang w:bidi="ar"/>
        </w:rPr>
        <w:t>-</w:t>
      </w:r>
      <w:r>
        <w:rPr>
          <w:rFonts w:ascii="Times New Roman" w:hAnsi="Times New Roman"/>
          <w:color w:val="000000"/>
          <w:sz w:val="24"/>
          <w:lang w:bidi="ar"/>
        </w:rPr>
        <w:t xml:space="preserve">60, MV-411, </w:t>
      </w:r>
      <w:r>
        <w:rPr>
          <w:rFonts w:hint="eastAsia" w:ascii="Times New Roman" w:hAnsi="Times New Roman"/>
          <w:color w:val="000000"/>
          <w:sz w:val="24"/>
          <w:lang w:bidi="ar"/>
        </w:rPr>
        <w:t>MOLM13</w:t>
      </w:r>
      <w:r>
        <w:rPr>
          <w:rFonts w:ascii="Times New Roman" w:hAnsi="Times New Roman"/>
          <w:color w:val="000000"/>
          <w:sz w:val="24"/>
          <w:lang w:bidi="ar"/>
        </w:rPr>
        <w:t>, U937, OCI-AML3, and SKNO</w:t>
      </w:r>
      <w:r>
        <w:rPr>
          <w:rFonts w:hint="eastAsia" w:ascii="Times New Roman" w:hAnsi="Times New Roman"/>
          <w:color w:val="000000"/>
          <w:sz w:val="24"/>
          <w:lang w:bidi="ar"/>
        </w:rPr>
        <w:t>-</w:t>
      </w:r>
      <w:r>
        <w:rPr>
          <w:rFonts w:ascii="Times New Roman" w:hAnsi="Times New Roman"/>
          <w:color w:val="000000"/>
          <w:sz w:val="24"/>
          <w:lang w:bidi="ar"/>
        </w:rPr>
        <w:t xml:space="preserve">1 were cultured in RPMI 1640 medium </w:t>
      </w:r>
      <w:bookmarkStart w:id="5" w:name="OLE_LINK127"/>
      <w:r>
        <w:rPr>
          <w:rFonts w:ascii="Times New Roman" w:hAnsi="Times New Roman"/>
          <w:color w:val="000000"/>
          <w:sz w:val="24"/>
          <w:lang w:bidi="ar"/>
        </w:rPr>
        <w:t xml:space="preserve">(BasalMedia, L210KJ) </w:t>
      </w:r>
      <w:bookmarkEnd w:id="5"/>
      <w:r>
        <w:rPr>
          <w:rFonts w:ascii="Times New Roman" w:hAnsi="Times New Roman"/>
          <w:color w:val="000000"/>
          <w:sz w:val="24"/>
          <w:lang w:bidi="ar"/>
        </w:rPr>
        <w:t>supplemented with 10% fetal bovine serum (FBS), 1× penicillin-streptomycin and 2 mM L-glutamine. K</w:t>
      </w:r>
      <w:r>
        <w:rPr>
          <w:rFonts w:hint="eastAsia" w:ascii="Times New Roman" w:hAnsi="Times New Roman"/>
          <w:color w:val="000000"/>
          <w:sz w:val="24"/>
          <w:lang w:bidi="ar"/>
        </w:rPr>
        <w:t>asumi</w:t>
      </w:r>
      <w:r>
        <w:rPr>
          <w:rFonts w:ascii="Times New Roman" w:hAnsi="Times New Roman"/>
          <w:color w:val="000000"/>
          <w:sz w:val="24"/>
          <w:lang w:bidi="ar"/>
        </w:rPr>
        <w:t xml:space="preserve">-1 was cultured in RPMI 1640 </w:t>
      </w:r>
      <w:bookmarkStart w:id="6" w:name="OLE_LINK128"/>
      <w:r>
        <w:rPr>
          <w:rFonts w:ascii="Times New Roman" w:hAnsi="Times New Roman"/>
          <w:color w:val="000000"/>
          <w:sz w:val="24"/>
          <w:lang w:bidi="ar"/>
        </w:rPr>
        <w:t xml:space="preserve">(BasalMedia, L210KJ) </w:t>
      </w:r>
      <w:bookmarkEnd w:id="6"/>
      <w:r>
        <w:rPr>
          <w:rFonts w:ascii="Times New Roman" w:hAnsi="Times New Roman"/>
          <w:color w:val="000000"/>
          <w:sz w:val="24"/>
          <w:lang w:bidi="ar"/>
        </w:rPr>
        <w:t xml:space="preserve">medium supplemented with 20% fetal bovine serum, 1× penicillin-streptomycin. OCI-AML2 </w:t>
      </w:r>
      <w:r>
        <w:rPr>
          <w:rFonts w:hint="eastAsia" w:ascii="Times New Roman" w:hAnsi="Times New Roman"/>
          <w:color w:val="000000"/>
          <w:sz w:val="24"/>
          <w:lang w:bidi="ar"/>
        </w:rPr>
        <w:t>was</w:t>
      </w:r>
      <w:r>
        <w:rPr>
          <w:rFonts w:ascii="Times New Roman" w:hAnsi="Times New Roman"/>
          <w:color w:val="000000"/>
          <w:sz w:val="24"/>
          <w:lang w:bidi="ar"/>
        </w:rPr>
        <w:t xml:space="preserve"> cultured in α-MEM medium (BasalMedia, L570KJ) supplemented with 20% fetal bovine serum and 1× </w:t>
      </w:r>
      <w:r>
        <w:rPr>
          <w:rFonts w:hint="eastAsia" w:ascii="Times New Roman" w:hAnsi="Times New Roman"/>
          <w:color w:val="000000"/>
          <w:sz w:val="24"/>
          <w:lang w:bidi="ar"/>
        </w:rPr>
        <w:t>penicillin–strep</w:t>
      </w:r>
      <w:r>
        <w:rPr>
          <w:rFonts w:ascii="Times New Roman" w:hAnsi="Times New Roman"/>
          <w:color w:val="000000"/>
          <w:sz w:val="24"/>
          <w:lang w:bidi="ar"/>
        </w:rPr>
        <w:t xml:space="preserve">tomycin. The cells were maintained in a humidified incubator at 37°C with 5% CO2. </w:t>
      </w:r>
    </w:p>
    <w:p>
      <w:pPr>
        <w:widowControl/>
        <w:spacing w:line="360" w:lineRule="auto"/>
        <w:rPr>
          <w:rFonts w:ascii="Times New Roman" w:hAnsi="Times New Roman"/>
          <w:b/>
          <w:bCs/>
          <w:color w:val="000000"/>
          <w:sz w:val="24"/>
        </w:rPr>
      </w:pPr>
      <w:r>
        <w:rPr>
          <w:rFonts w:ascii="Times New Roman" w:hAnsi="Times New Roman"/>
          <w:b/>
          <w:bCs/>
          <w:color w:val="000000"/>
          <w:sz w:val="24"/>
          <w:lang w:bidi="ar"/>
        </w:rPr>
        <w:t xml:space="preserve">Drug sensitivity assays </w:t>
      </w:r>
    </w:p>
    <w:p>
      <w:pPr>
        <w:widowControl/>
        <w:spacing w:line="360" w:lineRule="auto"/>
        <w:rPr>
          <w:rFonts w:ascii="Times New Roman" w:hAnsi="Times New Roman"/>
          <w:color w:val="000000"/>
          <w:sz w:val="24"/>
          <w:lang w:bidi="ar"/>
        </w:rPr>
      </w:pPr>
      <w:r>
        <w:rPr>
          <w:rFonts w:ascii="Times New Roman" w:hAnsi="Times New Roman"/>
          <w:color w:val="000000"/>
          <w:sz w:val="24"/>
          <w:lang w:bidi="ar"/>
        </w:rPr>
        <w:t>A panel of AML cell lines (HL-60, U937, OCI-AML3, K</w:t>
      </w:r>
      <w:r>
        <w:rPr>
          <w:rFonts w:hint="eastAsia" w:ascii="Times New Roman" w:hAnsi="Times New Roman"/>
          <w:color w:val="000000"/>
          <w:sz w:val="24"/>
          <w:lang w:bidi="ar"/>
        </w:rPr>
        <w:t>asumi-</w:t>
      </w:r>
      <w:r>
        <w:rPr>
          <w:rFonts w:ascii="Times New Roman" w:hAnsi="Times New Roman"/>
          <w:color w:val="000000"/>
          <w:sz w:val="24"/>
          <w:lang w:bidi="ar"/>
        </w:rPr>
        <w:t xml:space="preserve">1, ME1, NB4, </w:t>
      </w:r>
      <w:r>
        <w:rPr>
          <w:rFonts w:hint="eastAsia" w:ascii="Times New Roman" w:hAnsi="Times New Roman"/>
          <w:color w:val="000000"/>
          <w:sz w:val="24"/>
          <w:lang w:bidi="ar"/>
        </w:rPr>
        <w:t>MOLM13</w:t>
      </w:r>
      <w:r>
        <w:rPr>
          <w:rFonts w:ascii="Times New Roman" w:hAnsi="Times New Roman"/>
          <w:color w:val="000000" w:themeColor="text1"/>
          <w:sz w:val="24"/>
          <w:lang w:bidi="ar"/>
          <w14:textFill>
            <w14:solidFill>
              <w14:schemeClr w14:val="tx1"/>
            </w14:solidFill>
          </w14:textFill>
        </w:rPr>
        <w:t>,</w:t>
      </w:r>
      <w:r>
        <w:rPr>
          <w:rFonts w:ascii="Times New Roman" w:hAnsi="Times New Roman"/>
          <w:color w:val="FF0000"/>
          <w:sz w:val="24"/>
          <w:lang w:bidi="ar"/>
        </w:rPr>
        <w:t xml:space="preserve"> </w:t>
      </w:r>
      <w:r>
        <w:rPr>
          <w:rFonts w:ascii="Times New Roman" w:hAnsi="Times New Roman"/>
          <w:color w:val="000000"/>
          <w:sz w:val="24"/>
          <w:lang w:bidi="ar"/>
        </w:rPr>
        <w:t>OCI-AML2, K562) were exposed to varying concentrations of GDC-0941 (Selleckchem, S2065)</w:t>
      </w:r>
      <w:r>
        <w:rPr>
          <w:rFonts w:hint="eastAsia" w:ascii="Times New Roman" w:hAnsi="Times New Roman"/>
          <w:color w:val="000000"/>
          <w:sz w:val="24"/>
          <w:lang w:bidi="ar"/>
        </w:rPr>
        <w:t xml:space="preserve"> in 96-well plates at a density of </w:t>
      </w:r>
      <w:r>
        <w:rPr>
          <w:rFonts w:ascii="Times New Roman" w:hAnsi="Times New Roman"/>
          <w:color w:val="000000"/>
          <w:sz w:val="24"/>
          <w:lang w:bidi="ar"/>
        </w:rPr>
        <w:t>2</w:t>
      </w:r>
      <w:r>
        <w:rPr>
          <w:rFonts w:hint="eastAsia" w:ascii="Times New Roman" w:hAnsi="Times New Roman"/>
          <w:color w:val="000000"/>
          <w:sz w:val="24"/>
          <w:lang w:bidi="ar"/>
        </w:rPr>
        <w:t xml:space="preserve"> </w:t>
      </w:r>
      <w:r>
        <w:rPr>
          <w:rFonts w:ascii="Times New Roman" w:hAnsi="Times New Roman"/>
          <w:color w:val="000000"/>
          <w:sz w:val="24"/>
          <w:lang w:bidi="ar"/>
        </w:rPr>
        <w:t>×</w:t>
      </w:r>
      <w:r>
        <w:rPr>
          <w:rFonts w:hint="eastAsia" w:ascii="Times New Roman" w:hAnsi="Times New Roman"/>
          <w:color w:val="000000"/>
          <w:sz w:val="24"/>
          <w:lang w:bidi="ar"/>
        </w:rPr>
        <w:t xml:space="preserve"> </w:t>
      </w:r>
      <w:r>
        <w:rPr>
          <w:rFonts w:ascii="Times New Roman" w:hAnsi="Times New Roman"/>
          <w:color w:val="000000"/>
          <w:sz w:val="24"/>
          <w:lang w:bidi="ar"/>
        </w:rPr>
        <w:t>10</w:t>
      </w:r>
      <w:r>
        <w:rPr>
          <w:rFonts w:hint="eastAsia" w:ascii="Times New Roman" w:hAnsi="Times New Roman"/>
          <w:color w:val="000000"/>
          <w:sz w:val="24"/>
          <w:vertAlign w:val="superscript"/>
          <w:lang w:bidi="ar"/>
        </w:rPr>
        <w:t>4</w:t>
      </w:r>
      <w:r>
        <w:rPr>
          <w:rFonts w:ascii="Times New Roman" w:hAnsi="Times New Roman"/>
          <w:color w:val="000000"/>
          <w:sz w:val="24"/>
          <w:lang w:bidi="ar"/>
        </w:rPr>
        <w:t xml:space="preserve"> cells</w:t>
      </w:r>
      <w:r>
        <w:rPr>
          <w:rFonts w:hint="eastAsia" w:ascii="Times New Roman" w:hAnsi="Times New Roman"/>
          <w:color w:val="000000"/>
          <w:sz w:val="24"/>
          <w:lang w:bidi="ar"/>
        </w:rPr>
        <w:t xml:space="preserve"> per well</w:t>
      </w:r>
      <w:r>
        <w:rPr>
          <w:rFonts w:ascii="Times New Roman" w:hAnsi="Times New Roman"/>
          <w:color w:val="000000"/>
          <w:sz w:val="24"/>
          <w:lang w:bidi="ar"/>
        </w:rPr>
        <w:t>. The stock solutions of GDC-0941</w:t>
      </w:r>
      <w:r>
        <w:rPr>
          <w:rFonts w:hint="eastAsia" w:ascii="Times New Roman" w:hAnsi="Times New Roman"/>
          <w:color w:val="000000"/>
          <w:sz w:val="24"/>
          <w:lang w:bidi="ar"/>
        </w:rPr>
        <w:t xml:space="preserve"> </w:t>
      </w:r>
      <w:r>
        <w:rPr>
          <w:rFonts w:ascii="Times New Roman" w:hAnsi="Times New Roman"/>
          <w:color w:val="000000"/>
          <w:sz w:val="24"/>
          <w:lang w:bidi="ar"/>
        </w:rPr>
        <w:t>were dissolved in dimethyl sulfoxide to a 10</w:t>
      </w:r>
      <w:r>
        <w:rPr>
          <w:rFonts w:hint="eastAsia" w:ascii="Times New Roman" w:hAnsi="Times New Roman"/>
          <w:color w:val="000000"/>
          <w:sz w:val="24"/>
          <w:lang w:bidi="ar"/>
        </w:rPr>
        <w:t>m</w:t>
      </w:r>
      <w:r>
        <w:rPr>
          <w:rFonts w:ascii="Times New Roman" w:hAnsi="Times New Roman"/>
          <w:color w:val="000000"/>
          <w:sz w:val="24"/>
          <w:lang w:bidi="ar"/>
        </w:rPr>
        <w:t>M. After incubation</w:t>
      </w:r>
      <w:r>
        <w:rPr>
          <w:rFonts w:hint="eastAsia" w:ascii="Times New Roman" w:hAnsi="Times New Roman"/>
          <w:color w:val="000000"/>
          <w:sz w:val="24"/>
          <w:lang w:bidi="ar"/>
        </w:rPr>
        <w:t xml:space="preserve"> for </w:t>
      </w:r>
      <w:r>
        <w:rPr>
          <w:rFonts w:ascii="Times New Roman" w:hAnsi="Times New Roman"/>
          <w:color w:val="000000"/>
          <w:sz w:val="24"/>
          <w:lang w:bidi="ar"/>
        </w:rPr>
        <w:t xml:space="preserve">48h, cell viability was assessed using the </w:t>
      </w:r>
      <w:r>
        <w:rPr>
          <w:rFonts w:hint="eastAsia" w:ascii="Times New Roman" w:hAnsi="Times New Roman"/>
          <w:color w:val="000000"/>
          <w:sz w:val="24"/>
          <w:lang w:bidi="ar"/>
        </w:rPr>
        <w:t>Cell Counting Kit-8 (</w:t>
      </w:r>
      <w:r>
        <w:rPr>
          <w:rFonts w:ascii="Times New Roman" w:hAnsi="Times New Roman"/>
          <w:color w:val="000000"/>
          <w:sz w:val="24"/>
          <w:lang w:bidi="ar"/>
        </w:rPr>
        <w:t>CCK-8</w:t>
      </w:r>
      <w:r>
        <w:rPr>
          <w:rFonts w:hint="eastAsia" w:ascii="Times New Roman" w:hAnsi="Times New Roman"/>
          <w:color w:val="000000"/>
          <w:sz w:val="24"/>
          <w:lang w:bidi="ar"/>
        </w:rPr>
        <w:t>) (Dojindo). 10ul CCK</w:t>
      </w:r>
      <w:r>
        <w:rPr>
          <w:rFonts w:ascii="Times New Roman" w:hAnsi="Times New Roman"/>
          <w:color w:val="000000"/>
          <w:sz w:val="24"/>
          <w:lang w:bidi="ar"/>
        </w:rPr>
        <w:t>-</w:t>
      </w:r>
      <w:r>
        <w:rPr>
          <w:rFonts w:hint="eastAsia" w:ascii="Times New Roman" w:hAnsi="Times New Roman"/>
          <w:color w:val="000000"/>
          <w:sz w:val="24"/>
          <w:lang w:bidi="ar"/>
        </w:rPr>
        <w:t>8</w:t>
      </w:r>
      <w:r>
        <w:rPr>
          <w:rFonts w:ascii="Times New Roman" w:hAnsi="Times New Roman"/>
          <w:color w:val="000000"/>
          <w:sz w:val="24"/>
          <w:lang w:bidi="ar"/>
        </w:rPr>
        <w:t xml:space="preserve"> solution was added to </w:t>
      </w:r>
      <w:r>
        <w:rPr>
          <w:rFonts w:hint="eastAsia" w:ascii="Times New Roman" w:hAnsi="Times New Roman"/>
          <w:color w:val="000000"/>
          <w:sz w:val="24"/>
          <w:lang w:bidi="ar"/>
        </w:rPr>
        <w:t>96</w:t>
      </w:r>
      <w:r>
        <w:rPr>
          <w:rFonts w:ascii="Times New Roman" w:hAnsi="Times New Roman"/>
          <w:color w:val="000000"/>
          <w:sz w:val="24"/>
          <w:lang w:bidi="ar"/>
        </w:rPr>
        <w:t xml:space="preserve"> well</w:t>
      </w:r>
      <w:r>
        <w:rPr>
          <w:rFonts w:hint="eastAsia" w:ascii="Times New Roman" w:hAnsi="Times New Roman"/>
          <w:color w:val="000000"/>
          <w:sz w:val="24"/>
          <w:lang w:bidi="ar"/>
        </w:rPr>
        <w:t xml:space="preserve"> plates with the </w:t>
      </w:r>
      <w:r>
        <w:rPr>
          <w:rFonts w:ascii="Times New Roman" w:hAnsi="Times New Roman"/>
          <w:color w:val="000000"/>
          <w:sz w:val="24"/>
          <w:lang w:bidi="ar"/>
        </w:rPr>
        <w:t xml:space="preserve">cells </w:t>
      </w:r>
      <w:r>
        <w:rPr>
          <w:rFonts w:hint="eastAsia" w:ascii="Times New Roman" w:hAnsi="Times New Roman"/>
          <w:color w:val="000000"/>
          <w:sz w:val="24"/>
          <w:lang w:bidi="ar"/>
        </w:rPr>
        <w:t xml:space="preserve">and </w:t>
      </w:r>
      <w:r>
        <w:rPr>
          <w:rFonts w:ascii="Times New Roman" w:hAnsi="Times New Roman"/>
          <w:color w:val="000000"/>
          <w:sz w:val="24"/>
          <w:lang w:bidi="ar"/>
        </w:rPr>
        <w:t>further incubated at 37</w:t>
      </w:r>
      <w:r>
        <w:rPr>
          <w:rFonts w:hint="eastAsia" w:ascii="Times New Roman" w:hAnsi="Times New Roman"/>
          <w:color w:val="000000"/>
          <w:sz w:val="24"/>
          <w:lang w:bidi="ar"/>
        </w:rPr>
        <w:t xml:space="preserve"> ℃</w:t>
      </w:r>
      <w:r>
        <w:rPr>
          <w:rFonts w:ascii="Times New Roman" w:hAnsi="Times New Roman"/>
          <w:color w:val="000000"/>
          <w:sz w:val="24"/>
          <w:lang w:bidi="ar"/>
        </w:rPr>
        <w:t>, 5% CO2 for 4 h. Then, the absorbance</w:t>
      </w:r>
      <w:r>
        <w:rPr>
          <w:rFonts w:hint="eastAsia" w:ascii="Times New Roman" w:hAnsi="Times New Roman"/>
          <w:color w:val="000000"/>
          <w:sz w:val="24"/>
          <w:lang w:bidi="ar"/>
        </w:rPr>
        <w:t xml:space="preserve"> of the </w:t>
      </w:r>
      <w:r>
        <w:rPr>
          <w:rFonts w:ascii="Times New Roman" w:hAnsi="Times New Roman"/>
          <w:color w:val="000000"/>
          <w:sz w:val="24"/>
          <w:lang w:bidi="ar"/>
        </w:rPr>
        <w:t xml:space="preserve">samples </w:t>
      </w:r>
      <w:r>
        <w:rPr>
          <w:rFonts w:hint="eastAsia" w:ascii="Times New Roman" w:hAnsi="Times New Roman"/>
          <w:color w:val="000000"/>
          <w:sz w:val="24"/>
          <w:lang w:bidi="ar"/>
        </w:rPr>
        <w:t xml:space="preserve">was measured </w:t>
      </w:r>
      <w:r>
        <w:rPr>
          <w:rFonts w:ascii="Times New Roman" w:hAnsi="Times New Roman"/>
          <w:color w:val="000000"/>
          <w:sz w:val="24"/>
          <w:lang w:bidi="ar"/>
        </w:rPr>
        <w:t>at 4</w:t>
      </w:r>
      <w:r>
        <w:rPr>
          <w:rFonts w:hint="eastAsia" w:ascii="Times New Roman" w:hAnsi="Times New Roman"/>
          <w:color w:val="000000"/>
          <w:sz w:val="24"/>
          <w:lang w:bidi="ar"/>
        </w:rPr>
        <w:t>5</w:t>
      </w:r>
      <w:r>
        <w:rPr>
          <w:rFonts w:ascii="Times New Roman" w:hAnsi="Times New Roman"/>
          <w:color w:val="000000"/>
          <w:sz w:val="24"/>
          <w:lang w:bidi="ar"/>
        </w:rPr>
        <w:t>0 nm.</w:t>
      </w:r>
      <w:r>
        <w:rPr>
          <w:rFonts w:hint="eastAsia" w:ascii="Times New Roman" w:hAnsi="Times New Roman"/>
          <w:color w:val="000000"/>
          <w:sz w:val="24"/>
          <w:lang w:bidi="ar"/>
        </w:rPr>
        <w:t xml:space="preserve"> </w:t>
      </w:r>
      <w:r>
        <w:rPr>
          <w:rFonts w:ascii="Times New Roman" w:hAnsi="Times New Roman"/>
          <w:color w:val="000000"/>
          <w:sz w:val="24"/>
          <w:lang w:bidi="ar"/>
        </w:rPr>
        <w:t xml:space="preserve">The RNA-Seq data of AML cell lines were downloaded from the Cancer Cell Line Encyclopedia (CCLE) (https://sites.broadinstitute.org/ccle/datasets) and the risk scores were calculated according to the </w:t>
      </w:r>
      <w:r>
        <w:rPr>
          <w:rFonts w:hint="eastAsia" w:ascii="Times New Roman" w:hAnsi="Times New Roman"/>
          <w:color w:val="000000"/>
          <w:sz w:val="24"/>
          <w:lang w:eastAsia="zh-CN" w:bidi="ar"/>
        </w:rPr>
        <w:t>NAGM8</w:t>
      </w:r>
      <w:r>
        <w:rPr>
          <w:rFonts w:ascii="Times New Roman" w:hAnsi="Times New Roman"/>
          <w:color w:val="000000"/>
          <w:sz w:val="24"/>
          <w:lang w:bidi="ar"/>
        </w:rPr>
        <w:t xml:space="preserve"> equation. Pearson's regression analysis was conducted to examine the correlation between risk scores and IC50 values. </w:t>
      </w:r>
      <w:r>
        <w:rPr>
          <w:rFonts w:ascii="Times New Roman" w:hAnsi="Times New Roman"/>
          <w:i/>
          <w:iCs/>
          <w:color w:val="000000"/>
          <w:sz w:val="24"/>
          <w:lang w:bidi="ar"/>
        </w:rPr>
        <w:t>P</w:t>
      </w:r>
      <w:r>
        <w:rPr>
          <w:rFonts w:ascii="Times New Roman" w:hAnsi="Times New Roman"/>
          <w:color w:val="000000"/>
          <w:sz w:val="24"/>
          <w:lang w:bidi="ar"/>
        </w:rPr>
        <w:t xml:space="preserve"> value &lt;0.05 was regarded as statistically significant.</w:t>
      </w:r>
    </w:p>
    <w:p>
      <w:pPr>
        <w:widowControl/>
        <w:spacing w:line="360" w:lineRule="auto"/>
        <w:rPr>
          <w:rFonts w:ascii="Times New Roman" w:hAnsi="Times New Roman"/>
          <w:b/>
          <w:bCs/>
          <w:color w:val="000000"/>
          <w:sz w:val="24"/>
        </w:rPr>
      </w:pPr>
      <w:r>
        <w:rPr>
          <w:rFonts w:ascii="Times New Roman" w:hAnsi="Times New Roman"/>
          <w:b/>
          <w:bCs/>
          <w:color w:val="000000"/>
          <w:sz w:val="24"/>
          <w:lang w:bidi="ar"/>
        </w:rPr>
        <w:t>Functional experiments in AML cell lines</w:t>
      </w:r>
    </w:p>
    <w:p>
      <w:pPr>
        <w:widowControl/>
        <w:spacing w:line="360" w:lineRule="auto"/>
        <w:rPr>
          <w:rFonts w:ascii="Times New Roman" w:hAnsi="Times New Roman"/>
          <w:color w:val="000000"/>
          <w:sz w:val="24"/>
          <w:lang w:bidi="ar"/>
        </w:rPr>
      </w:pPr>
      <w:r>
        <w:rPr>
          <w:rFonts w:ascii="Times New Roman" w:hAnsi="Times New Roman"/>
          <w:color w:val="000000"/>
          <w:sz w:val="24"/>
          <w:lang w:bidi="ar"/>
        </w:rPr>
        <w:t xml:space="preserve">To achieve knockdown of the </w:t>
      </w:r>
      <w:r>
        <w:rPr>
          <w:rFonts w:hint="default" w:ascii="Times New Roman Italic" w:hAnsi="Times New Roman Italic" w:cs="Times New Roman Italic"/>
          <w:i/>
          <w:iCs/>
          <w:color w:val="000000"/>
          <w:sz w:val="24"/>
          <w:lang w:bidi="ar"/>
        </w:rPr>
        <w:t>SLC25A51</w:t>
      </w:r>
      <w:r>
        <w:rPr>
          <w:rFonts w:ascii="Times New Roman" w:hAnsi="Times New Roman"/>
          <w:color w:val="000000"/>
          <w:sz w:val="24"/>
          <w:lang w:bidi="ar"/>
        </w:rPr>
        <w:t xml:space="preserve"> gene, we constructed a pLVX plasmid carrying shRNA (shRNA sequences are: TRCN0000230321, </w:t>
      </w:r>
      <w:bookmarkStart w:id="7" w:name="OLE_LINK123"/>
      <w:r>
        <w:rPr>
          <w:rFonts w:ascii="Times New Roman" w:hAnsi="Times New Roman"/>
          <w:color w:val="000000"/>
          <w:sz w:val="24"/>
          <w:lang w:bidi="ar"/>
        </w:rPr>
        <w:t>Forward sequence:</w:t>
      </w:r>
      <w:bookmarkEnd w:id="7"/>
      <w:r>
        <w:rPr>
          <w:rFonts w:ascii="Times New Roman" w:hAnsi="Times New Roman"/>
          <w:color w:val="000000"/>
          <w:sz w:val="24"/>
          <w:lang w:bidi="ar"/>
        </w:rPr>
        <w:t xml:space="preserve"> GATCCGCATGGAATTGGAGAGTATTATTTCAAGAGAGTACCTTAACCTCTCATAATATTTTTTG, </w:t>
      </w:r>
      <w:bookmarkStart w:id="8" w:name="OLE_LINK124"/>
      <w:r>
        <w:rPr>
          <w:rFonts w:ascii="Times New Roman" w:hAnsi="Times New Roman"/>
          <w:color w:val="000000"/>
          <w:sz w:val="24"/>
          <w:lang w:bidi="ar"/>
        </w:rPr>
        <w:t>Reverse sequence</w:t>
      </w:r>
      <w:bookmarkEnd w:id="8"/>
      <w:r>
        <w:rPr>
          <w:rFonts w:ascii="Times New Roman" w:hAnsi="Times New Roman"/>
          <w:color w:val="000000"/>
          <w:sz w:val="24"/>
          <w:lang w:bidi="ar"/>
        </w:rPr>
        <w:t>: AATTCAAAAAACATGGAATTGGAGAGTATTATTCTCTTGAAGTACCTTAACCTCTCATAATACG). The p</w:t>
      </w:r>
      <w:r>
        <w:rPr>
          <w:rFonts w:hint="eastAsia" w:ascii="Times New Roman" w:hAnsi="Times New Roman"/>
          <w:color w:val="000000"/>
          <w:sz w:val="24"/>
          <w:lang w:bidi="ar"/>
        </w:rPr>
        <w:t>LVX</w:t>
      </w:r>
      <w:r>
        <w:rPr>
          <w:rFonts w:ascii="Times New Roman" w:hAnsi="Times New Roman"/>
          <w:color w:val="000000"/>
          <w:sz w:val="24"/>
          <w:lang w:bidi="ar"/>
        </w:rPr>
        <w:t xml:space="preserve"> plasmid</w:t>
      </w:r>
      <w:r>
        <w:rPr>
          <w:rFonts w:hint="eastAsia" w:ascii="Times New Roman" w:hAnsi="Times New Roman"/>
          <w:color w:val="000000"/>
          <w:sz w:val="24"/>
          <w:lang w:bidi="ar"/>
        </w:rPr>
        <w:t xml:space="preserve"> (with GFP)</w:t>
      </w:r>
      <w:r>
        <w:rPr>
          <w:rFonts w:ascii="Times New Roman" w:hAnsi="Times New Roman"/>
          <w:color w:val="000000"/>
          <w:sz w:val="24"/>
          <w:lang w:bidi="ar"/>
        </w:rPr>
        <w:t xml:space="preserve">, along with psPAX2 and pMD2.G plasmids, were co-transfected into HEK293T cells using lipofectamine 2000 (Invitrogen, 11668027). The supernatant was collected at 24h and 48h post-transfection to obtain the viral particles. To generate stable knockdown cell lines, the THP-1 and U937 cells were seeded at 2 × 10^5 cells/well in 6-well plates and infected with 2ml lentiviral supernatant </w:t>
      </w:r>
      <w:r>
        <w:rPr>
          <w:rFonts w:hint="eastAsia" w:ascii="Times New Roman" w:hAnsi="Times New Roman"/>
          <w:color w:val="000000"/>
          <w:sz w:val="24"/>
          <w:lang w:bidi="ar"/>
        </w:rPr>
        <w:t>in</w:t>
      </w:r>
      <w:r>
        <w:rPr>
          <w:rFonts w:ascii="Times New Roman" w:hAnsi="Times New Roman"/>
          <w:color w:val="000000"/>
          <w:sz w:val="24"/>
          <w:lang w:bidi="ar"/>
        </w:rPr>
        <w:t xml:space="preserve"> the presence of 8 μg/ul polybrene (Sigma-Aldrich, TR-1003) at 1200g for 90 minutes , at 30°C–32°C. After 48 hours, GFP positivity was assessed by flow cytometry to determine transduction efficiency. RNA and protein were extracted to evaluate the knockdown efficiency through quantitative methods. At 72 hours post-transduction, flow cytometry was employed to assess the apoptosis (Invitrogen™ eBioscience™ Annexin V Apoptosis Detection Kits) and cell cycle distribution (Cell Cycle Staining Kit, Multi Science). Cell proliferation was monitored for four consecutive days using the CCK-8 assay (Cell Counting Kit-8, DOJINDO). Cells were seeded into 96-well </w:t>
      </w:r>
      <w:r>
        <w:rPr>
          <w:rFonts w:hint="eastAsia" w:ascii="Times New Roman" w:hAnsi="Times New Roman"/>
          <w:color w:val="000000"/>
          <w:sz w:val="24"/>
          <w:lang w:bidi="ar"/>
        </w:rPr>
        <w:t>plates</w:t>
      </w:r>
      <w:r>
        <w:rPr>
          <w:rFonts w:ascii="Times New Roman" w:hAnsi="Times New Roman"/>
          <w:color w:val="000000"/>
          <w:sz w:val="24"/>
          <w:lang w:bidi="ar"/>
        </w:rPr>
        <w:t xml:space="preserve"> at 2000 cells/well</w:t>
      </w:r>
      <w:r>
        <w:rPr>
          <w:rFonts w:hint="eastAsia" w:ascii="Times New Roman" w:hAnsi="Times New Roman"/>
          <w:color w:val="000000"/>
          <w:sz w:val="24"/>
          <w:lang w:bidi="ar"/>
        </w:rPr>
        <w:t>,</w:t>
      </w:r>
      <w:r>
        <w:rPr>
          <w:rFonts w:ascii="Times New Roman" w:hAnsi="Times New Roman"/>
          <w:color w:val="000000"/>
          <w:sz w:val="24"/>
          <w:lang w:bidi="ar"/>
        </w:rPr>
        <w:t xml:space="preserve"> and at </w:t>
      </w:r>
      <w:bookmarkStart w:id="9" w:name="OLE_LINK129"/>
      <w:r>
        <w:rPr>
          <w:rFonts w:ascii="Times New Roman" w:hAnsi="Times New Roman"/>
          <w:color w:val="000000"/>
          <w:sz w:val="24"/>
          <w:lang w:bidi="ar"/>
        </w:rPr>
        <w:t>0, 1, 2, 3 and 4 days,</w:t>
      </w:r>
      <w:bookmarkEnd w:id="9"/>
      <w:r>
        <w:rPr>
          <w:rFonts w:ascii="Times New Roman" w:hAnsi="Times New Roman"/>
          <w:color w:val="000000"/>
          <w:sz w:val="24"/>
          <w:lang w:bidi="ar"/>
        </w:rPr>
        <w:t xml:space="preserve"> CCK-8 was added to each well and incubated at 37 °C for 4h. Then the optical densities (ODs) were measured at 450 nm. </w:t>
      </w:r>
    </w:p>
    <w:p>
      <w:pPr>
        <w:widowControl/>
        <w:spacing w:line="360" w:lineRule="auto"/>
        <w:rPr>
          <w:rFonts w:ascii="Times New Roman Bold" w:hAnsi="Times New Roman Bold" w:cs="Times New Roman Bold"/>
          <w:b/>
          <w:bCs/>
          <w:color w:val="000000"/>
          <w:sz w:val="24"/>
          <w:lang w:bidi="ar"/>
        </w:rPr>
      </w:pPr>
      <w:r>
        <w:rPr>
          <w:rFonts w:ascii="Times New Roman Bold" w:hAnsi="Times New Roman Bold" w:cs="Times New Roman Bold"/>
          <w:b/>
          <w:bCs/>
          <w:color w:val="000000"/>
          <w:sz w:val="24"/>
          <w:lang w:bidi="ar"/>
        </w:rPr>
        <w:t>RNA extraction and Quantitative Real-Time PCR (qRT-PCR)</w:t>
      </w:r>
    </w:p>
    <w:p>
      <w:pPr>
        <w:widowControl/>
        <w:spacing w:line="360" w:lineRule="auto"/>
        <w:rPr>
          <w:rFonts w:ascii="Times New Roman" w:hAnsi="Times New Roman"/>
          <w:color w:val="000000"/>
          <w:sz w:val="24"/>
          <w:lang w:bidi="ar"/>
        </w:rPr>
      </w:pPr>
      <w:r>
        <w:rPr>
          <w:rFonts w:ascii="Times New Roman" w:hAnsi="Times New Roman"/>
          <w:color w:val="000000"/>
          <w:sz w:val="24"/>
          <w:lang w:bidi="ar"/>
        </w:rPr>
        <w:t xml:space="preserve">Total RNA was isolated from </w:t>
      </w:r>
      <w:r>
        <w:rPr>
          <w:rFonts w:hint="eastAsia" w:ascii="Times New Roman" w:hAnsi="Times New Roman"/>
          <w:color w:val="000000"/>
          <w:sz w:val="24"/>
          <w:lang w:bidi="ar"/>
        </w:rPr>
        <w:t>AML cell lines</w:t>
      </w:r>
      <w:r>
        <w:rPr>
          <w:rFonts w:ascii="Times New Roman" w:hAnsi="Times New Roman"/>
          <w:color w:val="000000"/>
          <w:sz w:val="24"/>
          <w:lang w:bidi="ar"/>
        </w:rPr>
        <w:t xml:space="preserve"> using </w:t>
      </w:r>
      <w:r>
        <w:rPr>
          <w:rFonts w:hint="eastAsia" w:ascii="Times New Roman" w:hAnsi="Times New Roman"/>
          <w:color w:val="000000"/>
          <w:sz w:val="24"/>
          <w:lang w:bidi="ar"/>
        </w:rPr>
        <w:t>the</w:t>
      </w:r>
      <w:r>
        <w:rPr>
          <w:rFonts w:ascii="Times New Roman" w:hAnsi="Times New Roman"/>
          <w:color w:val="000000"/>
          <w:sz w:val="24"/>
          <w:lang w:bidi="ar"/>
        </w:rPr>
        <w:t xml:space="preserve"> </w:t>
      </w:r>
      <w:r>
        <w:rPr>
          <w:rFonts w:hint="eastAsia" w:ascii="Times New Roman" w:hAnsi="Times New Roman"/>
          <w:color w:val="000000"/>
          <w:sz w:val="24"/>
          <w:lang w:bidi="ar"/>
        </w:rPr>
        <w:t>EZ-press RNA Purification Kit (</w:t>
      </w:r>
      <w:r>
        <w:rPr>
          <w:rFonts w:ascii="Times New Roman Italic" w:hAnsi="Times New Roman Italic" w:cs="Times New Roman Italic"/>
          <w:i/>
          <w:iCs/>
          <w:color w:val="000000"/>
          <w:sz w:val="24"/>
          <w:lang w:bidi="ar"/>
        </w:rPr>
        <w:t>EZ</w:t>
      </w:r>
      <w:r>
        <w:rPr>
          <w:rFonts w:hint="eastAsia" w:ascii="Times New Roman" w:hAnsi="Times New Roman"/>
          <w:color w:val="000000"/>
          <w:sz w:val="24"/>
          <w:lang w:bidi="ar"/>
        </w:rPr>
        <w:t>bioscience) and then</w:t>
      </w:r>
      <w:r>
        <w:rPr>
          <w:rFonts w:ascii="Times New Roman" w:hAnsi="Times New Roman"/>
          <w:color w:val="000000"/>
          <w:sz w:val="24"/>
          <w:lang w:bidi="ar"/>
        </w:rPr>
        <w:t xml:space="preserve"> reverse</w:t>
      </w:r>
      <w:r>
        <w:rPr>
          <w:rFonts w:hint="eastAsia" w:ascii="Times New Roman" w:hAnsi="Times New Roman"/>
          <w:color w:val="000000"/>
          <w:sz w:val="24"/>
          <w:lang w:bidi="ar"/>
        </w:rPr>
        <w:t>ly</w:t>
      </w:r>
      <w:r>
        <w:rPr>
          <w:rFonts w:ascii="Times New Roman" w:hAnsi="Times New Roman"/>
          <w:color w:val="000000"/>
          <w:sz w:val="24"/>
          <w:lang w:bidi="ar"/>
        </w:rPr>
        <w:t xml:space="preserve"> transcribed into complementary DNA (cDNA) according to the manufacturer's protocol using a HiScript® III RT SuperMix for qPCR (+gDNA wiper) (</w:t>
      </w:r>
      <w:r>
        <w:rPr>
          <w:rFonts w:hint="eastAsia" w:ascii="Times New Roman" w:hAnsi="Times New Roman"/>
          <w:color w:val="000000"/>
          <w:sz w:val="24"/>
          <w:lang w:bidi="ar"/>
        </w:rPr>
        <w:t>Vazyme</w:t>
      </w:r>
      <w:r>
        <w:rPr>
          <w:rFonts w:ascii="Times New Roman" w:hAnsi="Times New Roman"/>
          <w:color w:val="000000"/>
          <w:sz w:val="24"/>
          <w:lang w:bidi="ar"/>
        </w:rPr>
        <w:t>).</w:t>
      </w:r>
      <w:r>
        <w:rPr>
          <w:rFonts w:hint="eastAsia" w:ascii="Times New Roman" w:hAnsi="Times New Roman"/>
          <w:color w:val="000000"/>
          <w:sz w:val="24"/>
          <w:lang w:bidi="ar"/>
        </w:rPr>
        <w:t xml:space="preserve"> </w:t>
      </w:r>
      <w:r>
        <w:rPr>
          <w:rFonts w:ascii="Times New Roman" w:hAnsi="Times New Roman"/>
          <w:color w:val="000000"/>
          <w:sz w:val="24"/>
          <w:lang w:bidi="ar"/>
        </w:rPr>
        <w:t>qRT-PCR was performed with the</w:t>
      </w:r>
      <w:r>
        <w:rPr>
          <w:rFonts w:ascii="Times New Roman" w:hAnsi="Times New Roman"/>
          <w:color w:val="FF0000"/>
          <w:sz w:val="24"/>
          <w:lang w:bidi="ar"/>
        </w:rPr>
        <w:t xml:space="preserve"> </w:t>
      </w:r>
      <w:r>
        <w:rPr>
          <w:rFonts w:ascii="Times New Roman" w:hAnsi="Times New Roman"/>
          <w:color w:val="000000"/>
          <w:sz w:val="24"/>
          <w:lang w:bidi="ar"/>
        </w:rPr>
        <w:t>ChamQ Universal SYBR qPCR Master Mix (</w:t>
      </w:r>
      <w:r>
        <w:rPr>
          <w:rFonts w:hint="eastAsia" w:ascii="Times New Roman" w:hAnsi="Times New Roman"/>
          <w:color w:val="000000"/>
          <w:sz w:val="24"/>
          <w:lang w:bidi="ar"/>
        </w:rPr>
        <w:t>Vazyme</w:t>
      </w:r>
      <w:r>
        <w:rPr>
          <w:rFonts w:ascii="Times New Roman" w:hAnsi="Times New Roman"/>
          <w:color w:val="000000"/>
          <w:sz w:val="24"/>
          <w:lang w:bidi="ar"/>
        </w:rPr>
        <w:t xml:space="preserve">). The primers used for qRT-PCR are as follows: </w:t>
      </w:r>
      <w:r>
        <w:rPr>
          <w:rFonts w:hint="eastAsia" w:ascii="Times New Roman" w:hAnsi="Times New Roman"/>
          <w:color w:val="000000"/>
          <w:sz w:val="24"/>
          <w:lang w:bidi="ar"/>
        </w:rPr>
        <w:t>SLC25A51</w:t>
      </w:r>
      <w:r>
        <w:rPr>
          <w:rFonts w:ascii="Times New Roman" w:hAnsi="Times New Roman"/>
          <w:color w:val="000000"/>
          <w:sz w:val="24"/>
          <w:lang w:bidi="ar"/>
        </w:rPr>
        <w:t xml:space="preserve">: </w:t>
      </w:r>
      <w:bookmarkStart w:id="10" w:name="OLE_LINK125"/>
      <w:r>
        <w:rPr>
          <w:rFonts w:ascii="Times New Roman" w:hAnsi="Times New Roman"/>
          <w:color w:val="000000"/>
          <w:sz w:val="24"/>
          <w:lang w:bidi="ar"/>
        </w:rPr>
        <w:t>Forward sequence,</w:t>
      </w:r>
      <w:bookmarkEnd w:id="10"/>
      <w:r>
        <w:rPr>
          <w:rFonts w:ascii="Times New Roman" w:hAnsi="Times New Roman"/>
          <w:color w:val="000000"/>
          <w:sz w:val="24"/>
          <w:lang w:bidi="ar"/>
        </w:rPr>
        <w:t xml:space="preserve"> 5’-GGACGCCGGCGCTGAT-3’, </w:t>
      </w:r>
      <w:bookmarkStart w:id="11" w:name="OLE_LINK126"/>
      <w:r>
        <w:rPr>
          <w:rFonts w:ascii="Times New Roman" w:hAnsi="Times New Roman"/>
          <w:color w:val="000000"/>
          <w:sz w:val="24"/>
          <w:lang w:bidi="ar"/>
        </w:rPr>
        <w:t xml:space="preserve">Reverse sequence, </w:t>
      </w:r>
      <w:bookmarkEnd w:id="11"/>
      <w:r>
        <w:rPr>
          <w:rFonts w:ascii="Times New Roman" w:hAnsi="Times New Roman"/>
          <w:color w:val="000000"/>
          <w:sz w:val="24"/>
          <w:lang w:bidi="ar"/>
        </w:rPr>
        <w:t>5’-GCTTCTGAATCCATCATGCTGCT-3’; GAPDH: Forward sequence, 5’-GAAGGTGAAGGTCGGAGTC-3’; Reverse sequence, 5’-GAAGATGGTGATGGGATTTC-3’. GAPDH was used as the internal control.</w:t>
      </w:r>
    </w:p>
    <w:p>
      <w:pPr>
        <w:widowControl/>
        <w:spacing w:line="360" w:lineRule="auto"/>
        <w:rPr>
          <w:rFonts w:ascii="Times New Roman" w:hAnsi="Times New Roman"/>
          <w:b/>
          <w:bCs/>
          <w:color w:val="000000"/>
          <w:sz w:val="24"/>
        </w:rPr>
      </w:pPr>
      <w:r>
        <w:rPr>
          <w:rFonts w:ascii="Times New Roman" w:hAnsi="Times New Roman"/>
          <w:b/>
          <w:bCs/>
          <w:color w:val="000000"/>
          <w:sz w:val="24"/>
          <w:lang w:bidi="ar"/>
        </w:rPr>
        <w:t>Statistical analyses</w:t>
      </w:r>
    </w:p>
    <w:p>
      <w:pPr>
        <w:widowControl/>
        <w:spacing w:line="360" w:lineRule="auto"/>
        <w:rPr>
          <w:rFonts w:ascii="Times New Roman" w:hAnsi="Times New Roman"/>
          <w:color w:val="000000"/>
          <w:sz w:val="24"/>
        </w:rPr>
      </w:pPr>
      <w:r>
        <w:rPr>
          <w:rFonts w:ascii="Times New Roman" w:hAnsi="Times New Roman"/>
          <w:color w:val="000000"/>
          <w:sz w:val="24"/>
          <w:lang w:bidi="ar"/>
        </w:rPr>
        <w:t xml:space="preserve">The statistical analyses in this study were conducted by R 4.3.1. For the statistical significance estimation of clinical characteristics and outcome, the Student’s t-test was applied for normally distributed quantitative data, the Wilcoxon test for non-normally distributed continuous variables, and the Fisher's exact test was utilized for categorical data. The Cochran-Mantel-Haenszel (CMH) test was employed to assess unidirectional ordered contingency tables. The mutational profile was analyzed via the </w:t>
      </w:r>
      <w:r>
        <w:rPr>
          <w:rFonts w:ascii="Times New Roman" w:hAnsi="Times New Roman"/>
          <w:i/>
          <w:iCs/>
          <w:color w:val="000000"/>
          <w:sz w:val="24"/>
          <w:lang w:bidi="ar"/>
        </w:rPr>
        <w:t xml:space="preserve">maftools </w:t>
      </w:r>
      <w:r>
        <w:rPr>
          <w:rFonts w:ascii="Times New Roman" w:hAnsi="Times New Roman"/>
          <w:color w:val="000000"/>
          <w:sz w:val="24"/>
          <w:lang w:bidi="ar"/>
        </w:rPr>
        <w:t xml:space="preserve">package. The mutation waterfall plot was drawn using the R package </w:t>
      </w:r>
      <w:r>
        <w:rPr>
          <w:rFonts w:ascii="Times New Roman" w:hAnsi="Times New Roman"/>
          <w:i/>
          <w:iCs/>
          <w:color w:val="000000"/>
          <w:sz w:val="24"/>
          <w:lang w:bidi="ar"/>
        </w:rPr>
        <w:t>complexheatmap</w:t>
      </w:r>
      <w:r>
        <w:rPr>
          <w:rFonts w:ascii="Times New Roman" w:hAnsi="Times New Roman"/>
          <w:color w:val="000000"/>
          <w:sz w:val="24"/>
          <w:lang w:bidi="ar"/>
        </w:rPr>
        <w:t xml:space="preserve">. The influence of specific mutation on AML patient survival was evaluated with K-M plot. Utilizing the </w:t>
      </w:r>
      <w:r>
        <w:rPr>
          <w:rFonts w:ascii="Times New Roman" w:hAnsi="Times New Roman"/>
          <w:i/>
          <w:iCs/>
          <w:color w:val="000000"/>
          <w:sz w:val="24"/>
          <w:lang w:bidi="ar"/>
        </w:rPr>
        <w:t>survival</w:t>
      </w:r>
      <w:r>
        <w:rPr>
          <w:rFonts w:ascii="Times New Roman" w:hAnsi="Times New Roman"/>
          <w:color w:val="000000"/>
          <w:sz w:val="24"/>
          <w:lang w:bidi="ar"/>
        </w:rPr>
        <w:t xml:space="preserve">, </w:t>
      </w:r>
      <w:r>
        <w:rPr>
          <w:rFonts w:ascii="Times New Roman" w:hAnsi="Times New Roman"/>
          <w:i/>
          <w:iCs/>
          <w:color w:val="000000"/>
          <w:sz w:val="24"/>
          <w:lang w:bidi="ar"/>
        </w:rPr>
        <w:t>regplot</w:t>
      </w:r>
      <w:r>
        <w:rPr>
          <w:rFonts w:ascii="Times New Roman" w:hAnsi="Times New Roman"/>
          <w:color w:val="000000"/>
          <w:sz w:val="24"/>
          <w:lang w:bidi="ar"/>
        </w:rPr>
        <w:t xml:space="preserve"> and </w:t>
      </w:r>
      <w:r>
        <w:rPr>
          <w:rFonts w:hint="eastAsia" w:ascii="Times New Roman" w:hAnsi="Times New Roman"/>
          <w:i/>
          <w:iCs/>
          <w:color w:val="000000"/>
          <w:sz w:val="24"/>
          <w:lang w:bidi="ar"/>
        </w:rPr>
        <w:t>r</w:t>
      </w:r>
      <w:r>
        <w:rPr>
          <w:rFonts w:ascii="Times New Roman" w:hAnsi="Times New Roman"/>
          <w:i/>
          <w:iCs/>
          <w:color w:val="000000"/>
          <w:sz w:val="24"/>
          <w:lang w:bidi="ar"/>
        </w:rPr>
        <w:t>ms</w:t>
      </w:r>
      <w:r>
        <w:rPr>
          <w:rFonts w:ascii="Times New Roman" w:hAnsi="Times New Roman"/>
          <w:color w:val="000000"/>
          <w:sz w:val="24"/>
          <w:lang w:bidi="ar"/>
        </w:rPr>
        <w:t xml:space="preserve"> R packages, we constructed a nomogram and generated the calibration curve. The GO and KEGG analysis were performed by R package “clusterProfler” with the reference gene sets from "c5.all.v2023.2.Hs.symbols.gmt" and "c2.cp.kegg.v7.5.1.symbols" which were downloaded from MSigDB. </w:t>
      </w:r>
    </w:p>
    <w:p/>
    <w:p>
      <w:bookmarkStart w:id="12" w:name="_GoBack"/>
      <w:bookmarkEnd w:id="12"/>
    </w:p>
    <w:p>
      <w:pPr>
        <w:pStyle w:val="8"/>
      </w:pPr>
      <w:r>
        <w:fldChar w:fldCharType="begin"/>
      </w:r>
      <w:r>
        <w:instrText xml:space="preserve"> ADDIN EN.REFLIST </w:instrText>
      </w:r>
      <w:r>
        <w:fldChar w:fldCharType="separate"/>
      </w:r>
      <w:r>
        <w:t>1.</w:t>
      </w:r>
      <w:r>
        <w:tab/>
      </w:r>
      <w:r>
        <w:t>Liberzon A, Birger C, Thorvaldsdóttir H, Ghandi M, Mesirov JP, Tamayo P. The Molecular Signatures Database (MSigDB) hallmark gene set collection. Cell Syst. 2015;1(6):417-25.</w:t>
      </w:r>
    </w:p>
    <w:p>
      <w:r>
        <w:fldChar w:fldCharType="end"/>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ArialMT">
    <w:panose1 w:val="020B0604020202090204"/>
    <w:charset w:val="00"/>
    <w:family w:val="auto"/>
    <w:pitch w:val="default"/>
    <w:sig w:usb0="E0000AFF" w:usb1="00007843" w:usb2="00000001" w:usb3="00000000" w:csb0="400001BF" w:csb1="DFF70000"/>
  </w:font>
  <w:font w:name="Times New Roman Italic">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faxwpafsxvfhe95whvzetg9tdavpvv5ew0&quot;&gt;NAD文章&lt;record-ids&gt;&lt;item&gt;49&lt;/item&gt;&lt;/record-ids&gt;&lt;/item&gt;&lt;/Libraries&gt;"/>
  </w:docVars>
  <w:rsids>
    <w:rsidRoot w:val="00172A27"/>
    <w:rsid w:val="00056135"/>
    <w:rsid w:val="000B6E29"/>
    <w:rsid w:val="001252EB"/>
    <w:rsid w:val="00172A27"/>
    <w:rsid w:val="00182279"/>
    <w:rsid w:val="001A1B1A"/>
    <w:rsid w:val="0028683E"/>
    <w:rsid w:val="00500E83"/>
    <w:rsid w:val="00536FD0"/>
    <w:rsid w:val="00562EBF"/>
    <w:rsid w:val="005E05F0"/>
    <w:rsid w:val="005E096E"/>
    <w:rsid w:val="00695316"/>
    <w:rsid w:val="006F5BD2"/>
    <w:rsid w:val="00786F4A"/>
    <w:rsid w:val="00796839"/>
    <w:rsid w:val="007A0767"/>
    <w:rsid w:val="008673DC"/>
    <w:rsid w:val="00897FA4"/>
    <w:rsid w:val="008C56E1"/>
    <w:rsid w:val="008F5432"/>
    <w:rsid w:val="009C79CE"/>
    <w:rsid w:val="00A55992"/>
    <w:rsid w:val="00AD54BF"/>
    <w:rsid w:val="00CF0A91"/>
    <w:rsid w:val="00D72866"/>
    <w:rsid w:val="00D76F95"/>
    <w:rsid w:val="00FC4C6C"/>
    <w:rsid w:val="00FE0F3E"/>
    <w:rsid w:val="27506C39"/>
    <w:rsid w:val="3FDA22A0"/>
    <w:rsid w:val="7A3F2304"/>
    <w:rsid w:val="7EEB415F"/>
    <w:rsid w:val="D8CCAFC8"/>
    <w:rsid w:val="DBF92254"/>
    <w:rsid w:val="EFBECBD6"/>
    <w:rsid w:val="FD9DA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1"/>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15"/>
    <w:basedOn w:val="3"/>
    <w:qFormat/>
    <w:uiPriority w:val="0"/>
    <w:rPr>
      <w:rFonts w:hint="default" w:ascii="ArialMT" w:hAnsi="ArialMT" w:eastAsia="ArialMT" w:cs="ArialMT"/>
      <w:color w:val="000000"/>
      <w:sz w:val="22"/>
      <w:szCs w:val="22"/>
    </w:rPr>
  </w:style>
  <w:style w:type="character" w:customStyle="1" w:styleId="5">
    <w:name w:val="10"/>
    <w:basedOn w:val="3"/>
    <w:qFormat/>
    <w:uiPriority w:val="0"/>
    <w:rPr>
      <w:rFonts w:hint="default" w:ascii="Times New Roman" w:hAnsi="Times New Roman" w:cs="Times New Roman"/>
    </w:rPr>
  </w:style>
  <w:style w:type="paragraph" w:customStyle="1" w:styleId="6">
    <w:name w:val="EndNote Bibliography Title"/>
    <w:basedOn w:val="1"/>
    <w:link w:val="7"/>
    <w:qFormat/>
    <w:uiPriority w:val="0"/>
    <w:pPr>
      <w:jc w:val="center"/>
    </w:pPr>
    <w:rPr>
      <w:sz w:val="20"/>
    </w:rPr>
  </w:style>
  <w:style w:type="character" w:customStyle="1" w:styleId="7">
    <w:name w:val="EndNote Bibliography Title 字符"/>
    <w:basedOn w:val="3"/>
    <w:link w:val="6"/>
    <w:qFormat/>
    <w:uiPriority w:val="0"/>
    <w:rPr>
      <w:rFonts w:ascii="DengXian" w:hAnsi="DengXian" w:eastAsia="DengXian"/>
      <w:kern w:val="2"/>
      <w:szCs w:val="21"/>
    </w:rPr>
  </w:style>
  <w:style w:type="paragraph" w:customStyle="1" w:styleId="8">
    <w:name w:val="EndNote Bibliography"/>
    <w:basedOn w:val="1"/>
    <w:link w:val="9"/>
    <w:qFormat/>
    <w:uiPriority w:val="0"/>
    <w:rPr>
      <w:sz w:val="20"/>
    </w:rPr>
  </w:style>
  <w:style w:type="character" w:customStyle="1" w:styleId="9">
    <w:name w:val="EndNote Bibliography 字符"/>
    <w:basedOn w:val="3"/>
    <w:link w:val="8"/>
    <w:qFormat/>
    <w:uiPriority w:val="0"/>
    <w:rPr>
      <w:rFonts w:ascii="DengXian" w:hAnsi="DengXian" w:eastAsia="DengXian"/>
      <w:kern w:val="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1891</Words>
  <Characters>10783</Characters>
  <Lines>89</Lines>
  <Paragraphs>25</Paragraphs>
  <TotalTime>211</TotalTime>
  <ScaleCrop>false</ScaleCrop>
  <LinksUpToDate>false</LinksUpToDate>
  <CharactersWithSpaces>12649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2023-12-08T13:33:00Z</dcterms:created>
  <dc:creator>大耳朵图图~璨</dc:creator>
  <cp:lastModifiedBy>大耳朵图图~璨</cp:lastModifiedBy>
  <dcterms:modified xsi:type="dcterms:W3CDTF">2024-06-13T15:44:23Z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F137AF90759131B4AEC97165139654B0_41</vt:lpwstr>
  </property>
</Properties>
</file>