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E8B4" w14:textId="77777777" w:rsidR="009343D6" w:rsidRPr="00BD2016" w:rsidRDefault="009343D6" w:rsidP="00B41EF3">
      <w:pPr>
        <w:pStyle w:val="EndNoteBibliography"/>
        <w:spacing w:line="360" w:lineRule="auto"/>
        <w:rPr>
          <w:b/>
          <w:bCs/>
        </w:rPr>
      </w:pPr>
      <w:r w:rsidRPr="00BD2016">
        <w:rPr>
          <w:b/>
          <w:bCs/>
        </w:rPr>
        <w:t>Supplementary Materials</w:t>
      </w:r>
    </w:p>
    <w:p w14:paraId="679C1BFA" w14:textId="1D13BA1B" w:rsidR="009343D6" w:rsidRPr="00597B49" w:rsidRDefault="00597B49" w:rsidP="00597B49">
      <w:pPr>
        <w:spacing w:line="360" w:lineRule="auto"/>
        <w:outlineLvl w:val="0"/>
        <w:rPr>
          <w:rFonts w:ascii="TimesNewRomanPS-BoldMT" w:hAnsi="TimesNewRomanPS-BoldMT"/>
          <w:b/>
          <w:bCs/>
          <w:color w:val="000000"/>
        </w:rPr>
      </w:pPr>
      <w:r w:rsidRPr="00597B49">
        <w:rPr>
          <w:rFonts w:ascii="TimesNewRomanPS-BoldMT" w:hAnsi="TimesNewRomanPS-BoldMT" w:hint="eastAsia"/>
          <w:b/>
          <w:bCs/>
          <w:color w:val="000000"/>
        </w:rPr>
        <w:t>1.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="009343D6" w:rsidRPr="00597B49">
        <w:rPr>
          <w:rFonts w:ascii="TimesNewRomanPS-BoldMT" w:hAnsi="TimesNewRomanPS-BoldMT"/>
          <w:b/>
          <w:bCs/>
          <w:color w:val="000000"/>
        </w:rPr>
        <w:t>Details of classifiers</w:t>
      </w:r>
    </w:p>
    <w:p w14:paraId="6AEA36CF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Logistic regression</w:t>
      </w:r>
    </w:p>
    <w:p w14:paraId="3645A01B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Logistic regression is a statistical model used for binary classification tasks, where the goal is to predict the probability that an instance belongs to a particular class</w:t>
      </w:r>
      <w:r>
        <w:rPr>
          <w:rFonts w:ascii="TimesNewRomanPS-BoldMT" w:hAnsi="TimesNewRomanPS-BoldMT"/>
          <w:noProof/>
          <w:color w:val="000000"/>
        </w:rPr>
        <w:t>[1]</w:t>
      </w:r>
      <w:r>
        <w:rPr>
          <w:rFonts w:ascii="TimesNewRomanPS-BoldMT" w:hAnsi="TimesNewRomanPS-BoldMT"/>
          <w:color w:val="000000"/>
        </w:rPr>
        <w:t>. Unlike linear regression, which predicts a continuous value, logistic regression predicts the probability of the instance belonging to the default class (class 1 in binary classification) using a logistic function.</w:t>
      </w:r>
    </w:p>
    <w:p w14:paraId="281BFDDB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The logistic function, also known as the sigmoid function, is used to map any real-valued number into a value between 0 and 1. This is essential for representing probabilities, as probabilities must fall within this range. The formula for the logistic function is:</w:t>
      </w:r>
    </w:p>
    <w:p w14:paraId="54E6906D" w14:textId="77777777" w:rsidR="009343D6" w:rsidRDefault="009343D6" w:rsidP="00BD2016">
      <w:pPr>
        <w:spacing w:line="360" w:lineRule="auto"/>
        <w:jc w:val="center"/>
        <w:outlineLvl w:val="0"/>
        <w:rPr>
          <w:rFonts w:ascii="TimesNewRomanPS-BoldMT" w:hAnsi="TimesNewRomanPS-BoldMT"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P(y=1|x) 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-z</m:t>
                  </m:r>
                </m:sup>
              </m:sSup>
            </m:den>
          </m:f>
        </m:oMath>
      </m:oMathPara>
    </w:p>
    <w:p w14:paraId="2C3F8595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Where</w:t>
      </w:r>
      <m:oMath>
        <m:r>
          <w:rPr>
            <w:rFonts w:ascii="Cambria Math" w:hAnsi="Cambria Math"/>
            <w:color w:val="000000"/>
          </w:rPr>
          <m:t xml:space="preserve"> ( P(y=1|x) </m:t>
        </m:r>
      </m:oMath>
      <w:r>
        <w:rPr>
          <w:rFonts w:ascii="TimesNewRomanPS-BoldMT" w:hAnsi="TimesNewRomanPS-BoldMT"/>
          <w:color w:val="000000"/>
        </w:rPr>
        <w:t xml:space="preserve"> is the probability that the instance belongs to class 1 given input </w:t>
      </w:r>
      <w:bookmarkStart w:id="0" w:name="OLE_LINK23"/>
      <m:oMath>
        <m:r>
          <w:rPr>
            <w:rFonts w:ascii="Cambria Math" w:hAnsi="Cambria Math"/>
            <w:color w:val="000000"/>
          </w:rPr>
          <m:t>x</m:t>
        </m:r>
      </m:oMath>
      <w:bookmarkEnd w:id="0"/>
      <w:r>
        <w:rPr>
          <w:rFonts w:ascii="TimesNewRomanPS-BoldMT" w:hAnsi="TimesNewRomanPS-BoldMT"/>
          <w:color w:val="000000"/>
        </w:rPr>
        <w:t xml:space="preserve">, and z is a linear combination of the input features </w:t>
      </w:r>
      <m:oMath>
        <m:r>
          <w:rPr>
            <w:rFonts w:ascii="Cambria Math" w:hAnsi="Cambria Math"/>
            <w:color w:val="000000"/>
          </w:rPr>
          <m:t>x</m:t>
        </m:r>
      </m:oMath>
      <w:r>
        <w:rPr>
          <w:rFonts w:ascii="TimesNewRomanPS-BoldMT" w:hAnsi="TimesNewRomanPS-BoldMT"/>
          <w:color w:val="000000"/>
        </w:rPr>
        <w:t xml:space="preserve"> and model parameters </w:t>
      </w:r>
      <m:oMath>
        <m:r>
          <w:rPr>
            <w:rFonts w:ascii="Cambria Math" w:hAnsi="Cambria Math"/>
            <w:color w:val="000000"/>
          </w:rPr>
          <m:t>θ</m:t>
        </m:r>
      </m:oMath>
      <w:r>
        <w:rPr>
          <w:rFonts w:ascii="TimesNewRomanPS-BoldMT" w:hAnsi="TimesNewRomanPS-BoldMT"/>
          <w:color w:val="000000"/>
        </w:rPr>
        <w:t>:</w:t>
      </w:r>
    </w:p>
    <w:p w14:paraId="1BF472C2" w14:textId="77777777" w:rsidR="009343D6" w:rsidRDefault="009343D6" w:rsidP="00BD2016">
      <w:pPr>
        <w:spacing w:line="360" w:lineRule="auto"/>
        <w:jc w:val="center"/>
        <w:outlineLvl w:val="0"/>
        <w:rPr>
          <w:rFonts w:ascii="TimesNewRomanPS-BoldMT" w:hAnsi="TimesNewRomanPS-BoldMT"/>
          <w:color w:val="000000"/>
        </w:rPr>
      </w:pPr>
      <w:bookmarkStart w:id="1" w:name="OLE_LINK24"/>
      <m:oMath>
        <m:r>
          <w:rPr>
            <w:rFonts w:ascii="Cambria Math" w:hAnsi="Cambria Math"/>
            <w:color w:val="000000"/>
          </w:rPr>
          <m:t xml:space="preserve">z = </m:t>
        </m:r>
        <w:bookmarkEnd w:id="1"/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w:bookmarkStart w:id="2" w:name="OLE_LINK25"/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  <w:bookmarkEnd w:id="2"/>
          </m:sub>
        </m:sSub>
        <m:r>
          <w:rPr>
            <w:rFonts w:ascii="Cambria Math" w:hAnsi="Cambria Math"/>
            <w:color w:val="000000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w:bookmarkStart w:id="3" w:name="OLE_LINK28"/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  <w:bookmarkEnd w:id="3"/>
          </m:sub>
        </m:sSub>
        <m:r>
          <w:rPr>
            <w:rFonts w:ascii="Cambria Math" w:hAnsi="Cambria Math"/>
            <w:color w:val="000000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w:bookmarkStart w:id="4" w:name="OLE_LINK26"/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  <w:bookmarkEnd w:id="4"/>
          </m:sub>
        </m:sSub>
        <m:r>
          <w:rPr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w:bookmarkStart w:id="5" w:name="OLE_LINK27"/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  <w:bookmarkEnd w:id="5"/>
          </m:sub>
        </m:sSub>
        <m:r>
          <w:rPr>
            <w:rFonts w:ascii="Cambria Math" w:hAnsi="Cambria Math"/>
            <w:color w:val="000000"/>
          </w:rPr>
          <m:t xml:space="preserve"> + .... +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</m:oMath>
      <w:r>
        <w:rPr>
          <w:rFonts w:ascii="TimesNewRomanPS-BoldMT" w:hAnsi="TimesNewRomanPS-BoldMT"/>
          <w:color w:val="000000"/>
        </w:rPr>
        <w:t xml:space="preserve"> \]</w:t>
      </w:r>
    </w:p>
    <w:p w14:paraId="0BE336D9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</w:p>
    <w:p w14:paraId="26BBE96B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Here,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.....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θ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</m:oMath>
      <w:r>
        <w:rPr>
          <w:rFonts w:ascii="TimesNewRomanPS-BoldMT" w:hAnsi="TimesNewRomanPS-BoldMT"/>
          <w:color w:val="000000"/>
        </w:rPr>
        <w:t xml:space="preserve">are the model parameters (coefficients) that are learned during the training process, and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,x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>.....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</m:oMath>
      <w:r>
        <w:rPr>
          <w:rFonts w:ascii="TimesNewRomanPS-BoldMT" w:hAnsi="TimesNewRomanPS-BoldMT"/>
          <w:color w:val="000000"/>
        </w:rPr>
        <w:t xml:space="preserve"> are the input features of the instance.</w:t>
      </w:r>
    </w:p>
    <w:p w14:paraId="11F66565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During the training process, the model learns the optimal values of the parameters </w:t>
      </w:r>
      <m:oMath>
        <m:r>
          <w:rPr>
            <w:rFonts w:ascii="Cambria Math" w:hAnsi="Cambria Math"/>
            <w:color w:val="000000"/>
          </w:rPr>
          <m:t>θ</m:t>
        </m:r>
      </m:oMath>
      <w:r>
        <w:rPr>
          <w:rFonts w:ascii="TimesNewRomanPS-BoldMT" w:hAnsi="TimesNewRomanPS-BoldMT"/>
          <w:color w:val="000000"/>
        </w:rPr>
        <w:t xml:space="preserve"> that minimize a cost function, typically the cross-entropy loss function. Once the model is trained, it can be used to predict the probability that a new instance belongs to class 1 based on its features.</w:t>
      </w:r>
    </w:p>
    <w:p w14:paraId="349C9E05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Logistic regression is a simple yet powerful algorithm that is widely used in various applications, including medical diagnosis, spam detection, and credit scoring, among others.</w:t>
      </w:r>
    </w:p>
    <w:p w14:paraId="776706D8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Back</w:t>
      </w:r>
      <w:r>
        <w:rPr>
          <w:rFonts w:ascii="TimesNewRomanPS-BoldMT" w:hAnsi="TimesNewRomanPS-BoldMT" w:hint="eastAsia"/>
          <w:b/>
          <w:bCs/>
          <w:color w:val="000000"/>
        </w:rPr>
        <w:t xml:space="preserve"> </w:t>
      </w:r>
      <w:r>
        <w:rPr>
          <w:rFonts w:ascii="TimesNewRomanPS-BoldMT" w:hAnsi="TimesNewRomanPS-BoldMT"/>
          <w:b/>
          <w:bCs/>
          <w:color w:val="000000"/>
        </w:rPr>
        <w:t>propagation (BP) neural network</w:t>
      </w:r>
    </w:p>
    <w:p w14:paraId="467E954A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Back</w:t>
      </w:r>
      <w:r>
        <w:rPr>
          <w:rFonts w:ascii="TimesNewRomanPS-BoldMT" w:hAnsi="TimesNewRomanPS-BoldMT" w:hint="eastAsia"/>
          <w:color w:val="000000"/>
        </w:rPr>
        <w:t xml:space="preserve"> </w:t>
      </w:r>
      <w:r>
        <w:rPr>
          <w:rFonts w:ascii="TimesNewRomanPS-BoldMT" w:hAnsi="TimesNewRomanPS-BoldMT"/>
          <w:color w:val="000000"/>
        </w:rPr>
        <w:t>propagation (BP) neural network</w:t>
      </w:r>
      <w:r>
        <w:rPr>
          <w:rFonts w:ascii="TimesNewRomanPS-BoldMT" w:hAnsi="TimesNewRomanPS-BoldMT"/>
          <w:noProof/>
          <w:color w:val="000000"/>
        </w:rPr>
        <w:t>[2]</w:t>
      </w:r>
      <w:r>
        <w:rPr>
          <w:rFonts w:ascii="TimesNewRomanPS-BoldMT" w:hAnsi="TimesNewRomanPS-BoldMT"/>
          <w:color w:val="000000"/>
        </w:rPr>
        <w:t xml:space="preserve">, often simply referred to as neural network, </w:t>
      </w:r>
      <w:r>
        <w:rPr>
          <w:rFonts w:ascii="TimesNewRomanPS-BoldMT" w:hAnsi="TimesNewRomanPS-BoldMT" w:hint="eastAsia"/>
          <w:color w:val="000000"/>
        </w:rPr>
        <w:t>is</w:t>
      </w:r>
      <w:r>
        <w:rPr>
          <w:rFonts w:ascii="TimesNewRomanPS-BoldMT" w:hAnsi="TimesNewRomanPS-BoldMT"/>
          <w:color w:val="000000"/>
        </w:rPr>
        <w:t xml:space="preserve"> a type of artificial neural network that is widely used for supervised learning tasks, </w:t>
      </w:r>
      <w:r>
        <w:rPr>
          <w:rFonts w:ascii="TimesNewRomanPS-BoldMT" w:hAnsi="TimesNewRomanPS-BoldMT"/>
          <w:color w:val="000000"/>
        </w:rPr>
        <w:lastRenderedPageBreak/>
        <w:t xml:space="preserve">including classification and regression. </w:t>
      </w:r>
      <w:r w:rsidRPr="00BD2016">
        <w:rPr>
          <w:rFonts w:ascii="TimesNewRomanPS-BoldMT" w:hAnsi="TimesNewRomanPS-BoldMT"/>
          <w:color w:val="000000"/>
        </w:rPr>
        <w:t>It is</w:t>
      </w:r>
      <w:r>
        <w:rPr>
          <w:rFonts w:ascii="TimesNewRomanPS-BoldMT" w:hAnsi="TimesNewRomanPS-BoldMT"/>
          <w:color w:val="000000"/>
        </w:rPr>
        <w:t xml:space="preserve"> composed of multiple layers of interconnected nodes, or neurons, organized in a hierarchical manner.</w:t>
      </w:r>
    </w:p>
    <w:p w14:paraId="01320570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The basic structure of a BP neural network consists of three types of layers: Input Layer, Hidden Layers</w:t>
      </w:r>
      <w:r>
        <w:rPr>
          <w:rFonts w:ascii="TimesNewRomanPS-BoldMT" w:hAnsi="TimesNewRomanPS-BoldMT" w:hint="eastAsia"/>
          <w:color w:val="000000"/>
        </w:rPr>
        <w:t xml:space="preserve"> </w:t>
      </w:r>
      <w:r>
        <w:rPr>
          <w:rFonts w:ascii="TimesNewRomanPS-BoldMT" w:hAnsi="TimesNewRomanPS-BoldMT"/>
          <w:color w:val="000000"/>
        </w:rPr>
        <w:t>and Output Layer. The key concept behind BP neural network is the back</w:t>
      </w:r>
      <w:r>
        <w:rPr>
          <w:rFonts w:ascii="TimesNewRomanPS-BoldMT" w:hAnsi="TimesNewRomanPS-BoldMT" w:hint="eastAsia"/>
          <w:color w:val="000000"/>
        </w:rPr>
        <w:t xml:space="preserve"> </w:t>
      </w:r>
      <w:r>
        <w:rPr>
          <w:rFonts w:ascii="TimesNewRomanPS-BoldMT" w:hAnsi="TimesNewRomanPS-BoldMT"/>
          <w:color w:val="000000"/>
        </w:rPr>
        <w:t>propagation algorithm, which is used to train the network. The back</w:t>
      </w:r>
      <w:r>
        <w:rPr>
          <w:rFonts w:ascii="TimesNewRomanPS-BoldMT" w:hAnsi="TimesNewRomanPS-BoldMT" w:hint="eastAsia"/>
          <w:color w:val="000000"/>
        </w:rPr>
        <w:t xml:space="preserve"> </w:t>
      </w:r>
      <w:r>
        <w:rPr>
          <w:rFonts w:ascii="TimesNewRomanPS-BoldMT" w:hAnsi="TimesNewRomanPS-BoldMT"/>
          <w:color w:val="000000"/>
        </w:rPr>
        <w:t>propagation algorithm consists of two main steps: forward propagation and backward propagation.</w:t>
      </w:r>
    </w:p>
    <w:p w14:paraId="77074D16" w14:textId="77777777" w:rsidR="009343D6" w:rsidRDefault="009343D6" w:rsidP="00BD2016">
      <w:pPr>
        <w:spacing w:line="360" w:lineRule="auto"/>
        <w:outlineLvl w:val="0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BP neural network h</w:t>
      </w:r>
      <w:r>
        <w:rPr>
          <w:rFonts w:ascii="TimesNewRomanPS-BoldMT" w:hAnsi="TimesNewRomanPS-BoldMT" w:hint="eastAsia"/>
          <w:color w:val="000000"/>
        </w:rPr>
        <w:t>as</w:t>
      </w:r>
      <w:r>
        <w:rPr>
          <w:rFonts w:ascii="TimesNewRomanPS-BoldMT" w:hAnsi="TimesNewRomanPS-BoldMT"/>
          <w:color w:val="000000"/>
        </w:rPr>
        <w:t xml:space="preserve"> several advantages, including their ability to learn complex non-linear relationships in data, their flexibility in handling different types of input and output data, and their scalability to large datasets. However, </w:t>
      </w:r>
      <w:r>
        <w:rPr>
          <w:rFonts w:ascii="TimesNewRomanPS-BoldMT" w:hAnsi="TimesNewRomanPS-BoldMT" w:hint="eastAsia"/>
          <w:color w:val="000000"/>
        </w:rPr>
        <w:t>it</w:t>
      </w:r>
      <w:r>
        <w:rPr>
          <w:rFonts w:ascii="TimesNewRomanPS-BoldMT" w:hAnsi="TimesNewRomanPS-BoldMT"/>
          <w:color w:val="000000"/>
        </w:rPr>
        <w:t xml:space="preserve"> also ha</w:t>
      </w:r>
      <w:r>
        <w:rPr>
          <w:rFonts w:ascii="TimesNewRomanPS-BoldMT" w:hAnsi="TimesNewRomanPS-BoldMT" w:hint="eastAsia"/>
          <w:color w:val="000000"/>
        </w:rPr>
        <w:t>s</w:t>
      </w:r>
      <w:r>
        <w:rPr>
          <w:rFonts w:ascii="TimesNewRomanPS-BoldMT" w:hAnsi="TimesNewRomanPS-BoldMT"/>
          <w:color w:val="000000"/>
        </w:rPr>
        <w:t xml:space="preserve"> some limitations, </w:t>
      </w:r>
      <w:r w:rsidRPr="001B1F8C">
        <w:rPr>
          <w:rFonts w:ascii="TimesNewRomanPS-BoldMT" w:hAnsi="TimesNewRomanPS-BoldMT"/>
          <w:color w:val="000000"/>
        </w:rPr>
        <w:t>such as being prone to overfitting</w:t>
      </w:r>
      <w:r>
        <w:rPr>
          <w:rFonts w:ascii="TimesNewRomanPS-BoldMT" w:hAnsi="TimesNewRomanPS-BoldMT"/>
          <w:color w:val="000000"/>
        </w:rPr>
        <w:t>, the need for large amounts of training data, and the requirement for careful tuning of hyperparameters.</w:t>
      </w:r>
      <w:r>
        <w:rPr>
          <w:rFonts w:ascii="TimesNewRomanPS-BoldMT" w:hAnsi="TimesNewRomanPS-BoldMT" w:hint="eastAsia"/>
          <w:color w:val="000000"/>
        </w:rPr>
        <w:t xml:space="preserve"> </w:t>
      </w:r>
      <w:r>
        <w:rPr>
          <w:rFonts w:ascii="TimesNewRomanPS-BoldMT" w:hAnsi="TimesNewRomanPS-BoldMT"/>
          <w:color w:val="000000"/>
        </w:rPr>
        <w:t xml:space="preserve">Overall, BP neural network </w:t>
      </w:r>
      <w:r>
        <w:rPr>
          <w:rFonts w:ascii="TimesNewRomanPS-BoldMT" w:hAnsi="TimesNewRomanPS-BoldMT" w:hint="eastAsia"/>
          <w:color w:val="000000"/>
        </w:rPr>
        <w:t>is</w:t>
      </w:r>
      <w:r>
        <w:rPr>
          <w:rFonts w:ascii="TimesNewRomanPS-BoldMT" w:hAnsi="TimesNewRomanPS-BoldMT"/>
          <w:color w:val="000000"/>
        </w:rPr>
        <w:t xml:space="preserve"> a powerful and versatile tool for a wide range of machine learning tasks and have been successfully applied in areas such as image recognition, natural language processing, and financial forecasting.</w:t>
      </w:r>
    </w:p>
    <w:p w14:paraId="6E25360F" w14:textId="69B30A85" w:rsidR="009343D6" w:rsidRPr="001B1F8C" w:rsidRDefault="00597B49" w:rsidP="001B1F8C">
      <w:pPr>
        <w:pStyle w:val="EndNoteBibliography"/>
        <w:spacing w:line="360" w:lineRule="auto"/>
        <w:rPr>
          <w:b/>
          <w:bCs/>
        </w:rPr>
      </w:pPr>
      <w:bookmarkStart w:id="6" w:name="OLE_LINK29"/>
      <w:r>
        <w:rPr>
          <w:rFonts w:hint="eastAsia"/>
          <w:b/>
          <w:bCs/>
        </w:rPr>
        <w:t xml:space="preserve">2. </w:t>
      </w:r>
      <w:r w:rsidR="009343D6" w:rsidRPr="00BD2016">
        <w:rPr>
          <w:b/>
          <w:bCs/>
        </w:rPr>
        <w:t>Supplementary Tables</w:t>
      </w:r>
      <w:bookmarkEnd w:id="6"/>
    </w:p>
    <w:p w14:paraId="2497C693" w14:textId="77777777" w:rsidR="009343D6" w:rsidRDefault="009343D6">
      <w:pPr>
        <w:rPr>
          <w:b/>
        </w:rPr>
      </w:pPr>
      <w:bookmarkStart w:id="7" w:name="OLE_LINK31"/>
      <w:r>
        <w:rPr>
          <w:b/>
        </w:rPr>
        <w:t xml:space="preserve">Table S1. </w:t>
      </w:r>
      <w:r>
        <w:t>The ranges of different hyperparameters used in grid search for classifiers.</w:t>
      </w:r>
    </w:p>
    <w:tbl>
      <w:tblPr>
        <w:tblStyle w:val="a3"/>
        <w:tblW w:w="49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090"/>
        <w:gridCol w:w="1495"/>
        <w:gridCol w:w="253"/>
        <w:gridCol w:w="1701"/>
        <w:gridCol w:w="1270"/>
        <w:gridCol w:w="1446"/>
      </w:tblGrid>
      <w:tr w:rsidR="009343D6" w14:paraId="03C647B0" w14:textId="77777777">
        <w:trPr>
          <w:trHeight w:val="189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C93F" w14:textId="77777777" w:rsidR="009343D6" w:rsidRDefault="00934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Classifiers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598B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9F374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Gamma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6755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N_estimators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1F894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Max_depth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114C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Learning_rate</w:t>
            </w:r>
            <w:proofErr w:type="spellEnd"/>
          </w:p>
        </w:tc>
      </w:tr>
      <w:tr w:rsidR="009343D6" w14:paraId="7E3F3C8D" w14:textId="77777777">
        <w:trPr>
          <w:trHeight w:val="383"/>
        </w:trPr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68B8CB74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SVM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14:paraId="14621AE7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[0.5,1,2,4]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14:paraId="12AEC9C4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[1e-7,1e-6,1e-5,1e-4,</w:t>
            </w:r>
          </w:p>
          <w:p w14:paraId="567F205F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1e-3,1e-2,1e-1]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14:paraId="6609B0E1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14:paraId="1CD395CF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14:paraId="7C26F984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</w:tr>
      <w:tr w:rsidR="009343D6" w14:paraId="1FFD255E" w14:textId="77777777">
        <w:trPr>
          <w:trHeight w:val="387"/>
        </w:trPr>
        <w:tc>
          <w:tcPr>
            <w:tcW w:w="555" w:type="pct"/>
            <w:vAlign w:val="center"/>
          </w:tcPr>
          <w:p w14:paraId="5B02FA50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</w:t>
            </w:r>
          </w:p>
        </w:tc>
        <w:tc>
          <w:tcPr>
            <w:tcW w:w="668" w:type="pct"/>
            <w:vAlign w:val="center"/>
          </w:tcPr>
          <w:p w14:paraId="1C49AA1A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Align w:val="center"/>
          </w:tcPr>
          <w:p w14:paraId="510F7585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pct"/>
            <w:vAlign w:val="center"/>
          </w:tcPr>
          <w:p w14:paraId="591C537F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[100,200</w:t>
            </w:r>
            <w:bookmarkStart w:id="8" w:name="OLE_LINK22"/>
            <w:r>
              <w:rPr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,</w:t>
            </w:r>
            <w:bookmarkEnd w:id="8"/>
            <w:r>
              <w:rPr>
                <w:sz w:val="18"/>
                <w:szCs w:val="18"/>
              </w:rPr>
              <w:t>1000]</w:t>
            </w:r>
          </w:p>
        </w:tc>
        <w:tc>
          <w:tcPr>
            <w:tcW w:w="778" w:type="pct"/>
            <w:vAlign w:val="center"/>
          </w:tcPr>
          <w:p w14:paraId="2EBC035C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[2-8]</w:t>
            </w:r>
          </w:p>
        </w:tc>
        <w:tc>
          <w:tcPr>
            <w:tcW w:w="887" w:type="pct"/>
            <w:vAlign w:val="center"/>
          </w:tcPr>
          <w:p w14:paraId="7DD99A30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</w:tr>
      <w:tr w:rsidR="009343D6" w14:paraId="6245BF66" w14:textId="77777777">
        <w:trPr>
          <w:trHeight w:val="38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4D8F396D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XGB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0A9ADFDF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vAlign w:val="center"/>
          </w:tcPr>
          <w:p w14:paraId="728B163F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5CE15D7B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[100,200,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1000]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4CCC156B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[2-8]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4C5E8CA0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[0.05,0.01,0.5,0.2,0.1]</w:t>
            </w:r>
          </w:p>
        </w:tc>
      </w:tr>
      <w:bookmarkEnd w:id="7"/>
    </w:tbl>
    <w:p w14:paraId="28CC8DC3" w14:textId="77777777" w:rsidR="009343D6" w:rsidRDefault="009343D6">
      <w:pPr>
        <w:rPr>
          <w:b/>
        </w:rPr>
      </w:pPr>
    </w:p>
    <w:p w14:paraId="4A674649" w14:textId="77777777" w:rsidR="009343D6" w:rsidRDefault="009343D6">
      <w:pPr>
        <w:rPr>
          <w:b/>
        </w:rPr>
      </w:pPr>
      <w:r>
        <w:rPr>
          <w:b/>
        </w:rPr>
        <w:t xml:space="preserve">Table S2. </w:t>
      </w:r>
      <w:r>
        <w:t>The best hyperparameter combinations for different species based on AUROC values obtained from the grid search.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110"/>
        <w:gridCol w:w="1523"/>
        <w:gridCol w:w="257"/>
        <w:gridCol w:w="1734"/>
        <w:gridCol w:w="1291"/>
        <w:gridCol w:w="1472"/>
      </w:tblGrid>
      <w:tr w:rsidR="009343D6" w14:paraId="73FC4995" w14:textId="77777777">
        <w:trPr>
          <w:trHeight w:val="226"/>
        </w:trPr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2D31" w14:textId="77777777" w:rsidR="009343D6" w:rsidRDefault="00934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Classifiers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A65D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177A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Gamma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2670F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N_estimators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865B8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Max_depth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31152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Learning_rate</w:t>
            </w:r>
            <w:proofErr w:type="spellEnd"/>
          </w:p>
        </w:tc>
      </w:tr>
      <w:tr w:rsidR="009343D6" w14:paraId="4ADB9B3F" w14:textId="77777777">
        <w:trPr>
          <w:trHeight w:val="458"/>
        </w:trPr>
        <w:tc>
          <w:tcPr>
            <w:tcW w:w="553" w:type="pct"/>
            <w:tcBorders>
              <w:top w:val="single" w:sz="4" w:space="0" w:color="auto"/>
            </w:tcBorders>
            <w:vAlign w:val="center"/>
          </w:tcPr>
          <w:p w14:paraId="309FCE51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SVM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14:paraId="7DBAD68F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</w:tcBorders>
            <w:vAlign w:val="center"/>
          </w:tcPr>
          <w:p w14:paraId="03C623B0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1e-4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6353D49A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vAlign w:val="center"/>
          </w:tcPr>
          <w:p w14:paraId="22100498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14:paraId="5B8CFD3B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</w:tr>
      <w:tr w:rsidR="009343D6" w14:paraId="6B5B3725" w14:textId="77777777">
        <w:trPr>
          <w:trHeight w:val="463"/>
        </w:trPr>
        <w:tc>
          <w:tcPr>
            <w:tcW w:w="553" w:type="pct"/>
            <w:vAlign w:val="center"/>
          </w:tcPr>
          <w:p w14:paraId="65DF9F6B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</w:t>
            </w:r>
          </w:p>
        </w:tc>
        <w:tc>
          <w:tcPr>
            <w:tcW w:w="668" w:type="pct"/>
            <w:vAlign w:val="center"/>
          </w:tcPr>
          <w:p w14:paraId="4EF3BC6A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vAlign w:val="center"/>
          </w:tcPr>
          <w:p w14:paraId="7790019A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 w14:paraId="6A9A5BA4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777" w:type="pct"/>
            <w:vAlign w:val="center"/>
          </w:tcPr>
          <w:p w14:paraId="3EBA9598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5" w:type="pct"/>
            <w:vAlign w:val="center"/>
          </w:tcPr>
          <w:p w14:paraId="1709BB18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</w:tr>
      <w:tr w:rsidR="009343D6" w14:paraId="1561FCAA" w14:textId="77777777">
        <w:trPr>
          <w:trHeight w:val="463"/>
        </w:trPr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14:paraId="255F85D2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XGB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5C9D9B09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vAlign w:val="center"/>
          </w:tcPr>
          <w:p w14:paraId="255188A1" w14:textId="77777777" w:rsidR="009343D6" w:rsidRDefault="00934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14:paraId="43F35298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14:paraId="68B45D58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vAlign w:val="center"/>
          </w:tcPr>
          <w:p w14:paraId="6A6DE7C9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</w:tbl>
    <w:p w14:paraId="6B26B5C9" w14:textId="77777777" w:rsidR="009343D6" w:rsidRDefault="009343D6">
      <w:pPr>
        <w:rPr>
          <w:b/>
          <w:bCs/>
        </w:rPr>
      </w:pPr>
    </w:p>
    <w:p w14:paraId="4718CA6B" w14:textId="77777777" w:rsidR="009343D6" w:rsidRDefault="009343D6">
      <w:pPr>
        <w:rPr>
          <w:b/>
          <w:bCs/>
        </w:rPr>
      </w:pPr>
    </w:p>
    <w:p w14:paraId="1D1A4204" w14:textId="77777777" w:rsidR="009343D6" w:rsidRDefault="009343D6">
      <w:pPr>
        <w:rPr>
          <w:b/>
          <w:bCs/>
        </w:rPr>
      </w:pPr>
    </w:p>
    <w:p w14:paraId="13635073" w14:textId="77777777" w:rsidR="009343D6" w:rsidRDefault="009343D6">
      <w:pPr>
        <w:rPr>
          <w:b/>
          <w:bCs/>
        </w:rPr>
      </w:pPr>
    </w:p>
    <w:p w14:paraId="6411F9B5" w14:textId="77777777" w:rsidR="009343D6" w:rsidRDefault="009343D6">
      <w:pPr>
        <w:rPr>
          <w:b/>
        </w:rPr>
      </w:pPr>
      <w:r>
        <w:rPr>
          <w:b/>
        </w:rPr>
        <w:lastRenderedPageBreak/>
        <w:t xml:space="preserve">Table S3. </w:t>
      </w:r>
      <w:r>
        <w:t>The hyperparameters used in BP and LR.</w:t>
      </w:r>
    </w:p>
    <w:tbl>
      <w:tblPr>
        <w:tblStyle w:val="a3"/>
        <w:tblW w:w="49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505"/>
        <w:gridCol w:w="2126"/>
        <w:gridCol w:w="909"/>
        <w:gridCol w:w="1270"/>
        <w:gridCol w:w="1444"/>
      </w:tblGrid>
      <w:tr w:rsidR="009343D6" w14:paraId="7427306D" w14:textId="77777777">
        <w:trPr>
          <w:trHeight w:val="189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57BDC" w14:textId="77777777" w:rsidR="009343D6" w:rsidRDefault="009343D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Classifiers</w:t>
            </w:r>
          </w:p>
        </w:tc>
        <w:tc>
          <w:tcPr>
            <w:tcW w:w="9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5801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Learning_rate</w:t>
            </w:r>
            <w:proofErr w:type="spellEnd"/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5D0DD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oss_funcation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A9875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>pochs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7A91A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iden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dim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3A29" w14:textId="77777777" w:rsidR="009343D6" w:rsidRDefault="009343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ut dim</w:t>
            </w:r>
          </w:p>
        </w:tc>
      </w:tr>
      <w:tr w:rsidR="009343D6" w14:paraId="389B8E35" w14:textId="77777777">
        <w:trPr>
          <w:trHeight w:val="383"/>
        </w:trPr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1E79B744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</w:t>
            </w:r>
          </w:p>
        </w:tc>
        <w:tc>
          <w:tcPr>
            <w:tcW w:w="922" w:type="pct"/>
            <w:tcBorders>
              <w:top w:val="single" w:sz="4" w:space="0" w:color="auto"/>
            </w:tcBorders>
            <w:vAlign w:val="center"/>
          </w:tcPr>
          <w:p w14:paraId="3E78744F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14:paraId="2E12D4EA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CrossEntropyLoss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</w:tcBorders>
            <w:vAlign w:val="center"/>
          </w:tcPr>
          <w:p w14:paraId="237EE329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14:paraId="55DD60AD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4,32</w:t>
            </w:r>
          </w:p>
        </w:tc>
        <w:tc>
          <w:tcPr>
            <w:tcW w:w="886" w:type="pct"/>
            <w:tcBorders>
              <w:top w:val="single" w:sz="4" w:space="0" w:color="auto"/>
            </w:tcBorders>
            <w:vAlign w:val="center"/>
          </w:tcPr>
          <w:p w14:paraId="28D2C350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9343D6" w14:paraId="74F8FFE1" w14:textId="77777777">
        <w:trPr>
          <w:trHeight w:val="38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42AB5F4B" w14:textId="77777777" w:rsidR="009343D6" w:rsidRDefault="009343D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LR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vAlign w:val="center"/>
          </w:tcPr>
          <w:p w14:paraId="4373AA7F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47609357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BCELoss</w:t>
            </w:r>
            <w:proofErr w:type="spellEnd"/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14:paraId="5F015C33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vAlign w:val="center"/>
          </w:tcPr>
          <w:p w14:paraId="523B0A6F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14:paraId="3E0C3278" w14:textId="77777777" w:rsidR="009343D6" w:rsidRDefault="009343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</w:tbl>
    <w:p w14:paraId="0F7D5639" w14:textId="77777777" w:rsidR="009343D6" w:rsidRDefault="009343D6" w:rsidP="00BD2016">
      <w:pPr>
        <w:pStyle w:val="EndNoteBibliography"/>
        <w:rPr>
          <w:b/>
          <w:bCs/>
        </w:rPr>
      </w:pPr>
    </w:p>
    <w:p w14:paraId="5661895E" w14:textId="086E9947" w:rsidR="009343D6" w:rsidRPr="00BD2016" w:rsidRDefault="00597B49" w:rsidP="00BD2016">
      <w:pPr>
        <w:pStyle w:val="EndNoteBibliography"/>
        <w:rPr>
          <w:b/>
          <w:bCs/>
        </w:rPr>
      </w:pPr>
      <w:r>
        <w:rPr>
          <w:rFonts w:hint="eastAsia"/>
          <w:b/>
          <w:bCs/>
        </w:rPr>
        <w:t xml:space="preserve">3. </w:t>
      </w:r>
      <w:r w:rsidR="009343D6" w:rsidRPr="00BD2016">
        <w:rPr>
          <w:b/>
          <w:bCs/>
        </w:rPr>
        <w:t>Supplementary Figure</w:t>
      </w:r>
    </w:p>
    <w:p w14:paraId="76DFD1FB" w14:textId="77777777" w:rsidR="009343D6" w:rsidRDefault="009343D6" w:rsidP="00BD2016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27F27">
        <w:rPr>
          <w:rFonts w:ascii="TimesNewRomanPS-BoldMT" w:hAnsi="TimesNewRomanPS-BoldMT"/>
          <w:b/>
          <w:bCs/>
          <w:noProof/>
          <w:color w:val="000000"/>
          <w:sz w:val="28"/>
          <w:szCs w:val="28"/>
        </w:rPr>
        <w:drawing>
          <wp:inline distT="0" distB="0" distL="0" distR="0" wp14:anchorId="33F7FDEE" wp14:editId="4BD566A2">
            <wp:extent cx="4203652" cy="5488635"/>
            <wp:effectExtent l="0" t="0" r="6985" b="0"/>
            <wp:docPr id="17750298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252" cy="549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8D89" w14:textId="77777777" w:rsidR="009343D6" w:rsidRPr="00127F27" w:rsidRDefault="009343D6" w:rsidP="00127F27">
      <w:pPr>
        <w:rPr>
          <w:b/>
          <w:bCs/>
        </w:rPr>
      </w:pPr>
    </w:p>
    <w:p w14:paraId="024D8449" w14:textId="77777777" w:rsidR="009343D6" w:rsidRDefault="009343D6" w:rsidP="00BD2016">
      <w:pPr>
        <w:spacing w:line="360" w:lineRule="auto"/>
      </w:pPr>
      <w:bookmarkStart w:id="9" w:name="OLE_LINK30"/>
      <w:r>
        <w:rPr>
          <w:b/>
          <w:bCs/>
        </w:rPr>
        <w:t xml:space="preserve">Figure </w:t>
      </w:r>
      <w:bookmarkEnd w:id="9"/>
      <w:r>
        <w:rPr>
          <w:b/>
          <w:bCs/>
        </w:rPr>
        <w:t>S1.</w:t>
      </w:r>
      <w:r>
        <w:t xml:space="preserve"> The loss curve of LR and BP</w:t>
      </w:r>
      <w:r>
        <w:rPr>
          <w:rFonts w:hint="eastAsia"/>
        </w:rPr>
        <w:t xml:space="preserve">. A, </w:t>
      </w:r>
      <w:r>
        <w:t>The loss curve of LR</w:t>
      </w:r>
      <w:r>
        <w:rPr>
          <w:rFonts w:hint="eastAsia"/>
        </w:rPr>
        <w:t xml:space="preserve">; B, </w:t>
      </w:r>
      <w:r>
        <w:t>The loss curve of LR</w:t>
      </w:r>
      <w:r>
        <w:rPr>
          <w:rFonts w:hint="eastAsia"/>
        </w:rPr>
        <w:t>.</w:t>
      </w:r>
    </w:p>
    <w:p w14:paraId="72D88AE1" w14:textId="77777777" w:rsidR="009343D6" w:rsidRPr="00BD2016" w:rsidRDefault="009343D6" w:rsidP="002F4905">
      <w:pPr>
        <w:pStyle w:val="EndNoteBibliography"/>
        <w:spacing w:line="360" w:lineRule="auto"/>
        <w:jc w:val="both"/>
        <w:rPr>
          <w:b/>
          <w:bCs/>
        </w:rPr>
      </w:pPr>
      <w:r w:rsidRPr="00BD2016">
        <w:rPr>
          <w:b/>
          <w:bCs/>
        </w:rPr>
        <w:t>References</w:t>
      </w:r>
    </w:p>
    <w:p w14:paraId="7854D9F1" w14:textId="77777777" w:rsidR="009343D6" w:rsidRPr="003F2DF4" w:rsidRDefault="009343D6" w:rsidP="002F4905">
      <w:pPr>
        <w:pStyle w:val="EndNoteBibliography"/>
        <w:spacing w:line="360" w:lineRule="auto"/>
        <w:ind w:left="720" w:hanging="720"/>
        <w:jc w:val="both"/>
        <w:rPr>
          <w:noProof/>
        </w:rPr>
      </w:pPr>
      <w:r w:rsidRPr="003F2DF4">
        <w:rPr>
          <w:noProof/>
        </w:rPr>
        <w:t>[1] A. Das, Logistic regression, Encyclopedia of Quality of Life and Well-Being Research, Springer, 2024, pp. 3985-3986.</w:t>
      </w:r>
    </w:p>
    <w:p w14:paraId="6A39DB39" w14:textId="77777777" w:rsidR="009343D6" w:rsidRPr="003F2DF4" w:rsidRDefault="009343D6" w:rsidP="002F4905">
      <w:pPr>
        <w:pStyle w:val="EndNoteBibliography"/>
        <w:spacing w:line="360" w:lineRule="auto"/>
        <w:ind w:left="720" w:hanging="720"/>
        <w:jc w:val="both"/>
        <w:rPr>
          <w:noProof/>
        </w:rPr>
      </w:pPr>
      <w:r w:rsidRPr="003F2DF4">
        <w:rPr>
          <w:noProof/>
        </w:rPr>
        <w:lastRenderedPageBreak/>
        <w:t>[2] X. Li, J. Wang, C.J.N.C. Yang, and Applications, Risk prediction in financial management of listed companies based on optimized BP neural network under digital economy.  35 (2023) 2045-2058.</w:t>
      </w:r>
    </w:p>
    <w:p w14:paraId="489C1078" w14:textId="77777777" w:rsidR="009343D6" w:rsidRDefault="009343D6" w:rsidP="002F4905">
      <w:pPr>
        <w:spacing w:line="360" w:lineRule="auto"/>
      </w:pPr>
    </w:p>
    <w:p w14:paraId="2630A19D" w14:textId="77777777" w:rsidR="008E5FA5" w:rsidRDefault="008E5FA5"/>
    <w:sectPr w:rsidR="008E5FA5" w:rsidSect="0093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00"/>
    <w:family w:val="roman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54E64"/>
    <w:multiLevelType w:val="hybridMultilevel"/>
    <w:tmpl w:val="08D67AB4"/>
    <w:lvl w:ilvl="0" w:tplc="9B14F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90C67C5"/>
    <w:multiLevelType w:val="hybridMultilevel"/>
    <w:tmpl w:val="B0D455E8"/>
    <w:lvl w:ilvl="0" w:tplc="3446E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9B11FA2"/>
    <w:multiLevelType w:val="hybridMultilevel"/>
    <w:tmpl w:val="5374DF4E"/>
    <w:lvl w:ilvl="0" w:tplc="959AE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66694807">
    <w:abstractNumId w:val="1"/>
  </w:num>
  <w:num w:numId="2" w16cid:durableId="1774857911">
    <w:abstractNumId w:val="0"/>
  </w:num>
  <w:num w:numId="3" w16cid:durableId="21844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343D6"/>
    <w:rsid w:val="0014177E"/>
    <w:rsid w:val="002F4905"/>
    <w:rsid w:val="00597B49"/>
    <w:rsid w:val="006F71CF"/>
    <w:rsid w:val="007076D8"/>
    <w:rsid w:val="008E5FA5"/>
    <w:rsid w:val="009343D6"/>
    <w:rsid w:val="00B41EF3"/>
    <w:rsid w:val="00F1116F"/>
    <w:rsid w:val="00F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A5B9"/>
  <w15:chartTrackingRefBased/>
  <w15:docId w15:val="{F56AEA5C-3233-4A6E-8139-22F59E7F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343D6"/>
    <w:pPr>
      <w:widowControl w:val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rsid w:val="009343D6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uiPriority w:val="99"/>
    <w:unhideWhenUsed/>
    <w:qFormat/>
    <w:rsid w:val="009343D6"/>
    <w:rPr>
      <w:color w:val="0563C1" w:themeColor="hyperlink"/>
      <w:u w:val="single"/>
    </w:rPr>
  </w:style>
  <w:style w:type="paragraph" w:customStyle="1" w:styleId="TAMainText">
    <w:name w:val="TA_Main_Text"/>
    <w:basedOn w:val="a"/>
    <w:autoRedefine/>
    <w:qFormat/>
    <w:rsid w:val="009343D6"/>
    <w:pPr>
      <w:widowControl/>
      <w:spacing w:line="480" w:lineRule="auto"/>
      <w:ind w:firstLine="202"/>
    </w:pPr>
    <w:rPr>
      <w:rFonts w:ascii="Times" w:eastAsia="宋体" w:hAnsi="Times"/>
      <w:kern w:val="0"/>
      <w:szCs w:val="20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autoRedefine/>
    <w:qFormat/>
    <w:rsid w:val="009343D6"/>
    <w:pPr>
      <w:jc w:val="center"/>
    </w:pPr>
  </w:style>
  <w:style w:type="character" w:customStyle="1" w:styleId="EndNoteBibliographyTitle0">
    <w:name w:val="EndNote Bibliography Title 字符"/>
    <w:basedOn w:val="a0"/>
    <w:link w:val="EndNoteBibliographyTitle"/>
    <w:autoRedefine/>
    <w:qFormat/>
    <w:rsid w:val="009343D6"/>
    <w:rPr>
      <w:rFonts w:ascii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autoRedefine/>
    <w:qFormat/>
    <w:rsid w:val="009343D6"/>
    <w:pPr>
      <w:jc w:val="left"/>
    </w:pPr>
  </w:style>
  <w:style w:type="character" w:customStyle="1" w:styleId="EndNoteBibliography0">
    <w:name w:val="EndNote Bibliography 字符"/>
    <w:basedOn w:val="a0"/>
    <w:link w:val="EndNoteBibliography"/>
    <w:autoRedefine/>
    <w:qFormat/>
    <w:rsid w:val="009343D6"/>
    <w:rPr>
      <w:rFonts w:ascii="Times New Roman" w:hAnsi="Times New Roman" w:cs="Times New Roman"/>
      <w:sz w:val="24"/>
      <w:szCs w:val="24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sid w:val="009343D6"/>
    <w:rPr>
      <w:color w:val="605E5C"/>
      <w:shd w:val="clear" w:color="auto" w:fill="E1DFDD"/>
    </w:rPr>
  </w:style>
  <w:style w:type="character" w:styleId="a5">
    <w:name w:val="Placeholder Text"/>
    <w:basedOn w:val="a0"/>
    <w:autoRedefine/>
    <w:uiPriority w:val="99"/>
    <w:semiHidden/>
    <w:qFormat/>
    <w:rsid w:val="009343D6"/>
    <w:rPr>
      <w:color w:val="808080"/>
    </w:rPr>
  </w:style>
  <w:style w:type="paragraph" w:styleId="a6">
    <w:name w:val="List Paragraph"/>
    <w:basedOn w:val="a"/>
    <w:uiPriority w:val="34"/>
    <w:qFormat/>
    <w:rsid w:val="00597B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7</cp:revision>
  <dcterms:created xsi:type="dcterms:W3CDTF">2024-05-15T15:30:00Z</dcterms:created>
  <dcterms:modified xsi:type="dcterms:W3CDTF">2024-05-15T15:34:00Z</dcterms:modified>
</cp:coreProperties>
</file>