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E334" w14:textId="77777777" w:rsidR="00AA466C" w:rsidRPr="00AA466C" w:rsidRDefault="00AA466C" w:rsidP="00AA466C">
      <w:pPr>
        <w:rPr>
          <w:rFonts w:cs="Times New Roman"/>
          <w:sz w:val="21"/>
          <w:szCs w:val="21"/>
          <w14:ligatures w14:val="standardContextual"/>
        </w:rPr>
      </w:pPr>
      <w:r w:rsidRPr="00AA466C">
        <w:rPr>
          <w:rFonts w:cs="Times New Roman"/>
          <w:b/>
          <w:bCs/>
          <w:sz w:val="21"/>
          <w:szCs w:val="21"/>
          <w14:ligatures w14:val="standardContextual"/>
        </w:rPr>
        <w:t>Table S3</w:t>
      </w:r>
      <w:r w:rsidRPr="00AA466C">
        <w:rPr>
          <w:rFonts w:cs="Times New Roman"/>
          <w:sz w:val="21"/>
          <w:szCs w:val="21"/>
          <w14:ligatures w14:val="standardContextual"/>
        </w:rPr>
        <w:t xml:space="preserve"> The survival analysis of SNORD15B in different cancers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4"/>
        <w:gridCol w:w="703"/>
        <w:gridCol w:w="1656"/>
        <w:gridCol w:w="1138"/>
        <w:gridCol w:w="699"/>
        <w:gridCol w:w="1650"/>
        <w:gridCol w:w="1146"/>
      </w:tblGrid>
      <w:tr w:rsidR="00AA466C" w:rsidRPr="00AA466C" w14:paraId="5233C147" w14:textId="77777777" w:rsidTr="00072A00">
        <w:trPr>
          <w:trHeight w:val="285"/>
        </w:trPr>
        <w:tc>
          <w:tcPr>
            <w:tcW w:w="7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404C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Type of cancer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677E" w14:textId="77777777" w:rsidR="00AA466C" w:rsidRPr="00AA466C" w:rsidRDefault="00AA466C" w:rsidP="00AA466C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 xml:space="preserve">KM 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analysis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3C57" w14:textId="77777777" w:rsidR="00AA466C" w:rsidRPr="00AA466C" w:rsidRDefault="00AA466C" w:rsidP="00AA466C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 xml:space="preserve">Cox 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analysis</w:t>
            </w:r>
          </w:p>
        </w:tc>
      </w:tr>
      <w:tr w:rsidR="00AA466C" w:rsidRPr="00AA466C" w14:paraId="2F96CEE0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9B4F" w14:textId="77777777" w:rsidR="00AA466C" w:rsidRPr="00AA466C" w:rsidRDefault="00AA466C" w:rsidP="00AA466C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E95C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491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95%</w:t>
            </w: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CI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A298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4D4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6F2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95%</w:t>
            </w: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CI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8388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</w:tr>
      <w:tr w:rsidR="00AA466C" w:rsidRPr="00AA466C" w14:paraId="0DDCC125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326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KIPAN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8642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1.69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75B5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0.381-7.491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187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0.382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1A8A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1.7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F973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0.508-5.682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780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0.389</w:t>
            </w:r>
          </w:p>
        </w:tc>
      </w:tr>
      <w:tr w:rsidR="00AA466C" w:rsidRPr="00AA466C" w14:paraId="49BEBDEC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40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BRCA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AE67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0.857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682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0.576-1.274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807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0.466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CB5E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0.857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C970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0.565-1.299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A3E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0.467</w:t>
            </w:r>
          </w:p>
        </w:tc>
      </w:tr>
      <w:tr w:rsidR="00AA466C" w:rsidRPr="00AA466C" w14:paraId="027FF2C7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61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KICH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EF8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4.37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033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0.497-38.454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A57A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0D03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4.38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282C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1.132-16.976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F20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0.032</w:t>
            </w:r>
          </w:p>
        </w:tc>
      </w:tr>
      <w:tr w:rsidR="00AA466C" w:rsidRPr="00AA466C" w14:paraId="5AD48484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5E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KIRC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6B22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1.89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CFB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1.355-2.631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5982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8D85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1.89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081F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1.4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01</w:t>
            </w: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-2.555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532C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AA466C" w:rsidRPr="00AA466C" w14:paraId="52B4A5E9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AB60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COADREAD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92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0.472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28C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0.225-0.987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FAF7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0.134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90B2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0.47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FAFF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0.171-1.292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C58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0.143</w:t>
            </w:r>
          </w:p>
        </w:tc>
      </w:tr>
      <w:tr w:rsidR="00AA466C" w:rsidRPr="00AA466C" w14:paraId="55F367EB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C6D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ESCA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09B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1.52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8E05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0.856-2.686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15E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E31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1.52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B56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0.912-2.537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A422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0.108</w:t>
            </w:r>
          </w:p>
        </w:tc>
      </w:tr>
      <w:tr w:rsidR="00AA466C" w:rsidRPr="00AA466C" w14:paraId="61401DE6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8BB8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NHSC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FA85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1.12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90B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0.827-1.528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927F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0.441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000F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1.12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04D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0.834-1.517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40D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0.441</w:t>
            </w:r>
          </w:p>
        </w:tc>
      </w:tr>
      <w:tr w:rsidR="00AA466C" w:rsidRPr="00AA466C" w14:paraId="234D2638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E28F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LIHC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784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0.372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AD55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0.208-0.666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6D8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B44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0.372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1D8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0.152-0.909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1450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0.03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</w:tr>
      <w:tr w:rsidR="00AA466C" w:rsidRPr="00AA466C" w14:paraId="6256233F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EE0F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LUAD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CB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1.5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88B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0.9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01</w:t>
            </w: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-2.511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3F0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0.063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F7BB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1.51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B020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0.975-2.353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AAB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0.065</w:t>
            </w:r>
          </w:p>
        </w:tc>
      </w:tr>
      <w:tr w:rsidR="00AA466C" w:rsidRPr="00AA466C" w14:paraId="3149B499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1B2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LUSC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8267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0.73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72DA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0.544-0.981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C8F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BFA4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0.729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BF7B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0.53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-1.003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7C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0.052</w:t>
            </w:r>
          </w:p>
        </w:tc>
      </w:tr>
      <w:tr w:rsidR="00AA466C" w:rsidRPr="00AA466C" w14:paraId="250F073E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17D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KIRP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61A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1.27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B48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0.663-2.44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8FA8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0.446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0C74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1.28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919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0.681-2.391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F4D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0.447</w:t>
            </w:r>
          </w:p>
        </w:tc>
      </w:tr>
      <w:tr w:rsidR="00AA466C" w:rsidRPr="00AA466C" w14:paraId="76B11401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AA4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THCA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DD4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2.89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C554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0.578-14.472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02A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0.05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AF88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2.91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77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0.934-9.038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ADF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0.065</w:t>
            </w:r>
          </w:p>
        </w:tc>
      </w:tr>
      <w:tr w:rsidR="00AA466C" w:rsidRPr="00AA466C" w14:paraId="6E752A92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F72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PRAD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7D3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4.53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692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1.308-15.682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AFED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0.034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E300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4.63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0EA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0.975-21.935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F9A6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0.05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</w:tr>
      <w:tr w:rsidR="00AA466C" w:rsidRPr="00AA466C" w14:paraId="5153A12E" w14:textId="77777777" w:rsidTr="00072A00">
        <w:trPr>
          <w:trHeight w:val="285"/>
        </w:trPr>
        <w:tc>
          <w:tcPr>
            <w:tcW w:w="7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1801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STES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8A6AC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0.182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ED2D3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0.017-1.991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C74A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252B" w14:textId="77777777" w:rsidR="00AA466C" w:rsidRPr="00AA466C" w:rsidRDefault="00AA466C" w:rsidP="00AA466C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0.142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AC0CE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0.031-0.649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38509" w14:textId="77777777" w:rsidR="00AA466C" w:rsidRPr="00AA466C" w:rsidRDefault="00AA466C" w:rsidP="00AA466C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AA466C">
              <w:rPr>
                <w:rFonts w:eastAsia="DengXian" w:cs="Times New Roman"/>
                <w:kern w:val="0"/>
                <w:sz w:val="18"/>
                <w:szCs w:val="18"/>
              </w:rPr>
              <w:t>0.01</w:t>
            </w:r>
            <w:r w:rsidRPr="00AA466C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</w:tr>
    </w:tbl>
    <w:p w14:paraId="0F232D20" w14:textId="255811FF" w:rsidR="00E71275" w:rsidRPr="00AA466C" w:rsidRDefault="00AA466C">
      <w:pPr>
        <w:rPr>
          <w:rFonts w:cs="Times New Roman"/>
          <w:sz w:val="18"/>
          <w:szCs w:val="18"/>
          <w14:ligatures w14:val="standardContextual"/>
        </w:rPr>
      </w:pPr>
      <w:r w:rsidRPr="00AA466C">
        <w:rPr>
          <w:rFonts w:cs="Times New Roman"/>
          <w:sz w:val="18"/>
          <w:szCs w:val="18"/>
          <w14:ligatures w14:val="standardContextual"/>
        </w:rPr>
        <w:t>Abbreviation:</w:t>
      </w:r>
      <w:r w:rsidRPr="00AA466C">
        <w:rPr>
          <w:rFonts w:cs="Times New Roman" w:hint="eastAsia"/>
          <w:sz w:val="18"/>
          <w:szCs w:val="18"/>
          <w14:ligatures w14:val="standardContextual"/>
        </w:rPr>
        <w:t xml:space="preserve"> KM: </w:t>
      </w:r>
      <w:r w:rsidRPr="00AA466C">
        <w:rPr>
          <w:rFonts w:cs="Times New Roman"/>
          <w:sz w:val="18"/>
          <w:szCs w:val="18"/>
          <w14:ligatures w14:val="standardContextual"/>
        </w:rPr>
        <w:t>Kaplan-Mare</w:t>
      </w:r>
      <w:r w:rsidRPr="00AA466C">
        <w:rPr>
          <w:rFonts w:cs="Times New Roman" w:hint="eastAsia"/>
          <w:sz w:val="18"/>
          <w:szCs w:val="18"/>
          <w14:ligatures w14:val="standardContextual"/>
        </w:rPr>
        <w:t>; HR: Hazard ratio; C</w:t>
      </w:r>
      <w:r w:rsidRPr="00AA466C">
        <w:rPr>
          <w:rFonts w:cs="Times New Roman"/>
          <w:sz w:val="18"/>
          <w:szCs w:val="18"/>
          <w14:ligatures w14:val="standardContextual"/>
        </w:rPr>
        <w:t>I:</w:t>
      </w:r>
      <w:r w:rsidRPr="00AA466C">
        <w:rPr>
          <w:rFonts w:cs="Times New Roman" w:hint="eastAsia"/>
          <w:sz w:val="21"/>
          <w:szCs w:val="22"/>
          <w14:ligatures w14:val="standardContextual"/>
        </w:rPr>
        <w:t xml:space="preserve"> </w:t>
      </w:r>
      <w:r w:rsidRPr="00AA466C">
        <w:rPr>
          <w:rFonts w:cs="Times New Roman" w:hint="eastAsia"/>
          <w:sz w:val="18"/>
          <w:szCs w:val="18"/>
          <w14:ligatures w14:val="standardContextual"/>
        </w:rPr>
        <w:t>C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onfidence </w:t>
      </w:r>
      <w:r w:rsidRPr="00AA466C">
        <w:rPr>
          <w:rFonts w:cs="Times New Roman" w:hint="eastAsia"/>
          <w:sz w:val="18"/>
          <w:szCs w:val="18"/>
          <w14:ligatures w14:val="standardContextual"/>
        </w:rPr>
        <w:t>I</w:t>
      </w:r>
      <w:r w:rsidRPr="00AA466C">
        <w:rPr>
          <w:rFonts w:cs="Times New Roman"/>
          <w:sz w:val="18"/>
          <w:szCs w:val="18"/>
          <w14:ligatures w14:val="standardContextual"/>
        </w:rPr>
        <w:t>nterval</w:t>
      </w:r>
      <w:r w:rsidRPr="00AA466C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AA466C">
        <w:rPr>
          <w:rFonts w:cs="Times New Roman"/>
          <w:sz w:val="18"/>
          <w:szCs w:val="18"/>
          <w14:ligatures w14:val="standardContextual"/>
        </w:rPr>
        <w:t>KIPAN</w:t>
      </w:r>
      <w:r w:rsidRPr="00AA466C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AA466C">
        <w:rPr>
          <w:rFonts w:cs="Times New Roman"/>
          <w:sz w:val="18"/>
          <w:szCs w:val="18"/>
          <w14:ligatures w14:val="standardContextual"/>
        </w:rPr>
        <w:t>Pan-kidney cohort</w:t>
      </w:r>
      <w:r w:rsidRPr="00AA466C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AA466C">
        <w:rPr>
          <w:rFonts w:cs="Times New Roman"/>
          <w:sz w:val="18"/>
          <w:szCs w:val="18"/>
          <w14:ligatures w14:val="standardContextual"/>
        </w:rPr>
        <w:t>BRCA</w:t>
      </w:r>
      <w:r w:rsidRPr="00AA466C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AA466C">
        <w:rPr>
          <w:rFonts w:cs="Times New Roman"/>
          <w:sz w:val="18"/>
          <w:szCs w:val="18"/>
          <w14:ligatures w14:val="standardContextual"/>
        </w:rPr>
        <w:t>Breast invasive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KICH Kidney Chromophobe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KIRC Kidney renal clear cell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COADREAD colorectal cancer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ESCA Esophageal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HNSC Head and Neck squamous cell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LIHC Liver hepatocellular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AA466C">
        <w:rPr>
          <w:rFonts w:cs="Times New Roman"/>
          <w:sz w:val="18"/>
          <w:szCs w:val="18"/>
          <w14:ligatures w14:val="standardContextual"/>
        </w:rPr>
        <w:t>LUAD</w:t>
      </w:r>
      <w:r w:rsidRPr="00AA466C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AA466C">
        <w:rPr>
          <w:rFonts w:cs="Times New Roman"/>
          <w:sz w:val="18"/>
          <w:szCs w:val="18"/>
          <w14:ligatures w14:val="standardContextual"/>
        </w:rPr>
        <w:t>Lung adenocarcinoma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LUSC Lung squamous cell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AA466C">
        <w:rPr>
          <w:rFonts w:cs="Times New Roman"/>
          <w:sz w:val="18"/>
          <w:szCs w:val="18"/>
          <w14:ligatures w14:val="standardContextual"/>
        </w:rPr>
        <w:t>KIRP Kidney renal papillary cell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THCA Thyroid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PRAD Prostate adenocarcinoma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;</w:t>
      </w:r>
      <w:r w:rsidRPr="00AA466C">
        <w:rPr>
          <w:rFonts w:cs="Times New Roman"/>
          <w:sz w:val="18"/>
          <w:szCs w:val="18"/>
          <w14:ligatures w14:val="standardContextual"/>
        </w:rPr>
        <w:t xml:space="preserve"> STES</w:t>
      </w:r>
      <w:r w:rsidRPr="00AA466C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AA466C">
        <w:rPr>
          <w:rFonts w:cs="Times New Roman"/>
          <w:sz w:val="18"/>
          <w:szCs w:val="18"/>
          <w14:ligatures w14:val="standardContextual"/>
        </w:rPr>
        <w:t>Stomach and Esophageal carcinoma</w:t>
      </w:r>
      <w:r w:rsidRPr="00AA466C">
        <w:rPr>
          <w:rFonts w:cs="Times New Roman" w:hint="eastAsia"/>
          <w:sz w:val="18"/>
          <w:szCs w:val="18"/>
          <w14:ligatures w14:val="standardContextual"/>
        </w:rPr>
        <w:t>.</w:t>
      </w:r>
    </w:p>
    <w:sectPr w:rsidR="00E71275" w:rsidRPr="00AA466C" w:rsidSect="00AA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FF1AA" w14:textId="77777777" w:rsidR="00992594" w:rsidRDefault="00992594" w:rsidP="00AA466C">
      <w:r>
        <w:separator/>
      </w:r>
    </w:p>
  </w:endnote>
  <w:endnote w:type="continuationSeparator" w:id="0">
    <w:p w14:paraId="51B9C2F2" w14:textId="77777777" w:rsidR="00992594" w:rsidRDefault="00992594" w:rsidP="00A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C48E1" w14:textId="77777777" w:rsidR="00992594" w:rsidRDefault="00992594" w:rsidP="00AA466C">
      <w:r>
        <w:separator/>
      </w:r>
    </w:p>
  </w:footnote>
  <w:footnote w:type="continuationSeparator" w:id="0">
    <w:p w14:paraId="3E72FE97" w14:textId="77777777" w:rsidR="00992594" w:rsidRDefault="00992594" w:rsidP="00AA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C8"/>
    <w:rsid w:val="003E55AB"/>
    <w:rsid w:val="004E763F"/>
    <w:rsid w:val="00694D0E"/>
    <w:rsid w:val="007505BD"/>
    <w:rsid w:val="008676C8"/>
    <w:rsid w:val="0096782F"/>
    <w:rsid w:val="00992594"/>
    <w:rsid w:val="00AA466C"/>
    <w:rsid w:val="00D74D15"/>
    <w:rsid w:val="00DA4EA7"/>
    <w:rsid w:val="00E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28EE"/>
  <w15:chartTrackingRefBased/>
  <w15:docId w15:val="{5847CD11-5FAB-44D9-8CC1-363EAB11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BD"/>
    <w:pPr>
      <w:widowControl w:val="0"/>
      <w:jc w:val="both"/>
    </w:pPr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6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466C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4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466C"/>
    <w:rPr>
      <w:rFonts w:ascii="Times New Roman" w:eastAsia="SimSu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Jophcy Kumar</cp:lastModifiedBy>
  <cp:revision>2</cp:revision>
  <dcterms:created xsi:type="dcterms:W3CDTF">2024-07-24T09:25:00Z</dcterms:created>
  <dcterms:modified xsi:type="dcterms:W3CDTF">2024-07-24T09:25:00Z</dcterms:modified>
</cp:coreProperties>
</file>