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03E16" w14:textId="44BB6C83" w:rsidR="00C63C3D" w:rsidRPr="00AD6685" w:rsidRDefault="00C63C3D" w:rsidP="00C63C3D">
      <w:pPr>
        <w:spacing w:after="0"/>
        <w:jc w:val="center"/>
        <w:rPr>
          <w:rFonts w:eastAsiaTheme="minorEastAsia" w:cs="Times New Roman"/>
          <w:b/>
          <w:bCs/>
          <w:sz w:val="32"/>
          <w:szCs w:val="32"/>
        </w:rPr>
      </w:pPr>
      <w:r w:rsidRPr="00AD6685">
        <w:rPr>
          <w:rFonts w:eastAsiaTheme="minorEastAsia" w:cs="Times New Roman"/>
          <w:b/>
          <w:bCs/>
          <w:sz w:val="32"/>
          <w:szCs w:val="32"/>
        </w:rPr>
        <w:t xml:space="preserve">Harnessing Plant Growth-Promoting Rhizobacteria, </w:t>
      </w:r>
      <w:r w:rsidRPr="00AD6685">
        <w:rPr>
          <w:rFonts w:eastAsiaTheme="minorEastAsia" w:cs="Times New Roman"/>
          <w:b/>
          <w:bCs/>
          <w:i/>
          <w:iCs/>
          <w:sz w:val="32"/>
          <w:szCs w:val="32"/>
        </w:rPr>
        <w:t>Bacillus subtilis</w:t>
      </w:r>
      <w:r w:rsidRPr="00AD6685">
        <w:rPr>
          <w:rFonts w:eastAsiaTheme="minorEastAsia" w:cs="Times New Roman"/>
          <w:b/>
          <w:bCs/>
          <w:sz w:val="32"/>
          <w:szCs w:val="32"/>
        </w:rPr>
        <w:t xml:space="preserve"> and </w:t>
      </w:r>
      <w:r w:rsidRPr="00AD6685">
        <w:rPr>
          <w:rFonts w:eastAsiaTheme="minorEastAsia" w:cs="Times New Roman"/>
          <w:b/>
          <w:bCs/>
          <w:i/>
          <w:iCs/>
          <w:sz w:val="32"/>
          <w:szCs w:val="32"/>
        </w:rPr>
        <w:t xml:space="preserve">B. </w:t>
      </w:r>
      <w:proofErr w:type="spellStart"/>
      <w:r w:rsidRPr="00AD6685">
        <w:rPr>
          <w:rFonts w:eastAsiaTheme="minorEastAsia" w:cs="Times New Roman"/>
          <w:b/>
          <w:bCs/>
          <w:i/>
          <w:iCs/>
          <w:sz w:val="32"/>
          <w:szCs w:val="32"/>
        </w:rPr>
        <w:t>aryabhattai</w:t>
      </w:r>
      <w:proofErr w:type="spellEnd"/>
      <w:r w:rsidRPr="00AD6685">
        <w:rPr>
          <w:rFonts w:eastAsiaTheme="minorEastAsia" w:cs="Times New Roman"/>
          <w:b/>
          <w:bCs/>
          <w:sz w:val="32"/>
          <w:szCs w:val="32"/>
        </w:rPr>
        <w:t xml:space="preserve"> to Combat Salt Stress in Rice: A Study on the </w:t>
      </w:r>
      <w:r>
        <w:rPr>
          <w:rFonts w:eastAsiaTheme="minorEastAsia" w:cs="Times New Roman"/>
          <w:b/>
          <w:bCs/>
          <w:sz w:val="32"/>
          <w:szCs w:val="32"/>
        </w:rPr>
        <w:t>R</w:t>
      </w:r>
      <w:r w:rsidRPr="00AD6685">
        <w:rPr>
          <w:rFonts w:eastAsiaTheme="minorEastAsia" w:cs="Times New Roman"/>
          <w:b/>
          <w:bCs/>
          <w:sz w:val="32"/>
          <w:szCs w:val="32"/>
        </w:rPr>
        <w:t>egulation of Antioxidant Defense, Ion Homeostasis, and Photosynthetic Parameters</w:t>
      </w:r>
    </w:p>
    <w:p w14:paraId="22BAC502" w14:textId="77777777" w:rsidR="00C63C3D" w:rsidRDefault="00C63C3D" w:rsidP="00C63C3D">
      <w:pPr>
        <w:spacing w:after="0"/>
        <w:jc w:val="both"/>
        <w:rPr>
          <w:rFonts w:eastAsiaTheme="minorEastAsia" w:cs="Times New Roman"/>
          <w:b/>
          <w:bCs/>
          <w:sz w:val="28"/>
          <w:szCs w:val="28"/>
        </w:rPr>
      </w:pPr>
    </w:p>
    <w:p w14:paraId="7224B098" w14:textId="77777777" w:rsidR="00C63C3D" w:rsidRDefault="00C63C3D" w:rsidP="00C63C3D">
      <w:pPr>
        <w:spacing w:after="0"/>
        <w:rPr>
          <w:rFonts w:eastAsiaTheme="minorEastAsia" w:cs="Times New Roman"/>
          <w:b/>
          <w:bCs/>
          <w:szCs w:val="24"/>
        </w:rPr>
      </w:pPr>
      <w:r w:rsidRPr="00B83CFF">
        <w:rPr>
          <w:rFonts w:eastAsiaTheme="minorEastAsia" w:cs="Times New Roman"/>
          <w:b/>
          <w:bCs/>
          <w:szCs w:val="24"/>
        </w:rPr>
        <w:t>Ayesha Siddika</w:t>
      </w:r>
      <w:r w:rsidRPr="00B83CFF">
        <w:rPr>
          <w:rFonts w:eastAsiaTheme="minorEastAsia" w:cs="Times New Roman"/>
          <w:b/>
          <w:bCs/>
          <w:szCs w:val="24"/>
          <w:vertAlign w:val="superscript"/>
        </w:rPr>
        <w:t>1</w:t>
      </w:r>
      <w:r w:rsidRPr="00B83CFF">
        <w:rPr>
          <w:rFonts w:eastAsiaTheme="minorEastAsia" w:cs="Times New Roman"/>
          <w:b/>
          <w:bCs/>
          <w:szCs w:val="24"/>
        </w:rPr>
        <w:t>, Alfi Anjum Rashid</w:t>
      </w:r>
      <w:r w:rsidRPr="00B83CFF">
        <w:rPr>
          <w:rFonts w:eastAsiaTheme="minorEastAsia" w:cs="Times New Roman"/>
          <w:b/>
          <w:bCs/>
          <w:szCs w:val="24"/>
          <w:vertAlign w:val="superscript"/>
        </w:rPr>
        <w:t>2</w:t>
      </w:r>
      <w:r w:rsidRPr="00B83CFF">
        <w:rPr>
          <w:rFonts w:eastAsiaTheme="minorEastAsia" w:cs="Times New Roman"/>
          <w:b/>
          <w:bCs/>
          <w:szCs w:val="24"/>
        </w:rPr>
        <w:t>, Shakila Nargis Khan</w:t>
      </w:r>
      <w:r w:rsidRPr="00B83CFF">
        <w:rPr>
          <w:rFonts w:eastAsiaTheme="minorEastAsia" w:cs="Times New Roman"/>
          <w:b/>
          <w:bCs/>
          <w:szCs w:val="24"/>
          <w:vertAlign w:val="superscript"/>
        </w:rPr>
        <w:t>2</w:t>
      </w:r>
      <w:r w:rsidRPr="00B83CFF">
        <w:rPr>
          <w:rFonts w:eastAsiaTheme="minorEastAsia" w:cs="Times New Roman"/>
          <w:b/>
          <w:bCs/>
          <w:szCs w:val="24"/>
        </w:rPr>
        <w:t>, Amena Khatun</w:t>
      </w:r>
      <w:r w:rsidRPr="00B83CFF">
        <w:rPr>
          <w:rFonts w:eastAsiaTheme="minorEastAsia" w:cs="Times New Roman"/>
          <w:b/>
          <w:bCs/>
          <w:szCs w:val="24"/>
          <w:vertAlign w:val="superscript"/>
        </w:rPr>
        <w:t>3</w:t>
      </w:r>
      <w:r w:rsidRPr="00B83CFF">
        <w:rPr>
          <w:rFonts w:eastAsiaTheme="minorEastAsia" w:cs="Times New Roman"/>
          <w:b/>
          <w:bCs/>
          <w:szCs w:val="24"/>
        </w:rPr>
        <w:t xml:space="preserve">, Muhammad </w:t>
      </w:r>
      <w:proofErr w:type="spellStart"/>
      <w:r w:rsidRPr="00B83CFF">
        <w:rPr>
          <w:rFonts w:eastAsiaTheme="minorEastAsia" w:cs="Times New Roman"/>
          <w:b/>
          <w:bCs/>
          <w:szCs w:val="24"/>
        </w:rPr>
        <w:t>Manjurul</w:t>
      </w:r>
      <w:proofErr w:type="spellEnd"/>
      <w:r w:rsidRPr="00B83CFF">
        <w:rPr>
          <w:rFonts w:eastAsiaTheme="minorEastAsia" w:cs="Times New Roman"/>
          <w:b/>
          <w:bCs/>
          <w:szCs w:val="24"/>
        </w:rPr>
        <w:t xml:space="preserve"> Karim</w:t>
      </w:r>
      <w:r w:rsidRPr="00B83CFF">
        <w:rPr>
          <w:rFonts w:eastAsiaTheme="minorEastAsia" w:cs="Times New Roman"/>
          <w:b/>
          <w:bCs/>
          <w:szCs w:val="24"/>
          <w:vertAlign w:val="superscript"/>
        </w:rPr>
        <w:t>2</w:t>
      </w:r>
      <w:r w:rsidRPr="00B83CFF">
        <w:rPr>
          <w:rFonts w:eastAsiaTheme="minorEastAsia" w:cs="Times New Roman"/>
          <w:b/>
          <w:bCs/>
          <w:szCs w:val="24"/>
        </w:rPr>
        <w:t>, PV Vara Prasad</w:t>
      </w:r>
      <w:r w:rsidRPr="00B83CFF">
        <w:rPr>
          <w:rFonts w:eastAsiaTheme="minorEastAsia" w:cs="Times New Roman"/>
          <w:b/>
          <w:bCs/>
          <w:szCs w:val="24"/>
          <w:vertAlign w:val="superscript"/>
        </w:rPr>
        <w:t>4</w:t>
      </w:r>
      <w:r w:rsidRPr="00B83CFF">
        <w:rPr>
          <w:rFonts w:eastAsiaTheme="minorEastAsia" w:cs="Times New Roman"/>
          <w:b/>
          <w:bCs/>
          <w:szCs w:val="24"/>
        </w:rPr>
        <w:t>* and Mirza Hasanuzzaman</w:t>
      </w:r>
      <w:r w:rsidRPr="00B83CFF">
        <w:rPr>
          <w:rFonts w:eastAsiaTheme="minorEastAsia" w:cs="Times New Roman"/>
          <w:b/>
          <w:bCs/>
          <w:szCs w:val="24"/>
          <w:vertAlign w:val="superscript"/>
        </w:rPr>
        <w:t>1</w:t>
      </w:r>
      <w:r w:rsidRPr="00B83CFF">
        <w:rPr>
          <w:rFonts w:eastAsiaTheme="minorEastAsia" w:cs="Times New Roman"/>
          <w:b/>
          <w:bCs/>
          <w:szCs w:val="24"/>
        </w:rPr>
        <w:t>*</w:t>
      </w:r>
    </w:p>
    <w:p w14:paraId="0497B361" w14:textId="77777777" w:rsidR="00C63C3D" w:rsidRPr="00B83CFF" w:rsidRDefault="00C63C3D" w:rsidP="00C63C3D">
      <w:pPr>
        <w:spacing w:after="0"/>
        <w:rPr>
          <w:rFonts w:eastAsiaTheme="minorEastAsia" w:cs="Times New Roman"/>
          <w:b/>
          <w:bCs/>
          <w:szCs w:val="24"/>
        </w:rPr>
      </w:pPr>
    </w:p>
    <w:p w14:paraId="4AC942F7" w14:textId="77777777" w:rsidR="00C63C3D" w:rsidRPr="008B6019" w:rsidRDefault="00C63C3D" w:rsidP="00C63C3D">
      <w:pPr>
        <w:pStyle w:val="NormalWeb"/>
        <w:spacing w:before="0" w:beforeAutospacing="0" w:after="0" w:afterAutospacing="0"/>
        <w:rPr>
          <w:rFonts w:eastAsiaTheme="minorEastAsia"/>
          <w:lang w:val="en-US" w:eastAsia="en-US"/>
        </w:rPr>
      </w:pPr>
      <w:r w:rsidRPr="008B6019">
        <w:rPr>
          <w:rFonts w:eastAsiaTheme="minorEastAsia"/>
          <w:vertAlign w:val="superscript"/>
          <w:lang w:val="en-US" w:eastAsia="en-US"/>
        </w:rPr>
        <w:t>1</w:t>
      </w:r>
      <w:r w:rsidRPr="008B6019">
        <w:rPr>
          <w:rFonts w:eastAsiaTheme="minorEastAsia"/>
          <w:lang w:val="en-US" w:eastAsia="en-US"/>
        </w:rPr>
        <w:t>Department of Agronomy, Faculty of Agriculture, Sher-e-Bangla Agricultural University, Dhaka-1207, Bangladesh</w:t>
      </w:r>
    </w:p>
    <w:p w14:paraId="261AD673" w14:textId="77777777" w:rsidR="00C63C3D" w:rsidRPr="008B6019" w:rsidRDefault="00C63C3D" w:rsidP="00C63C3D">
      <w:pPr>
        <w:pStyle w:val="NormalWeb"/>
        <w:spacing w:before="240" w:beforeAutospacing="0" w:after="0" w:afterAutospacing="0"/>
        <w:rPr>
          <w:rFonts w:eastAsiaTheme="minorEastAsia"/>
          <w:lang w:val="en-US" w:eastAsia="en-US"/>
        </w:rPr>
      </w:pPr>
      <w:r w:rsidRPr="008B6019">
        <w:rPr>
          <w:rFonts w:eastAsiaTheme="minorEastAsia"/>
          <w:vertAlign w:val="superscript"/>
          <w:lang w:val="en-US" w:eastAsia="en-US"/>
        </w:rPr>
        <w:t>2</w:t>
      </w:r>
      <w:r w:rsidRPr="008B6019">
        <w:rPr>
          <w:rFonts w:eastAsiaTheme="minorEastAsia"/>
          <w:lang w:val="en-US" w:eastAsia="en-US"/>
        </w:rPr>
        <w:t>Department of Microbiology, University of Dhaka, Dhaka</w:t>
      </w:r>
      <w:r>
        <w:rPr>
          <w:rFonts w:eastAsiaTheme="minorEastAsia"/>
          <w:lang w:val="en-US" w:eastAsia="en-US"/>
        </w:rPr>
        <w:t>-</w:t>
      </w:r>
      <w:r w:rsidRPr="008B6019">
        <w:rPr>
          <w:rFonts w:eastAsiaTheme="minorEastAsia"/>
          <w:lang w:val="en-US" w:eastAsia="en-US"/>
        </w:rPr>
        <w:t>1000, Bangladesh</w:t>
      </w:r>
    </w:p>
    <w:p w14:paraId="6EA1AFA6" w14:textId="77777777" w:rsidR="00C63C3D" w:rsidRPr="008B6019" w:rsidRDefault="00C63C3D" w:rsidP="00C63C3D">
      <w:pPr>
        <w:pStyle w:val="NormalWeb"/>
        <w:spacing w:before="240" w:beforeAutospacing="0" w:after="0" w:afterAutospacing="0"/>
        <w:rPr>
          <w:rFonts w:eastAsiaTheme="minorEastAsia"/>
          <w:lang w:val="en-US" w:eastAsia="en-US"/>
        </w:rPr>
      </w:pPr>
      <w:r w:rsidRPr="008B6019">
        <w:rPr>
          <w:rFonts w:eastAsiaTheme="minorEastAsia"/>
          <w:vertAlign w:val="superscript"/>
          <w:lang w:val="en-US" w:eastAsia="en-US"/>
        </w:rPr>
        <w:t>3</w:t>
      </w:r>
      <w:r w:rsidRPr="008B6019">
        <w:rPr>
          <w:rFonts w:eastAsiaTheme="minorEastAsia"/>
          <w:lang w:val="en-US" w:eastAsia="en-US"/>
        </w:rPr>
        <w:t>Department of Agriculture, Noakhali Science and Technology University, Noakhali-3814, Bangladesh</w:t>
      </w:r>
    </w:p>
    <w:p w14:paraId="4BDC6425" w14:textId="77777777" w:rsidR="00C63C3D" w:rsidRPr="008B6019" w:rsidRDefault="00C63C3D" w:rsidP="00C63C3D">
      <w:pPr>
        <w:pStyle w:val="NormalWeb"/>
        <w:spacing w:before="240" w:beforeAutospacing="0" w:after="0" w:afterAutospacing="0"/>
        <w:rPr>
          <w:rFonts w:eastAsiaTheme="minorEastAsia"/>
          <w:lang w:val="en-US" w:eastAsia="en-US"/>
        </w:rPr>
      </w:pPr>
      <w:r w:rsidRPr="008B6019">
        <w:rPr>
          <w:rFonts w:eastAsiaTheme="minorEastAsia"/>
          <w:vertAlign w:val="superscript"/>
          <w:lang w:val="en-US" w:eastAsia="en-US"/>
        </w:rPr>
        <w:t>4</w:t>
      </w:r>
      <w:r w:rsidRPr="008B6019">
        <w:rPr>
          <w:rFonts w:eastAsiaTheme="minorEastAsia"/>
          <w:lang w:val="en-US" w:eastAsia="en-US"/>
        </w:rPr>
        <w:t>Department of Agronomy, Kansas State University, Manhattan, KS, United States</w:t>
      </w:r>
    </w:p>
    <w:p w14:paraId="60FACE8F" w14:textId="77777777" w:rsidR="00C63C3D" w:rsidRDefault="00C63C3D" w:rsidP="00C63C3D">
      <w:pPr>
        <w:spacing w:before="240" w:after="0"/>
        <w:rPr>
          <w:rFonts w:cs="Times New Roman"/>
          <w:szCs w:val="24"/>
        </w:rPr>
      </w:pPr>
      <w:r w:rsidRPr="00BC2E7B">
        <w:rPr>
          <w:rFonts w:cs="Times New Roman"/>
          <w:b/>
          <w:bCs/>
          <w:szCs w:val="24"/>
        </w:rPr>
        <w:t>*Correspondence:</w:t>
      </w:r>
      <w:r>
        <w:rPr>
          <w:rFonts w:cs="Times New Roman"/>
          <w:szCs w:val="24"/>
        </w:rPr>
        <w:t xml:space="preserve"> </w:t>
      </w:r>
    </w:p>
    <w:p w14:paraId="10D32C1A" w14:textId="77777777" w:rsidR="00C63C3D" w:rsidRPr="008B6019" w:rsidRDefault="00C63C3D" w:rsidP="00C63C3D">
      <w:pPr>
        <w:spacing w:after="0"/>
        <w:rPr>
          <w:rFonts w:eastAsiaTheme="minorEastAsia" w:cs="Times New Roman"/>
          <w:szCs w:val="24"/>
        </w:rPr>
      </w:pPr>
      <w:r w:rsidRPr="008B6019">
        <w:rPr>
          <w:rFonts w:cs="Times New Roman"/>
          <w:szCs w:val="24"/>
        </w:rPr>
        <w:t>vara@ksu.edu (P</w:t>
      </w:r>
      <w:r>
        <w:rPr>
          <w:rFonts w:cs="Times New Roman"/>
          <w:szCs w:val="24"/>
        </w:rPr>
        <w:t>.</w:t>
      </w:r>
      <w:r w:rsidRPr="008B6019">
        <w:rPr>
          <w:rFonts w:cs="Times New Roman"/>
          <w:szCs w:val="24"/>
        </w:rPr>
        <w:t>V</w:t>
      </w:r>
      <w:r>
        <w:rPr>
          <w:rFonts w:cs="Times New Roman"/>
          <w:szCs w:val="24"/>
        </w:rPr>
        <w:t>.</w:t>
      </w:r>
      <w:r w:rsidRPr="008B6019">
        <w:rPr>
          <w:rFonts w:cs="Times New Roman"/>
          <w:szCs w:val="24"/>
        </w:rPr>
        <w:t>V</w:t>
      </w:r>
      <w:r>
        <w:rPr>
          <w:rFonts w:cs="Times New Roman"/>
          <w:szCs w:val="24"/>
        </w:rPr>
        <w:t>.</w:t>
      </w:r>
      <w:r w:rsidRPr="008B6019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.</w:t>
      </w:r>
      <w:r w:rsidRPr="008B6019">
        <w:rPr>
          <w:rFonts w:cs="Times New Roman"/>
          <w:szCs w:val="24"/>
        </w:rPr>
        <w:t>); mhzsauag@yahoo.com (M</w:t>
      </w:r>
      <w:r>
        <w:rPr>
          <w:rFonts w:cs="Times New Roman"/>
          <w:szCs w:val="24"/>
        </w:rPr>
        <w:t>.</w:t>
      </w:r>
      <w:r w:rsidRPr="008B6019">
        <w:rPr>
          <w:rFonts w:cs="Times New Roman"/>
          <w:szCs w:val="24"/>
        </w:rPr>
        <w:t>H</w:t>
      </w:r>
      <w:r>
        <w:rPr>
          <w:rFonts w:cs="Times New Roman"/>
          <w:szCs w:val="24"/>
        </w:rPr>
        <w:t>.</w:t>
      </w:r>
      <w:r w:rsidRPr="008B6019">
        <w:rPr>
          <w:rFonts w:cs="Times New Roman"/>
          <w:szCs w:val="24"/>
        </w:rPr>
        <w:t>)</w:t>
      </w:r>
    </w:p>
    <w:p w14:paraId="6861D273" w14:textId="1F3AA3C5" w:rsidR="00681E12" w:rsidRDefault="00681E12" w:rsidP="00C63C3D">
      <w:pPr>
        <w:pStyle w:val="Heading2"/>
        <w:numPr>
          <w:ilvl w:val="0"/>
          <w:numId w:val="0"/>
        </w:numPr>
      </w:pPr>
      <w:r>
        <w:t>Supplementary Figures</w:t>
      </w:r>
    </w:p>
    <w:p w14:paraId="2C726E31" w14:textId="77777777" w:rsidR="00681E12" w:rsidRPr="00681E12" w:rsidRDefault="00681E12" w:rsidP="00681E12"/>
    <w:p w14:paraId="0BD36BFC" w14:textId="77777777" w:rsidR="00681E12" w:rsidRDefault="00681E12" w:rsidP="00681E12">
      <w:pPr>
        <w:spacing w:after="0"/>
        <w:jc w:val="center"/>
        <w:rPr>
          <w:rFonts w:cs="Times New Roman"/>
          <w:b/>
          <w:szCs w:val="24"/>
        </w:rPr>
      </w:pPr>
      <w:r>
        <w:rPr>
          <w:noProof/>
        </w:rPr>
        <w:drawing>
          <wp:inline distT="0" distB="0" distL="0" distR="0" wp14:anchorId="4F90A1D7" wp14:editId="35CABA4B">
            <wp:extent cx="3780923" cy="2142205"/>
            <wp:effectExtent l="0" t="0" r="0" b="0"/>
            <wp:docPr id="600266171" name="Picture 5" descr="A graph of different colored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939897" name="Picture 5" descr="A graph of different colored ba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992" cy="215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48191" w14:textId="6B9C956E" w:rsidR="00681E12" w:rsidRDefault="00681E12" w:rsidP="00681E12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>Supplementary Figure 1</w:t>
      </w:r>
      <w:r>
        <w:rPr>
          <w:rFonts w:cs="Times New Roman"/>
          <w:b/>
          <w:szCs w:val="24"/>
        </w:rPr>
        <w:t>.</w:t>
      </w:r>
      <w:r w:rsidRPr="00681E12">
        <w:rPr>
          <w:rFonts w:cs="Times New Roman"/>
          <w:b/>
          <w:szCs w:val="24"/>
        </w:rPr>
        <w:t xml:space="preserve"> </w:t>
      </w:r>
      <w:r w:rsidRPr="00681E12">
        <w:rPr>
          <w:rFonts w:cs="Times New Roman"/>
          <w:szCs w:val="24"/>
        </w:rPr>
        <w:t>Changes in the levels of indole-3-acetic acid (IAA) concentration of rice plants under salt stress</w:t>
      </w:r>
      <w:r w:rsidRPr="00681E12">
        <w:rPr>
          <w:rFonts w:cs="Times New Roman"/>
          <w:b/>
          <w:bCs/>
          <w:szCs w:val="24"/>
        </w:rPr>
        <w:t xml:space="preserve"> </w:t>
      </w:r>
      <w:r w:rsidRPr="00681E12">
        <w:rPr>
          <w:rFonts w:cs="Times New Roman"/>
          <w:bCs/>
          <w:szCs w:val="24"/>
        </w:rPr>
        <w:t>(50 and 100 mM NaCl) with the absence or presence of three PGPRs (</w:t>
      </w:r>
      <w:r w:rsidRPr="00681E12">
        <w:rPr>
          <w:rFonts w:cs="Times New Roman"/>
          <w:bCs/>
          <w:i/>
          <w:szCs w:val="24"/>
        </w:rPr>
        <w:t>Bacillus subtilis</w:t>
      </w:r>
      <w:r w:rsidRPr="00681E12">
        <w:rPr>
          <w:rFonts w:cs="Times New Roman"/>
          <w:bCs/>
          <w:szCs w:val="24"/>
        </w:rPr>
        <w:t xml:space="preserve">, epiphytic </w:t>
      </w:r>
      <w:r w:rsidRPr="00681E12">
        <w:rPr>
          <w:rFonts w:cs="Times New Roman"/>
          <w:bCs/>
          <w:i/>
          <w:szCs w:val="24"/>
        </w:rPr>
        <w:t xml:space="preserve">B. </w:t>
      </w:r>
      <w:proofErr w:type="spellStart"/>
      <w:r w:rsidRPr="00681E12">
        <w:rPr>
          <w:rFonts w:cs="Times New Roman"/>
          <w:bCs/>
          <w:i/>
          <w:szCs w:val="24"/>
        </w:rPr>
        <w:t>aryabhattai</w:t>
      </w:r>
      <w:proofErr w:type="spellEnd"/>
      <w:r w:rsidRPr="00681E12">
        <w:rPr>
          <w:rFonts w:cs="Times New Roman"/>
          <w:bCs/>
          <w:szCs w:val="24"/>
        </w:rPr>
        <w:t xml:space="preserve">, and endophytic </w:t>
      </w:r>
      <w:r w:rsidRPr="00681E12">
        <w:rPr>
          <w:rFonts w:cs="Times New Roman"/>
          <w:bCs/>
          <w:i/>
          <w:szCs w:val="24"/>
        </w:rPr>
        <w:t xml:space="preserve">B. </w:t>
      </w:r>
      <w:proofErr w:type="spellStart"/>
      <w:r w:rsidRPr="00681E12">
        <w:rPr>
          <w:rFonts w:cs="Times New Roman"/>
          <w:bCs/>
          <w:i/>
          <w:szCs w:val="24"/>
        </w:rPr>
        <w:t>aryabhattai</w:t>
      </w:r>
      <w:proofErr w:type="spellEnd"/>
      <w:r w:rsidRPr="00681E12">
        <w:rPr>
          <w:rFonts w:cs="Times New Roman"/>
          <w:bCs/>
          <w:szCs w:val="24"/>
        </w:rPr>
        <w:t>).</w:t>
      </w:r>
      <w:r w:rsidRPr="00681E12">
        <w:rPr>
          <w:rFonts w:cs="Times New Roman"/>
          <w:szCs w:val="24"/>
        </w:rPr>
        <w:t xml:space="preserve"> </w:t>
      </w:r>
      <w:r w:rsidRPr="00681E12">
        <w:rPr>
          <w:rFonts w:cs="Times New Roman"/>
          <w:bCs/>
          <w:szCs w:val="24"/>
        </w:rPr>
        <w:t xml:space="preserve">Data are presented as mean </w:t>
      </w:r>
      <w:r w:rsidRPr="00681E12">
        <w:rPr>
          <w:rFonts w:cs="Times New Roman"/>
          <w:szCs w:val="24"/>
          <w:shd w:val="clear" w:color="auto" w:fill="FFFFFF"/>
        </w:rPr>
        <w:t>± standard deviation of three replications (</w:t>
      </w:r>
      <w:r w:rsidRPr="00681E12">
        <w:rPr>
          <w:rFonts w:cs="Times New Roman"/>
          <w:i/>
          <w:iCs/>
          <w:szCs w:val="24"/>
          <w:shd w:val="clear" w:color="auto" w:fill="FFFFFF"/>
        </w:rPr>
        <w:t>n</w:t>
      </w:r>
      <w:r w:rsidRPr="00681E12">
        <w:rPr>
          <w:rFonts w:cs="Times New Roman"/>
          <w:szCs w:val="24"/>
          <w:shd w:val="clear" w:color="auto" w:fill="FFFFFF"/>
        </w:rPr>
        <w:t>=3).</w:t>
      </w:r>
      <w:r w:rsidRPr="00681E12">
        <w:rPr>
          <w:rFonts w:cs="Times New Roman"/>
          <w:bCs/>
          <w:szCs w:val="24"/>
        </w:rPr>
        <w:t xml:space="preserve"> Distinct letters on the bars show significant differences between treatments at </w:t>
      </w:r>
      <w:r w:rsidRPr="00681E12">
        <w:rPr>
          <w:rFonts w:cs="Times New Roman"/>
          <w:bCs/>
          <w:i/>
          <w:iCs/>
          <w:szCs w:val="24"/>
        </w:rPr>
        <w:t>p</w:t>
      </w:r>
      <w:r w:rsidRPr="00681E12">
        <w:rPr>
          <w:rFonts w:cs="Times New Roman"/>
          <w:bCs/>
          <w:szCs w:val="24"/>
        </w:rPr>
        <w:t xml:space="preserve"> ≤ 0.05 from Tukey’s HSD test.</w:t>
      </w:r>
    </w:p>
    <w:p w14:paraId="2CA685E4" w14:textId="49DB4C93" w:rsidR="00681E12" w:rsidRDefault="00681E12" w:rsidP="00681E12">
      <w:pPr>
        <w:spacing w:after="0"/>
        <w:jc w:val="both"/>
        <w:rPr>
          <w:rFonts w:cs="Times New Roman"/>
          <w:b/>
          <w:szCs w:val="24"/>
        </w:rPr>
      </w:pPr>
    </w:p>
    <w:p w14:paraId="0B6B3B25" w14:textId="77777777" w:rsidR="00681E12" w:rsidRDefault="00681E12" w:rsidP="00681E12">
      <w:pPr>
        <w:spacing w:after="0"/>
        <w:jc w:val="both"/>
        <w:rPr>
          <w:rFonts w:cs="Times New Roman"/>
          <w:szCs w:val="24"/>
        </w:rPr>
      </w:pPr>
      <w:r>
        <w:rPr>
          <w:noProof/>
        </w:rPr>
        <w:lastRenderedPageBreak/>
        <w:drawing>
          <wp:inline distT="0" distB="0" distL="0" distR="0" wp14:anchorId="0AE33BAF" wp14:editId="4A755382">
            <wp:extent cx="5704764" cy="3466938"/>
            <wp:effectExtent l="0" t="0" r="0" b="635"/>
            <wp:docPr id="1884331492" name="Picture 10" descr="A graph of different colored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530038" name="Picture 10" descr="A graph of different colored ba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952" cy="34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C10F1" w14:textId="63013582" w:rsidR="00533404" w:rsidRDefault="00681E12" w:rsidP="00681E12">
      <w:pPr>
        <w:spacing w:after="0"/>
        <w:jc w:val="both"/>
      </w:pPr>
      <w:r>
        <w:rPr>
          <w:rFonts w:cs="Times New Roman"/>
          <w:b/>
          <w:szCs w:val="24"/>
        </w:rPr>
        <w:t>Supplementary Figure 2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8B6019">
        <w:rPr>
          <w:rFonts w:cs="Times New Roman"/>
          <w:bCs/>
          <w:szCs w:val="24"/>
        </w:rPr>
        <w:t xml:space="preserve">Variations in MG (A), </w:t>
      </w:r>
      <w:proofErr w:type="spellStart"/>
      <w:r w:rsidRPr="008B6019">
        <w:rPr>
          <w:rFonts w:cs="Times New Roman"/>
          <w:bCs/>
          <w:szCs w:val="24"/>
        </w:rPr>
        <w:t>Gly</w:t>
      </w:r>
      <w:proofErr w:type="spellEnd"/>
      <w:r w:rsidRPr="008B6019">
        <w:rPr>
          <w:rFonts w:cs="Times New Roman"/>
          <w:bCs/>
          <w:szCs w:val="24"/>
        </w:rPr>
        <w:t xml:space="preserve"> I (B), and </w:t>
      </w:r>
      <w:proofErr w:type="spellStart"/>
      <w:r w:rsidRPr="008B6019">
        <w:rPr>
          <w:rFonts w:cs="Times New Roman"/>
          <w:bCs/>
          <w:szCs w:val="24"/>
        </w:rPr>
        <w:t>Gly</w:t>
      </w:r>
      <w:proofErr w:type="spellEnd"/>
      <w:r w:rsidRPr="008B6019">
        <w:rPr>
          <w:rFonts w:cs="Times New Roman"/>
          <w:bCs/>
          <w:szCs w:val="24"/>
        </w:rPr>
        <w:t xml:space="preserve"> II (C) activities </w:t>
      </w:r>
      <w:r w:rsidRPr="008B6019">
        <w:rPr>
          <w:rFonts w:cs="Times New Roman"/>
          <w:szCs w:val="24"/>
        </w:rPr>
        <w:t xml:space="preserve">of rice plants under salt stress </w:t>
      </w:r>
      <w:r w:rsidRPr="008B6019">
        <w:rPr>
          <w:rFonts w:cs="Times New Roman"/>
          <w:bCs/>
          <w:szCs w:val="24"/>
        </w:rPr>
        <w:t>(50 and 100 mM NaCl) in the absence or presence of three PGPRs</w:t>
      </w:r>
      <w:r w:rsidRPr="007F4FA0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(</w:t>
      </w:r>
      <w:r w:rsidRPr="008B6019">
        <w:rPr>
          <w:rFonts w:cs="Times New Roman"/>
          <w:bCs/>
          <w:i/>
          <w:szCs w:val="24"/>
        </w:rPr>
        <w:t>Bacillus subtilis</w:t>
      </w:r>
      <w:r w:rsidRPr="008B6019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</w:t>
      </w:r>
      <w:r w:rsidRPr="008B6019">
        <w:rPr>
          <w:rFonts w:cs="Times New Roman"/>
          <w:bCs/>
          <w:szCs w:val="24"/>
        </w:rPr>
        <w:t xml:space="preserve">epiphytic </w:t>
      </w:r>
      <w:r w:rsidRPr="008B6019">
        <w:rPr>
          <w:rFonts w:cs="Times New Roman"/>
          <w:bCs/>
          <w:i/>
          <w:szCs w:val="24"/>
        </w:rPr>
        <w:t xml:space="preserve">B. </w:t>
      </w:r>
      <w:proofErr w:type="spellStart"/>
      <w:r w:rsidRPr="008B6019">
        <w:rPr>
          <w:rFonts w:cs="Times New Roman"/>
          <w:bCs/>
          <w:i/>
          <w:szCs w:val="24"/>
        </w:rPr>
        <w:t>aryabhattai</w:t>
      </w:r>
      <w:proofErr w:type="spellEnd"/>
      <w:r w:rsidRPr="008B6019">
        <w:rPr>
          <w:rFonts w:cs="Times New Roman"/>
          <w:bCs/>
          <w:szCs w:val="24"/>
        </w:rPr>
        <w:t xml:space="preserve">, and endophytic </w:t>
      </w:r>
      <w:r w:rsidRPr="008B6019">
        <w:rPr>
          <w:rFonts w:cs="Times New Roman"/>
          <w:bCs/>
          <w:i/>
          <w:szCs w:val="24"/>
        </w:rPr>
        <w:t xml:space="preserve">B. </w:t>
      </w:r>
      <w:proofErr w:type="spellStart"/>
      <w:r w:rsidRPr="008B6019">
        <w:rPr>
          <w:rFonts w:cs="Times New Roman"/>
          <w:bCs/>
          <w:i/>
          <w:szCs w:val="24"/>
        </w:rPr>
        <w:t>aryabhattai</w:t>
      </w:r>
      <w:proofErr w:type="spellEnd"/>
      <w:r>
        <w:rPr>
          <w:rFonts w:cs="Times New Roman"/>
          <w:bCs/>
          <w:szCs w:val="24"/>
        </w:rPr>
        <w:t>).</w:t>
      </w:r>
      <w:r w:rsidRPr="008B6019">
        <w:rPr>
          <w:rFonts w:cs="Times New Roman"/>
          <w:bCs/>
          <w:szCs w:val="24"/>
        </w:rPr>
        <w:t xml:space="preserve"> Data are presented as mean </w:t>
      </w:r>
      <w:r w:rsidRPr="008B6019">
        <w:rPr>
          <w:rFonts w:cs="Times New Roman"/>
          <w:szCs w:val="24"/>
          <w:shd w:val="clear" w:color="auto" w:fill="FFFFFF"/>
        </w:rPr>
        <w:t>± standard deviation of three replications (</w:t>
      </w:r>
      <w:r w:rsidRPr="008B6019">
        <w:rPr>
          <w:rFonts w:cs="Times New Roman"/>
          <w:i/>
          <w:iCs/>
          <w:szCs w:val="24"/>
          <w:shd w:val="clear" w:color="auto" w:fill="FFFFFF"/>
        </w:rPr>
        <w:t>n</w:t>
      </w:r>
      <w:r w:rsidRPr="008B6019">
        <w:rPr>
          <w:rFonts w:cs="Times New Roman"/>
          <w:szCs w:val="24"/>
          <w:shd w:val="clear" w:color="auto" w:fill="FFFFFF"/>
        </w:rPr>
        <w:t>=3).</w:t>
      </w:r>
      <w:r w:rsidRPr="008B6019">
        <w:rPr>
          <w:rFonts w:cs="Times New Roman"/>
          <w:bCs/>
          <w:szCs w:val="24"/>
        </w:rPr>
        <w:t xml:space="preserve"> Distinct letters on the bars show significant differences between treatments at </w:t>
      </w:r>
      <w:r>
        <w:rPr>
          <w:rFonts w:cs="Times New Roman"/>
          <w:bCs/>
          <w:i/>
          <w:iCs/>
          <w:szCs w:val="24"/>
        </w:rPr>
        <w:t>p</w:t>
      </w:r>
      <w:r w:rsidRPr="008B6019">
        <w:rPr>
          <w:rFonts w:cs="Times New Roman"/>
          <w:bCs/>
          <w:szCs w:val="24"/>
        </w:rPr>
        <w:t xml:space="preserve"> ≤ 0.05 from Tukey’s HSD test.</w:t>
      </w:r>
    </w:p>
    <w:sectPr w:rsidR="00533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num w:numId="1" w16cid:durableId="1960409986">
    <w:abstractNumId w:val="0"/>
  </w:num>
  <w:num w:numId="2" w16cid:durableId="171381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25"/>
    <w:rsid w:val="00027525"/>
    <w:rsid w:val="00533404"/>
    <w:rsid w:val="00681E12"/>
    <w:rsid w:val="00A524FB"/>
    <w:rsid w:val="00C63C3D"/>
    <w:rsid w:val="00C6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F47F4"/>
  <w15:chartTrackingRefBased/>
  <w15:docId w15:val="{6D987E6D-BE21-4B04-BDED-2865513D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E12"/>
    <w:pPr>
      <w:spacing w:before="120" w:after="24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681E12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unhideWhenUsed/>
    <w:qFormat/>
    <w:rsid w:val="00681E12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681E1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semiHidden/>
    <w:unhideWhenUsed/>
    <w:qFormat/>
    <w:rsid w:val="00681E12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semiHidden/>
    <w:unhideWhenUsed/>
    <w:qFormat/>
    <w:rsid w:val="00681E12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81E12"/>
    <w:rPr>
      <w:rFonts w:ascii="Times New Roman" w:eastAsia="Cambria" w:hAnsi="Times New Roman" w:cs="Times New Roman"/>
      <w:b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681E12"/>
    <w:rPr>
      <w:rFonts w:ascii="Times New Roman" w:eastAsia="Cambria" w:hAnsi="Times New Roman" w:cs="Times New Roman"/>
      <w:b/>
      <w:kern w:val="0"/>
      <w:sz w:val="24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681E12"/>
    <w:rPr>
      <w:rFonts w:ascii="Times New Roman" w:eastAsiaTheme="majorEastAsia" w:hAnsi="Times New Roman" w:cstheme="majorBidi"/>
      <w:b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681E12"/>
    <w:rPr>
      <w:rFonts w:ascii="Times New Roman" w:eastAsiaTheme="majorEastAsia" w:hAnsi="Times New Roman" w:cstheme="majorBidi"/>
      <w:b/>
      <w:iCs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681E12"/>
    <w:rPr>
      <w:rFonts w:ascii="Times New Roman" w:eastAsiaTheme="majorEastAsia" w:hAnsi="Times New Roman" w:cstheme="majorBidi"/>
      <w:b/>
      <w:iCs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81E1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681E12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81E12"/>
    <w:rPr>
      <w:rFonts w:ascii="Times New Roman" w:hAnsi="Times New Roman" w:cs="Times New Roman"/>
      <w:b/>
      <w:kern w:val="0"/>
      <w:sz w:val="32"/>
      <w:szCs w:val="32"/>
      <w:lang w:val="en-US"/>
      <w14:ligatures w14:val="non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81E12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customStyle="1" w:styleId="SupplementaryMaterial">
    <w:name w:val="Supplementary Material"/>
    <w:basedOn w:val="Title"/>
    <w:next w:val="Title"/>
    <w:qFormat/>
    <w:rsid w:val="00681E12"/>
    <w:pPr>
      <w:spacing w:after="120"/>
    </w:pPr>
    <w:rPr>
      <w:i/>
    </w:rPr>
  </w:style>
  <w:style w:type="numbering" w:customStyle="1" w:styleId="Headings">
    <w:name w:val="Headings"/>
    <w:uiPriority w:val="99"/>
    <w:rsid w:val="00681E12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81E1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81E1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1E12"/>
    <w:rPr>
      <w:rFonts w:eastAsiaTheme="minorEastAsia"/>
      <w:color w:val="5A5A5A" w:themeColor="text1" w:themeTint="A5"/>
      <w:spacing w:val="15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C63C3D"/>
    <w:pPr>
      <w:spacing w:before="100" w:beforeAutospacing="1" w:after="100" w:afterAutospacing="1"/>
    </w:pPr>
    <w:rPr>
      <w:rFonts w:eastAsia="Times New Roman" w:cs="Times New Roman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1472</Characters>
  <Application>Microsoft Office Word</Application>
  <DocSecurity>0</DocSecurity>
  <Lines>31</Lines>
  <Paragraphs>11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Siddika</dc:creator>
  <cp:keywords/>
  <dc:description/>
  <cp:lastModifiedBy>Ayesha Siddika</cp:lastModifiedBy>
  <cp:revision>3</cp:revision>
  <dcterms:created xsi:type="dcterms:W3CDTF">2024-05-21T11:29:00Z</dcterms:created>
  <dcterms:modified xsi:type="dcterms:W3CDTF">2024-05-21T11:35:00Z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cfb2b207a0072aeb848fe13847eb140cb5f274a1f898bbdd52290ad0f071a9f0</vt:lpwstr>
  </property>
</Properties>
</file>