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eastAsia="宋体"/>
          <w:lang w:val="en-US" w:eastAsia="zh-CN"/>
        </w:rPr>
      </w:pPr>
      <w:r>
        <w:t>Supplementary Material</w:t>
      </w:r>
      <w:r>
        <w:rPr>
          <w:rFonts w:hint="eastAsia" w:eastAsia="宋体"/>
          <w:lang w:val="en-US" w:eastAsia="zh-CN"/>
        </w:rPr>
        <w:t>s for</w:t>
      </w:r>
    </w:p>
    <w:p>
      <w:pPr>
        <w:pStyle w:val="5"/>
        <w:rPr>
          <w:rFonts w:hint="eastAsia" w:eastAsia="宋体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AGBL4 Promotes Malignant Progression of Glioblastoma via Modulation of MMP-1 and Inflammatory Pathways</w:t>
      </w:r>
    </w:p>
    <w:p>
      <w:pPr>
        <w:pStyle w:val="5"/>
        <w:rPr>
          <w:rFonts w:hint="eastAsia" w:ascii="Times New Roman" w:hAnsi="Times New Roman" w:cs="Times New Roman" w:eastAsiaTheme="minorHAnsi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 w:eastAsiaTheme="minorHAnsi"/>
          <w:b/>
          <w:bCs/>
          <w:sz w:val="24"/>
          <w:szCs w:val="24"/>
          <w:highlight w:val="none"/>
          <w:lang w:val="en-US" w:eastAsia="zh-CN" w:bidi="ar-SA"/>
        </w:rPr>
        <w:t>Manuscript ID: 1420182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Times New Roman" w:cs="Times New Roman"/>
          <w:b w:val="0"/>
          <w:bCs w:val="0"/>
          <w:sz w:val="24"/>
        </w:rPr>
      </w:pPr>
      <w:r>
        <w:rPr>
          <w:rFonts w:hint="eastAsia" w:cs="Times New Roman"/>
          <w:b/>
          <w:bCs/>
          <w:sz w:val="24"/>
          <w:szCs w:val="24"/>
          <w:highlight w:val="none"/>
          <w:lang w:val="en-US" w:eastAsia="zh-CN" w:bidi="ar-SA"/>
        </w:rPr>
        <w:t xml:space="preserve">Authors: 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Shuai Zhang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282828"/>
          <w:spacing w:val="0"/>
          <w:sz w:val="24"/>
          <w:szCs w:val="24"/>
          <w:shd w:val="clear" w:fill="F7F7F7"/>
          <w:vertAlign w:val="superscript"/>
        </w:rPr>
        <w:t>†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, Lilin Cheng</w:t>
      </w:r>
      <w:r>
        <w:rPr>
          <w:rFonts w:hint="eastAsia" w:eastAsia="宋体" w:cs="Times New Roman"/>
          <w:b w:val="0"/>
          <w:bCs w:val="0"/>
          <w:sz w:val="24"/>
          <w:vertAlign w:val="superscript"/>
          <w:lang w:val="en-US" w:eastAsia="zh-CN"/>
        </w:rPr>
        <w:t>1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282828"/>
          <w:spacing w:val="0"/>
          <w:sz w:val="24"/>
          <w:szCs w:val="24"/>
          <w:shd w:val="clear" w:fill="F7F7F7"/>
          <w:vertAlign w:val="superscript"/>
        </w:rPr>
        <w:t>†</w:t>
      </w:r>
      <w:r>
        <w:rPr>
          <w:rFonts w:ascii="Times New Roman" w:hAnsi="Times New Roman" w:eastAsia="宋体" w:cs="Times New Roman"/>
          <w:b w:val="0"/>
          <w:bCs w:val="0"/>
          <w:sz w:val="24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>Yandong Su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282828"/>
          <w:spacing w:val="0"/>
          <w:sz w:val="24"/>
          <w:szCs w:val="24"/>
          <w:shd w:val="clear" w:fill="F7F7F7"/>
          <w:vertAlign w:val="superscript"/>
        </w:rPr>
        <w:t>†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Zhongrun Qia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n</w:t>
      </w:r>
      <w:r>
        <w:rPr>
          <w:rFonts w:hint="eastAsia" w:eastAsia="宋体" w:cs="Times New Roman"/>
          <w:b w:val="0"/>
          <w:bCs w:val="0"/>
          <w:sz w:val="24"/>
          <w:highlight w:val="none"/>
          <w:vertAlign w:val="superscript"/>
          <w:lang w:val="en-US" w:eastAsia="zh-CN"/>
        </w:rPr>
        <w:t>2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282828"/>
          <w:spacing w:val="0"/>
          <w:sz w:val="24"/>
          <w:szCs w:val="24"/>
          <w:shd w:val="clear" w:fill="F7F7F7"/>
          <w:vertAlign w:val="superscript"/>
        </w:rPr>
        <w:t>†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>, Zhen Wang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Chao Chen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Rong Li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Aikang Zhang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Jiawei He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Jiangxin Mao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H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ongxiang</w:t>
      </w:r>
      <w:r>
        <w:rPr>
          <w:rFonts w:ascii="Times New Roman" w:hAnsi="Times New Roman" w:eastAsia="宋体" w:cs="Times New Roman"/>
          <w:b w:val="0"/>
          <w:bCs w:val="0"/>
          <w:sz w:val="24"/>
        </w:rPr>
        <w:t xml:space="preserve"> W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ang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ascii="Times New Roman" w:hAnsi="Times New Roman" w:eastAsia="Times New Roman" w:cs="Times New Roman"/>
          <w:b w:val="0"/>
          <w:bCs w:val="0"/>
          <w:sz w:val="24"/>
        </w:rPr>
        <w:t>*</w:t>
      </w:r>
      <w:r>
        <w:rPr>
          <w:rFonts w:hint="eastAsia" w:ascii="Times New Roman" w:hAnsi="Times New Roman" w:eastAsia="宋体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Juxiang Chen</w:t>
      </w:r>
      <w:r>
        <w:rPr>
          <w:rFonts w:ascii="Times New Roman" w:hAnsi="Times New Roman" w:eastAsia="宋体" w:cs="Times New Roman"/>
          <w:b w:val="0"/>
          <w:bCs w:val="0"/>
          <w:sz w:val="24"/>
          <w:vertAlign w:val="superscript"/>
        </w:rPr>
        <w:t>1</w:t>
      </w:r>
      <w:r>
        <w:rPr>
          <w:rFonts w:ascii="Times New Roman" w:hAnsi="Times New Roman" w:eastAsia="Times New Roman" w:cs="Times New Roman"/>
          <w:b w:val="0"/>
          <w:bCs w:val="0"/>
          <w:sz w:val="24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Times New Roman" w:cs="Times New Roman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u w:val="single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lang w:val="en-US" w:eastAsia="zh-CN"/>
        </w:rPr>
        <w:t xml:space="preserve">Correspondenct to: </w:t>
      </w:r>
      <w:r>
        <w:rPr>
          <w:rFonts w:hint="eastAsia" w:ascii="Times New Roman" w:hAnsi="Times New Roman" w:eastAsia="宋体" w:cs="Times New Roman"/>
          <w:color w:val="auto"/>
          <w:sz w:val="24"/>
          <w:u w:val="single"/>
          <w:lang w:val="en-US" w:eastAsia="zh-CN"/>
        </w:rPr>
        <w:t>wanghongxiang27@smmu.edu.cn</w:t>
      </w:r>
      <w:r>
        <w:rPr>
          <w:rFonts w:hint="eastAsia" w:eastAsia="宋体" w:cs="Times New Roman"/>
          <w:sz w:val="24"/>
          <w:lang w:val="en-US" w:eastAsia="zh-CN"/>
        </w:rPr>
        <w:t xml:space="preserve"> or </w:t>
      </w:r>
      <w:r>
        <w:rPr>
          <w:rFonts w:ascii="Times New Roman" w:hAnsi="Times New Roman" w:eastAsia="Times New Roman" w:cs="Times New Roman"/>
          <w:color w:val="auto"/>
          <w:sz w:val="24"/>
          <w:u w:val="single"/>
        </w:rPr>
        <w:t>jxchenchhs@163.com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Supplementary Methods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eastAsia="宋体" w:cs="Times New Roman"/>
          <w:b/>
          <w:bCs/>
          <w:color w:val="auto"/>
          <w:sz w:val="24"/>
          <w:lang w:val="en-US" w:eastAsia="zh-CN"/>
        </w:rPr>
        <w:t>Hematoxylin-Eosin (H&amp;E) Staining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eastAsia="宋体" w:cs="Times New Roman"/>
          <w:color w:val="auto"/>
          <w:sz w:val="24"/>
          <w:lang w:val="en-US" w:eastAsia="zh-CN"/>
        </w:rPr>
        <w:t>Tissue sections were fixed, embedded in paraffin, and cut into 5 µm thick slices. Sections were then deparaffinized, rehydrated, and stained with Harris hematoxylin followed by eosin Y. After staining, sections were dehydrated, cleared, and mounted. The stained tissues were analyzed under a light microscope to evaluate histopathological features.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Functional </w:t>
      </w:r>
      <w:r>
        <w:rPr>
          <w:rFonts w:hint="eastAsia" w:eastAsia="宋体" w:cs="Times New Roman"/>
          <w:b/>
          <w:bCs/>
          <w:color w:val="auto"/>
          <w:sz w:val="24"/>
          <w:lang w:val="en-US" w:eastAsia="zh-CN"/>
        </w:rPr>
        <w:t>E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nrichment </w:t>
      </w:r>
      <w:r>
        <w:rPr>
          <w:rFonts w:hint="eastAsia" w:eastAsia="宋体" w:cs="Times New Roman"/>
          <w:b/>
          <w:bCs/>
          <w:color w:val="auto"/>
          <w:sz w:val="24"/>
          <w:lang w:val="en-US" w:eastAsia="zh-CN"/>
        </w:rPr>
        <w:t>Analysis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 w:cs="Times New Roman"/>
          <w:color w:val="auto"/>
          <w:sz w:val="24"/>
          <w:lang w:val="en-US" w:eastAsia="zh-CN"/>
        </w:rPr>
      </w:pP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Functional enrichment analysis was performed using the </w:t>
      </w:r>
      <w:r>
        <w:rPr>
          <w:rFonts w:ascii="Times New Roman" w:hAnsi="Times New Roman" w:cs="Times New Roman"/>
          <w:color w:val="auto"/>
          <w:sz w:val="24"/>
        </w:rPr>
        <w:t>Database for Annotation, Visualization, and Integrated Discovery (DAVID, v2021)</w:t>
      </w: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 for </w:t>
      </w:r>
      <w:r>
        <w:rPr>
          <w:rFonts w:ascii="Times New Roman" w:hAnsi="Times New Roman" w:cs="Times New Roman"/>
          <w:color w:val="auto"/>
          <w:sz w:val="24"/>
        </w:rPr>
        <w:t>Gene Ontology (GO) and Kyoto Encyclopedia of Genes and Genomes (KEGG) pathway analy</w:t>
      </w:r>
      <w:r>
        <w:rPr>
          <w:rFonts w:hint="eastAsia" w:eastAsia="宋体" w:cs="Times New Roman"/>
          <w:color w:val="auto"/>
          <w:sz w:val="24"/>
          <w:lang w:val="en-US" w:eastAsia="zh-CN"/>
        </w:rPr>
        <w:t>ses. The Tumor IMmune Estimation Resource (TIMER) database was used to analyze immune cell infiltration levels and their correlation with gene expression. The STRING database (version 12.0) was utilized for protein-protein interaction (PPI) networks, The Ctyoscape software (version 3.10.2) was used for data visualization and hub gene mining.</w:t>
      </w:r>
    </w:p>
    <w:p/>
    <w:p/>
    <w:p/>
    <w:p/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10610" cy="6284595"/>
            <wp:effectExtent l="0" t="0" r="8890" b="1905"/>
            <wp:docPr id="1" name="图片 1" descr="Fig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 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Supplementary Fig</w:t>
      </w:r>
      <w:r>
        <w:rPr>
          <w:rFonts w:hint="eastAsia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ure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 Bioinformatics analysis of DEGs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Results of differentially expressed genes analysis of A172</w:t>
      </w:r>
      <w:r>
        <w:rPr>
          <w:rFonts w:hint="eastAsia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and A172-AGBL4-KD4.</w:t>
      </w:r>
      <w:r>
        <w:rPr>
          <w:rFonts w:hint="eastAsia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Volcano map of DEGs of A172 and A172-AGBL4-KD4.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GO enrich</w:t>
      </w:r>
      <w:r>
        <w:rPr>
          <w:rFonts w:hint="eastAsia" w:eastAsia="宋体" w:cs="Times New Roman"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ent</w:t>
      </w:r>
      <w:r>
        <w:rPr>
          <w:rFonts w:hint="eastAsia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analysis of DEGs of A172 and A172-AGBL4-KD4.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KEGG enrichment analysis of A172 and A172-AGBL4-KD4.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407410" cy="2734310"/>
            <wp:effectExtent l="0" t="0" r="2540" b="8890"/>
            <wp:docPr id="2" name="图片 2" descr="Fig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 S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  <w:bookmarkStart w:id="0" w:name="OLE_LINK2"/>
      <w:r>
        <w:rPr>
          <w:rFonts w:cs="Times New Roman"/>
          <w:b/>
          <w:szCs w:val="24"/>
        </w:rPr>
        <w:t xml:space="preserve">Supplementary </w:t>
      </w:r>
      <w:bookmarkEnd w:id="0"/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Fig</w:t>
      </w:r>
      <w:r>
        <w:rPr>
          <w:rFonts w:hint="eastAsia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ure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2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Relative expression levels of candidate genes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 w:eastAsiaTheme="minorHAnsi"/>
          <w:b/>
          <w:bCs/>
          <w:sz w:val="24"/>
          <w:szCs w:val="22"/>
          <w:lang w:val="en-US" w:eastAsia="en-US" w:bidi="ar-SA"/>
        </w:rPr>
        <w:t>A-</w:t>
      </w:r>
      <w:r>
        <w:rPr>
          <w:rFonts w:hint="eastAsia" w:ascii="Times New Roman" w:hAnsi="Times New Roman" w:cs="Times New Roman"/>
          <w:b/>
          <w:bCs/>
          <w:sz w:val="24"/>
        </w:rPr>
        <w:t xml:space="preserve">H </w:t>
      </w:r>
      <w:r>
        <w:rPr>
          <w:rFonts w:hint="eastAsia" w:ascii="Times New Roman" w:hAnsi="Times New Roman" w:cs="Times New Roman"/>
          <w:sz w:val="24"/>
        </w:rPr>
        <w:t>The relative expression levels of CDCP1 (</w:t>
      </w:r>
      <w:r>
        <w:rPr>
          <w:rFonts w:hint="eastAsia" w:ascii="Times New Roman" w:hAnsi="Times New Roman" w:cs="Times New Roman"/>
          <w:b/>
          <w:bCs/>
          <w:sz w:val="24"/>
        </w:rPr>
        <w:t>A</w:t>
      </w:r>
      <w:r>
        <w:rPr>
          <w:rFonts w:hint="eastAsia" w:ascii="Times New Roman" w:hAnsi="Times New Roman" w:cs="Times New Roman"/>
          <w:sz w:val="24"/>
        </w:rPr>
        <w:t>), MMP-1 (</w:t>
      </w:r>
      <w:r>
        <w:rPr>
          <w:rFonts w:hint="eastAsia" w:ascii="Times New Roman" w:hAnsi="Times New Roman" w:cs="Times New Roman"/>
          <w:b/>
          <w:bCs/>
          <w:sz w:val="24"/>
        </w:rPr>
        <w:t>B</w:t>
      </w:r>
      <w:r>
        <w:rPr>
          <w:rFonts w:hint="eastAsia" w:ascii="Times New Roman" w:hAnsi="Times New Roman" w:cs="Times New Roman"/>
          <w:sz w:val="24"/>
        </w:rPr>
        <w:t>), MIAT (</w:t>
      </w:r>
      <w:r>
        <w:rPr>
          <w:rFonts w:hint="eastAsia" w:ascii="Times New Roman" w:hAnsi="Times New Roman" w:cs="Times New Roman"/>
          <w:b/>
          <w:bCs/>
          <w:sz w:val="24"/>
        </w:rPr>
        <w:t>C</w:t>
      </w:r>
      <w:r>
        <w:rPr>
          <w:rFonts w:hint="eastAsia" w:ascii="Times New Roman" w:hAnsi="Times New Roman" w:cs="Times New Roman"/>
          <w:sz w:val="24"/>
        </w:rPr>
        <w:t>), PRUNE2 (</w:t>
      </w:r>
      <w:r>
        <w:rPr>
          <w:rFonts w:hint="eastAsia" w:ascii="Times New Roman" w:hAnsi="Times New Roman" w:cs="Times New Roman"/>
          <w:b/>
          <w:bCs/>
          <w:sz w:val="24"/>
        </w:rPr>
        <w:t>D</w:t>
      </w:r>
      <w:r>
        <w:rPr>
          <w:rFonts w:hint="eastAsia" w:ascii="Times New Roman" w:hAnsi="Times New Roman" w:cs="Times New Roman"/>
          <w:sz w:val="24"/>
        </w:rPr>
        <w:t>), AXIN2 (</w:t>
      </w:r>
      <w:r>
        <w:rPr>
          <w:rFonts w:hint="eastAsia" w:ascii="Times New Roman" w:hAnsi="Times New Roman" w:cs="Times New Roman"/>
          <w:b/>
          <w:bCs/>
          <w:sz w:val="24"/>
        </w:rPr>
        <w:t>E</w:t>
      </w:r>
      <w:r>
        <w:rPr>
          <w:rFonts w:hint="eastAsia" w:ascii="Times New Roman" w:hAnsi="Times New Roman" w:cs="Times New Roman"/>
          <w:sz w:val="24"/>
        </w:rPr>
        <w:t>), FRAS1 (</w:t>
      </w:r>
      <w:r>
        <w:rPr>
          <w:rFonts w:hint="eastAsia" w:ascii="Times New Roman" w:hAnsi="Times New Roman" w:cs="Times New Roman"/>
          <w:b/>
          <w:bCs/>
          <w:sz w:val="24"/>
        </w:rPr>
        <w:t>F</w:t>
      </w:r>
      <w:r>
        <w:rPr>
          <w:rFonts w:hint="eastAsia" w:ascii="Times New Roman" w:hAnsi="Times New Roman" w:cs="Times New Roman"/>
          <w:sz w:val="24"/>
        </w:rPr>
        <w:t>), HSD17B6 (</w:t>
      </w:r>
      <w:r>
        <w:rPr>
          <w:rFonts w:hint="eastAsia" w:ascii="Times New Roman" w:hAnsi="Times New Roman" w:cs="Times New Roman"/>
          <w:b/>
          <w:bCs/>
          <w:sz w:val="24"/>
        </w:rPr>
        <w:t>G</w:t>
      </w:r>
      <w:r>
        <w:rPr>
          <w:rFonts w:hint="eastAsia" w:ascii="Times New Roman" w:hAnsi="Times New Roman" w:cs="Times New Roman"/>
          <w:sz w:val="24"/>
        </w:rPr>
        <w:t>) and SLITRK3 (</w:t>
      </w:r>
      <w:r>
        <w:rPr>
          <w:rFonts w:hint="eastAsia" w:ascii="Times New Roman" w:hAnsi="Times New Roman" w:cs="Times New Roman"/>
          <w:b/>
          <w:bCs/>
          <w:sz w:val="24"/>
        </w:rPr>
        <w:t>H</w:t>
      </w:r>
      <w:r>
        <w:rPr>
          <w:rFonts w:hint="eastAsia" w:ascii="Times New Roman" w:hAnsi="Times New Roman" w:cs="Times New Roman"/>
          <w:sz w:val="24"/>
        </w:rPr>
        <w:t>).</w:t>
      </w: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cs="Times New Roman"/>
          <w:sz w:val="24"/>
        </w:rPr>
      </w:pPr>
    </w:p>
    <w:p>
      <w:pPr>
        <w:numPr>
          <w:ilvl w:val="0"/>
          <w:numId w:val="0"/>
        </w:numPr>
        <w:spacing w:before="120" w:after="240" w:line="240" w:lineRule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drawing>
          <wp:inline distT="0" distB="0" distL="114300" distR="114300">
            <wp:extent cx="2932430" cy="3215640"/>
            <wp:effectExtent l="0" t="0" r="1270" b="3810"/>
            <wp:docPr id="3" name="图片 3" descr="Fig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 S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  <w:sz w:val="24"/>
        </w:rPr>
      </w:pPr>
      <w:bookmarkStart w:id="1" w:name="OLE_LINK1"/>
      <w:r>
        <w:rPr>
          <w:rFonts w:cs="Times New Roman"/>
          <w:b/>
          <w:szCs w:val="24"/>
        </w:rPr>
        <w:t xml:space="preserve">Supplementary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Fig</w:t>
      </w:r>
      <w:r>
        <w:rPr>
          <w:rFonts w:hint="eastAsia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ure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3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MMP-1 is highly expressed in GBM and links with poor</w:t>
      </w:r>
      <w:r>
        <w:rPr>
          <w:rFonts w:hint="eastAsia" w:eastAsia="宋体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</w:rPr>
        <w:t>prognosis</w:t>
      </w:r>
    </w:p>
    <w:bookmarkEnd w:id="1"/>
    <w:p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A</w:t>
      </w:r>
      <w:r>
        <w:rPr>
          <w:rFonts w:hint="eastAsia" w:ascii="Times New Roman" w:hAnsi="Times New Roman" w:cs="Times New Roman"/>
          <w:sz w:val="24"/>
        </w:rPr>
        <w:t xml:space="preserve"> H</w:t>
      </w:r>
      <w:r>
        <w:rPr>
          <w:rFonts w:ascii="Times New Roman" w:hAnsi="Times New Roman" w:cs="Times New Roman"/>
          <w:sz w:val="24"/>
        </w:rPr>
        <w:t>ematoxylin-eosi</w:t>
      </w:r>
      <w:r>
        <w:rPr>
          <w:rFonts w:hint="eastAsia" w:ascii="Times New Roman" w:hAnsi="Times New Roman" w:cs="Times New Roman"/>
          <w:sz w:val="24"/>
        </w:rPr>
        <w:t xml:space="preserve">n staining of GBM tissues with low and high MMP-1. </w:t>
      </w:r>
      <w:r>
        <w:rPr>
          <w:rFonts w:hint="eastAsia" w:ascii="Times New Roman" w:hAnsi="Times New Roman" w:cs="Times New Roman"/>
          <w:b/>
          <w:bCs/>
          <w:sz w:val="24"/>
        </w:rPr>
        <w:t>B</w:t>
      </w:r>
      <w:r>
        <w:rPr>
          <w:rFonts w:hint="eastAsia" w:ascii="Times New Roman" w:hAnsi="Times New Roman" w:cs="Times New Roman"/>
          <w:sz w:val="24"/>
        </w:rPr>
        <w:t xml:space="preserve"> Survival curve of GBM patients with low and high MMP-1 staining, P=0.0149.</w:t>
      </w: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drawing>
          <wp:inline distT="0" distB="0" distL="114300" distR="114300">
            <wp:extent cx="5258435" cy="5654040"/>
            <wp:effectExtent l="0" t="0" r="18415" b="3810"/>
            <wp:docPr id="4" name="图片 4" descr="Supplementary Fi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pplementary Fi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Cs w:val="24"/>
        </w:rPr>
        <w:t xml:space="preserve">Supplementary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Fig</w:t>
      </w:r>
      <w:r>
        <w:rPr>
          <w:rFonts w:hint="eastAsia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ure</w:t>
      </w:r>
      <w:r>
        <w:rPr>
          <w:rFonts w:hint="eastAsia" w:eastAsia="宋体" w:cs="Times New Roman"/>
          <w:b/>
          <w:color w:val="auto"/>
          <w:szCs w:val="24"/>
          <w:lang w:val="en-US" w:eastAsia="zh-CN"/>
        </w:rPr>
        <w:t xml:space="preserve"> 4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 xml:space="preserve"> 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he correlation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 xml:space="preserve"> expression level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between MMP-1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and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inflammatory response genes in GBM samples</w:t>
      </w:r>
    </w:p>
    <w:p>
      <w:pPr>
        <w:rPr>
          <w:rFonts w:hint="eastAsia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 w:eastAsiaTheme="minorHAnsi"/>
          <w:b/>
          <w:bCs/>
          <w:color w:val="auto"/>
          <w:sz w:val="24"/>
          <w:szCs w:val="22"/>
          <w:lang w:val="en-US" w:eastAsia="en-US" w:bidi="ar-SA"/>
        </w:rPr>
        <w:t>A-</w:t>
      </w:r>
      <w:r>
        <w:rPr>
          <w:rFonts w:hint="eastAsia" w:eastAsia="宋体" w:cs="Times New Roman"/>
          <w:b/>
          <w:bCs/>
          <w:color w:val="auto"/>
          <w:sz w:val="24"/>
          <w:szCs w:val="22"/>
          <w:lang w:val="en-US" w:eastAsia="zh-CN" w:bidi="ar-SA"/>
        </w:rPr>
        <w:t>I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The</w:t>
      </w: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 correlation </w:t>
      </w:r>
      <w:r>
        <w:rPr>
          <w:rFonts w:hint="eastAsia" w:ascii="Times New Roman" w:hAnsi="Times New Roman" w:cs="Times New Roman"/>
          <w:color w:val="auto"/>
          <w:sz w:val="24"/>
        </w:rPr>
        <w:t xml:space="preserve">expression levels </w:t>
      </w:r>
      <w:r>
        <w:rPr>
          <w:rFonts w:hint="eastAsia" w:eastAsia="宋体" w:cs="Times New Roman"/>
          <w:color w:val="auto"/>
          <w:sz w:val="24"/>
          <w:lang w:val="en-US" w:eastAsia="zh-CN"/>
        </w:rPr>
        <w:t>between MMP-1 and NFKB1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A</w:t>
      </w:r>
      <w:r>
        <w:rPr>
          <w:rFonts w:hint="eastAsia" w:ascii="Times New Roman" w:hAnsi="Times New Roman" w:cs="Times New Roman"/>
          <w:color w:val="auto"/>
          <w:sz w:val="24"/>
        </w:rPr>
        <w:t xml:space="preserve">), </w:t>
      </w:r>
      <w:r>
        <w:rPr>
          <w:rFonts w:hint="eastAsia" w:eastAsia="宋体" w:cs="Times New Roman"/>
          <w:color w:val="auto"/>
          <w:sz w:val="24"/>
          <w:lang w:val="en-US" w:eastAsia="zh-CN"/>
        </w:rPr>
        <w:t>PTX3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B</w:t>
      </w:r>
      <w:r>
        <w:rPr>
          <w:rFonts w:hint="eastAsia" w:ascii="Times New Roman" w:hAnsi="Times New Roman" w:cs="Times New Roman"/>
          <w:color w:val="auto"/>
          <w:sz w:val="24"/>
        </w:rPr>
        <w:t xml:space="preserve">), </w:t>
      </w:r>
      <w:r>
        <w:rPr>
          <w:rFonts w:hint="eastAsia" w:eastAsia="宋体" w:cs="Times New Roman"/>
          <w:color w:val="auto"/>
          <w:sz w:val="24"/>
          <w:lang w:val="en-US" w:eastAsia="zh-CN"/>
        </w:rPr>
        <w:t>SELE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C</w:t>
      </w:r>
      <w:r>
        <w:rPr>
          <w:rFonts w:hint="eastAsia" w:ascii="Times New Roman" w:hAnsi="Times New Roman" w:cs="Times New Roman"/>
          <w:color w:val="auto"/>
          <w:sz w:val="24"/>
        </w:rPr>
        <w:t xml:space="preserve">), </w:t>
      </w:r>
      <w:r>
        <w:rPr>
          <w:rFonts w:hint="eastAsia" w:eastAsia="宋体" w:cs="Times New Roman"/>
          <w:color w:val="auto"/>
          <w:sz w:val="24"/>
          <w:lang w:val="en-US" w:eastAsia="zh-CN"/>
        </w:rPr>
        <w:t>STAT3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D</w:t>
      </w:r>
      <w:r>
        <w:rPr>
          <w:rFonts w:hint="eastAsia" w:ascii="Times New Roman" w:hAnsi="Times New Roman" w:cs="Times New Roman"/>
          <w:color w:val="auto"/>
          <w:sz w:val="24"/>
        </w:rPr>
        <w:t xml:space="preserve">), </w:t>
      </w:r>
      <w:r>
        <w:rPr>
          <w:rFonts w:hint="eastAsia" w:eastAsia="宋体" w:cs="Times New Roman"/>
          <w:color w:val="auto"/>
          <w:sz w:val="24"/>
          <w:lang w:val="en-US" w:eastAsia="zh-CN"/>
        </w:rPr>
        <w:t>TGFB1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E</w:t>
      </w:r>
      <w:r>
        <w:rPr>
          <w:rFonts w:hint="eastAsia" w:ascii="Times New Roman" w:hAnsi="Times New Roman" w:cs="Times New Roman"/>
          <w:color w:val="auto"/>
          <w:sz w:val="24"/>
        </w:rPr>
        <w:t xml:space="preserve">), </w:t>
      </w:r>
      <w:r>
        <w:rPr>
          <w:rFonts w:hint="eastAsia" w:eastAsia="宋体" w:cs="Times New Roman"/>
          <w:color w:val="auto"/>
          <w:sz w:val="24"/>
          <w:lang w:val="en-US" w:eastAsia="zh-CN"/>
        </w:rPr>
        <w:t>THBS1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F</w:t>
      </w:r>
      <w:r>
        <w:rPr>
          <w:rFonts w:hint="eastAsia" w:ascii="Times New Roman" w:hAnsi="Times New Roman" w:cs="Times New Roman"/>
          <w:color w:val="auto"/>
          <w:sz w:val="24"/>
        </w:rPr>
        <w:t xml:space="preserve">), </w:t>
      </w:r>
      <w:r>
        <w:rPr>
          <w:rFonts w:hint="eastAsia" w:eastAsia="宋体" w:cs="Times New Roman"/>
          <w:color w:val="auto"/>
          <w:sz w:val="24"/>
          <w:lang w:val="en-US" w:eastAsia="zh-CN"/>
        </w:rPr>
        <w:t>TIMP1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G</w:t>
      </w:r>
      <w:r>
        <w:rPr>
          <w:rFonts w:hint="eastAsia" w:ascii="Times New Roman" w:hAnsi="Times New Roman" w:cs="Times New Roman"/>
          <w:color w:val="auto"/>
          <w:sz w:val="24"/>
        </w:rPr>
        <w:t>)</w:t>
      </w:r>
      <w:r>
        <w:rPr>
          <w:rFonts w:hint="eastAsia" w:eastAsia="宋体" w:cs="Times New Roman"/>
          <w:color w:val="auto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color w:val="auto"/>
          <w:sz w:val="24"/>
        </w:rPr>
        <w:t xml:space="preserve"> </w:t>
      </w:r>
      <w:r>
        <w:rPr>
          <w:rFonts w:hint="eastAsia" w:eastAsia="宋体" w:cs="Times New Roman"/>
          <w:color w:val="auto"/>
          <w:sz w:val="24"/>
          <w:lang w:val="en-US" w:eastAsia="zh-CN"/>
        </w:rPr>
        <w:t>TLR2</w:t>
      </w:r>
      <w:r>
        <w:rPr>
          <w:rFonts w:hint="eastAsia" w:ascii="Times New Roman" w:hAnsi="Times New Roman" w:cs="Times New Roman"/>
          <w:color w:val="auto"/>
          <w:sz w:val="24"/>
        </w:rPr>
        <w:t xml:space="preserve"> (</w:t>
      </w:r>
      <w:r>
        <w:rPr>
          <w:rFonts w:hint="eastAsia" w:ascii="Times New Roman" w:hAnsi="Times New Roman" w:cs="Times New Roman"/>
          <w:b/>
          <w:bCs/>
          <w:color w:val="auto"/>
          <w:sz w:val="24"/>
        </w:rPr>
        <w:t>H</w:t>
      </w:r>
      <w:r>
        <w:rPr>
          <w:rFonts w:hint="eastAsia" w:ascii="Times New Roman" w:hAnsi="Times New Roman" w:cs="Times New Roman"/>
          <w:color w:val="auto"/>
          <w:sz w:val="24"/>
        </w:rPr>
        <w:t>)</w:t>
      </w: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 and TNFAIP6 (</w:t>
      </w:r>
      <w:r>
        <w:rPr>
          <w:rFonts w:hint="eastAsia" w:eastAsia="宋体" w:cs="Times New Roman"/>
          <w:b/>
          <w:bCs/>
          <w:color w:val="auto"/>
          <w:sz w:val="24"/>
          <w:lang w:val="en-US" w:eastAsia="zh-CN"/>
        </w:rPr>
        <w:t>I</w:t>
      </w:r>
      <w:r>
        <w:rPr>
          <w:rFonts w:hint="eastAsia" w:eastAsia="宋体" w:cs="Times New Roman"/>
          <w:color w:val="auto"/>
          <w:sz w:val="24"/>
          <w:lang w:val="en-US" w:eastAsia="zh-CN"/>
        </w:rPr>
        <w:t>)</w:t>
      </w:r>
      <w:r>
        <w:rPr>
          <w:rFonts w:hint="eastAsia" w:ascii="Times New Roman" w:hAnsi="Times New Roman" w:cs="Times New Roman"/>
          <w:color w:val="auto"/>
          <w:sz w:val="24"/>
        </w:rPr>
        <w:t>.</w:t>
      </w:r>
    </w:p>
    <w:p>
      <w:pPr>
        <w:rPr>
          <w:rFonts w:hint="eastAsia" w:ascii="Times New Roman" w:hAnsi="Times New Roman" w:cs="Times New Roman"/>
          <w:b/>
          <w:bCs/>
          <w:sz w:val="24"/>
        </w:rPr>
      </w:pPr>
    </w:p>
    <w:p>
      <w:pPr>
        <w:rPr>
          <w:rFonts w:hint="eastAsia" w:ascii="Times New Roman" w:hAnsi="Times New Roman" w:eastAsia="宋体" w:cs="Times New Roman"/>
          <w:sz w:val="24"/>
          <w:lang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Supplementary Table</w:t>
      </w:r>
      <w:bookmarkStart w:id="2" w:name="_GoBack"/>
      <w:bookmarkEnd w:id="2"/>
      <w:r>
        <w:rPr>
          <w:rFonts w:hint="eastAsia" w:eastAsia="宋体" w:cs="Times New Roman"/>
          <w:b/>
          <w:bCs/>
          <w:sz w:val="24"/>
          <w:lang w:val="en-US" w:eastAsia="zh-CN"/>
        </w:rPr>
        <w:t xml:space="preserve"> 1</w:t>
      </w:r>
      <w:r>
        <w:rPr>
          <w:rFonts w:hint="eastAsia" w:eastAsia="宋体" w:cs="Times New Roman"/>
          <w:sz w:val="24"/>
          <w:lang w:val="en-US" w:eastAsia="zh-CN"/>
        </w:rPr>
        <w:t xml:space="preserve"> All the DEGs for downstream targets of AGBL4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jJkZWY5YzFkM2VhMDc3OTVkMmJlMWRiMjVjMjIifQ=="/>
  </w:docVars>
  <w:rsids>
    <w:rsidRoot w:val="4D15254A"/>
    <w:rsid w:val="12B25853"/>
    <w:rsid w:val="1F8238AF"/>
    <w:rsid w:val="2F227A36"/>
    <w:rsid w:val="2FEC5E37"/>
    <w:rsid w:val="400F1A75"/>
    <w:rsid w:val="4AC4088C"/>
    <w:rsid w:val="4D15254A"/>
    <w:rsid w:val="59AA24AC"/>
    <w:rsid w:val="6ED74CD5"/>
    <w:rsid w:val="799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autoRedefine/>
    <w:qFormat/>
    <w:uiPriority w:val="2"/>
    <w:pPr>
      <w:numPr>
        <w:ilvl w:val="1"/>
      </w:numPr>
      <w:spacing w:after="200"/>
      <w:outlineLvl w:val="1"/>
    </w:p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5">
    <w:name w:val="Title"/>
    <w:basedOn w:val="1"/>
    <w:next w:val="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Supplementary Material"/>
    <w:basedOn w:val="5"/>
    <w:next w:val="5"/>
    <w:autoRedefine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tiff"/><Relationship Id="rId8" Type="http://schemas.openxmlformats.org/officeDocument/2006/relationships/image" Target="media/image3.tiff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352</Words>
  <Characters>2119</Characters>
  <Lines>0</Lines>
  <Paragraphs>0</Paragraphs>
  <TotalTime>1</TotalTime>
  <ScaleCrop>false</ScaleCrop>
  <LinksUpToDate>false</LinksUpToDate>
  <CharactersWithSpaces>2453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2024-04-19T10:19:00Z</dcterms:created>
  <dc:creator>程程</dc:creator>
  <cp:lastModifiedBy>Lilin Cheng</cp:lastModifiedBy>
  <dcterms:modified xsi:type="dcterms:W3CDTF">2024-06-19T14:29:05Z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D86DD122D1634B21B44846E1051A567D_11</vt:lpwstr>
  </property>
</Properties>
</file>