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6FB41" w14:textId="77777777" w:rsidR="004D03F0" w:rsidRPr="005655FF" w:rsidRDefault="000F538B">
      <w:pPr>
        <w:pBdr>
          <w:top w:val="nil"/>
          <w:left w:val="nil"/>
          <w:bottom w:val="nil"/>
          <w:right w:val="nil"/>
          <w:between w:val="nil"/>
        </w:pBdr>
        <w:spacing w:before="240" w:after="120"/>
        <w:jc w:val="center"/>
        <w:rPr>
          <w:i/>
          <w:color w:val="000000"/>
          <w:sz w:val="32"/>
          <w:szCs w:val="32"/>
        </w:rPr>
      </w:pPr>
      <w:r w:rsidRPr="005655FF">
        <w:rPr>
          <w:b/>
          <w:i/>
          <w:color w:val="000000"/>
          <w:sz w:val="32"/>
          <w:szCs w:val="32"/>
        </w:rPr>
        <w:t>Supplementary Material</w:t>
      </w:r>
    </w:p>
    <w:p w14:paraId="10F1BC57" w14:textId="77777777" w:rsidR="004D03F0" w:rsidRPr="005655FF" w:rsidRDefault="004D03F0">
      <w:pPr>
        <w:spacing w:before="0" w:after="0" w:line="276" w:lineRule="auto"/>
        <w:jc w:val="both"/>
        <w:rPr>
          <w:b/>
          <w:sz w:val="20"/>
          <w:szCs w:val="20"/>
        </w:rPr>
      </w:pPr>
    </w:p>
    <w:p w14:paraId="24D31346" w14:textId="77777777" w:rsidR="004D03F0" w:rsidRPr="005655FF" w:rsidRDefault="000F538B">
      <w:pPr>
        <w:spacing w:before="0" w:after="0" w:line="276" w:lineRule="auto"/>
        <w:jc w:val="both"/>
        <w:rPr>
          <w:sz w:val="20"/>
          <w:szCs w:val="20"/>
        </w:rPr>
      </w:pPr>
      <w:r w:rsidRPr="005655FF">
        <w:rPr>
          <w:b/>
          <w:sz w:val="20"/>
          <w:szCs w:val="20"/>
        </w:rPr>
        <w:t xml:space="preserve">Figure S1. </w:t>
      </w:r>
      <w:r w:rsidRPr="005655FF">
        <w:rPr>
          <w:sz w:val="20"/>
          <w:szCs w:val="20"/>
        </w:rPr>
        <w:t>Actual (in blue) and extrapolated (red) risk association between temperature and dengue incidence</w:t>
      </w:r>
    </w:p>
    <w:p w14:paraId="50972AB6" w14:textId="77777777" w:rsidR="004D03F0" w:rsidRPr="005655FF" w:rsidRDefault="000F538B">
      <w:pPr>
        <w:spacing w:before="0" w:after="0" w:line="276" w:lineRule="auto"/>
        <w:jc w:val="both"/>
        <w:rPr>
          <w:sz w:val="20"/>
          <w:szCs w:val="20"/>
        </w:rPr>
      </w:pPr>
      <w:r w:rsidRPr="005655FF">
        <w:rPr>
          <w:noProof/>
          <w:sz w:val="20"/>
          <w:szCs w:val="20"/>
        </w:rPr>
        <w:drawing>
          <wp:inline distT="114300" distB="114300" distL="114300" distR="114300" wp14:anchorId="7DA019D2" wp14:editId="020B8FF8">
            <wp:extent cx="6208395" cy="48006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6208395" cy="4800600"/>
                    </a:xfrm>
                    <a:prstGeom prst="rect">
                      <a:avLst/>
                    </a:prstGeom>
                    <a:ln/>
                  </pic:spPr>
                </pic:pic>
              </a:graphicData>
            </a:graphic>
          </wp:inline>
        </w:drawing>
      </w:r>
    </w:p>
    <w:p w14:paraId="524E707E" w14:textId="77777777" w:rsidR="004D03F0" w:rsidRPr="005655FF" w:rsidRDefault="000F538B">
      <w:pPr>
        <w:spacing w:before="0" w:after="0" w:line="276" w:lineRule="auto"/>
        <w:jc w:val="both"/>
        <w:rPr>
          <w:sz w:val="20"/>
          <w:szCs w:val="20"/>
        </w:rPr>
      </w:pPr>
      <w:r w:rsidRPr="005655FF">
        <w:rPr>
          <w:sz w:val="20"/>
          <w:szCs w:val="20"/>
        </w:rPr>
        <w:t xml:space="preserve">The model used to calculate the dengue incidence projection from our previous paper was recalibrated from a </w:t>
      </w:r>
      <w:r w:rsidRPr="005655FF">
        <w:rPr>
          <w:sz w:val="20"/>
          <w:szCs w:val="20"/>
        </w:rPr>
        <w:t>non-linear, U-shape to a linear function to better visualize the future burden of disease (</w:t>
      </w:r>
      <w:r w:rsidRPr="005655FF">
        <w:rPr>
          <w:b/>
          <w:sz w:val="20"/>
          <w:szCs w:val="20"/>
        </w:rPr>
        <w:t>Fig S1</w:t>
      </w:r>
      <w:r w:rsidRPr="005655FF">
        <w:rPr>
          <w:sz w:val="20"/>
          <w:szCs w:val="20"/>
        </w:rPr>
        <w:t>). The upper and lower limit of the extrapolated projections in red represents the higher (SSP 5-8.5) and more conservative climate scenarios (SSP 1-2.6), resp</w:t>
      </w:r>
      <w:r w:rsidRPr="005655FF">
        <w:rPr>
          <w:sz w:val="20"/>
          <w:szCs w:val="20"/>
        </w:rPr>
        <w:t>ectively. Our results show that relative risk for dengue incidence will exponentially increase under different climate scenarios from an ambient temperature of upwards 29°C. However, as ambient temperatures increase, so will the uncertainty in the projecti</w:t>
      </w:r>
      <w:r w:rsidRPr="005655FF">
        <w:rPr>
          <w:sz w:val="20"/>
          <w:szCs w:val="20"/>
        </w:rPr>
        <w:t>ons, as depicted by the enlarging red area, and the central red line may be used as a point of reference for the projected incidence trends.</w:t>
      </w:r>
    </w:p>
    <w:p w14:paraId="263E6C97" w14:textId="77777777" w:rsidR="004D03F0" w:rsidRPr="005655FF" w:rsidRDefault="004D03F0">
      <w:pPr>
        <w:spacing w:before="0" w:after="0" w:line="276" w:lineRule="auto"/>
        <w:jc w:val="both"/>
        <w:rPr>
          <w:b/>
          <w:sz w:val="20"/>
          <w:szCs w:val="20"/>
        </w:rPr>
      </w:pPr>
    </w:p>
    <w:p w14:paraId="43D89607" w14:textId="7F0D63A7" w:rsidR="004D03F0" w:rsidRPr="005655FF" w:rsidRDefault="00DE56DD">
      <w:pPr>
        <w:spacing w:before="0" w:after="0" w:line="276" w:lineRule="auto"/>
        <w:jc w:val="both"/>
        <w:rPr>
          <w:sz w:val="20"/>
          <w:szCs w:val="20"/>
        </w:rPr>
      </w:pPr>
      <w:r w:rsidRPr="005655FF">
        <w:rPr>
          <w:b/>
          <w:sz w:val="20"/>
          <w:szCs w:val="20"/>
        </w:rPr>
        <w:t>Table S1</w:t>
      </w:r>
      <w:r w:rsidR="000F538B" w:rsidRPr="005655FF">
        <w:rPr>
          <w:sz w:val="20"/>
          <w:szCs w:val="20"/>
        </w:rPr>
        <w:t>. Nationwide projection of excess temperature-related dengue cases from 2030 to 2090, by SSP, and</w:t>
      </w:r>
      <w:r w:rsidR="000F538B" w:rsidRPr="005655FF">
        <w:rPr>
          <w:sz w:val="20"/>
          <w:szCs w:val="20"/>
        </w:rPr>
        <w:t xml:space="preserve"> corresponding percentage difference from SSP 1-2.6</w:t>
      </w:r>
    </w:p>
    <w:tbl>
      <w:tblPr>
        <w:tblStyle w:val="a"/>
        <w:tblW w:w="9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1035"/>
        <w:gridCol w:w="1080"/>
        <w:gridCol w:w="1035"/>
        <w:gridCol w:w="1065"/>
        <w:gridCol w:w="1065"/>
        <w:gridCol w:w="1110"/>
        <w:gridCol w:w="1065"/>
      </w:tblGrid>
      <w:tr w:rsidR="004D03F0" w:rsidRPr="005655FF" w14:paraId="6A36FA4F" w14:textId="77777777">
        <w:tc>
          <w:tcPr>
            <w:tcW w:w="2325" w:type="dxa"/>
            <w:shd w:val="clear" w:color="auto" w:fill="auto"/>
            <w:tcMar>
              <w:top w:w="100" w:type="dxa"/>
              <w:left w:w="100" w:type="dxa"/>
              <w:bottom w:w="100" w:type="dxa"/>
              <w:right w:w="100" w:type="dxa"/>
            </w:tcMar>
          </w:tcPr>
          <w:p w14:paraId="670054B8" w14:textId="77777777" w:rsidR="004D03F0" w:rsidRPr="005655FF" w:rsidRDefault="000F538B">
            <w:pPr>
              <w:widowControl w:val="0"/>
              <w:spacing w:before="0" w:after="0"/>
              <w:rPr>
                <w:b/>
                <w:sz w:val="20"/>
                <w:szCs w:val="20"/>
              </w:rPr>
            </w:pPr>
            <w:r w:rsidRPr="005655FF">
              <w:rPr>
                <w:b/>
                <w:sz w:val="20"/>
                <w:szCs w:val="20"/>
              </w:rPr>
              <w:t>Future Scenario</w:t>
            </w:r>
          </w:p>
        </w:tc>
        <w:tc>
          <w:tcPr>
            <w:tcW w:w="1035" w:type="dxa"/>
            <w:shd w:val="clear" w:color="auto" w:fill="auto"/>
            <w:tcMar>
              <w:top w:w="100" w:type="dxa"/>
              <w:left w:w="100" w:type="dxa"/>
              <w:bottom w:w="100" w:type="dxa"/>
              <w:right w:w="100" w:type="dxa"/>
            </w:tcMar>
          </w:tcPr>
          <w:p w14:paraId="12BF104E" w14:textId="77777777" w:rsidR="004D03F0" w:rsidRPr="005655FF" w:rsidRDefault="000F538B">
            <w:pPr>
              <w:widowControl w:val="0"/>
              <w:spacing w:before="0" w:after="0"/>
              <w:rPr>
                <w:b/>
                <w:sz w:val="20"/>
                <w:szCs w:val="20"/>
              </w:rPr>
            </w:pPr>
            <w:r w:rsidRPr="005655FF">
              <w:rPr>
                <w:b/>
                <w:sz w:val="20"/>
                <w:szCs w:val="20"/>
              </w:rPr>
              <w:t>2030</w:t>
            </w:r>
          </w:p>
        </w:tc>
        <w:tc>
          <w:tcPr>
            <w:tcW w:w="1080" w:type="dxa"/>
            <w:shd w:val="clear" w:color="auto" w:fill="auto"/>
            <w:tcMar>
              <w:top w:w="100" w:type="dxa"/>
              <w:left w:w="100" w:type="dxa"/>
              <w:bottom w:w="100" w:type="dxa"/>
              <w:right w:w="100" w:type="dxa"/>
            </w:tcMar>
          </w:tcPr>
          <w:p w14:paraId="46E144AC" w14:textId="77777777" w:rsidR="004D03F0" w:rsidRPr="005655FF" w:rsidRDefault="000F538B">
            <w:pPr>
              <w:widowControl w:val="0"/>
              <w:spacing w:before="0" w:after="0"/>
              <w:rPr>
                <w:b/>
                <w:sz w:val="20"/>
                <w:szCs w:val="20"/>
              </w:rPr>
            </w:pPr>
            <w:r w:rsidRPr="005655FF">
              <w:rPr>
                <w:b/>
                <w:sz w:val="20"/>
                <w:szCs w:val="20"/>
              </w:rPr>
              <w:t>2040</w:t>
            </w:r>
          </w:p>
        </w:tc>
        <w:tc>
          <w:tcPr>
            <w:tcW w:w="1035" w:type="dxa"/>
            <w:shd w:val="clear" w:color="auto" w:fill="auto"/>
            <w:tcMar>
              <w:top w:w="100" w:type="dxa"/>
              <w:left w:w="100" w:type="dxa"/>
              <w:bottom w:w="100" w:type="dxa"/>
              <w:right w:w="100" w:type="dxa"/>
            </w:tcMar>
          </w:tcPr>
          <w:p w14:paraId="4B144723" w14:textId="77777777" w:rsidR="004D03F0" w:rsidRPr="005655FF" w:rsidRDefault="000F538B">
            <w:pPr>
              <w:widowControl w:val="0"/>
              <w:spacing w:before="0" w:after="0"/>
              <w:rPr>
                <w:b/>
                <w:sz w:val="20"/>
                <w:szCs w:val="20"/>
              </w:rPr>
            </w:pPr>
            <w:r w:rsidRPr="005655FF">
              <w:rPr>
                <w:b/>
                <w:sz w:val="20"/>
                <w:szCs w:val="20"/>
              </w:rPr>
              <w:t>2050</w:t>
            </w:r>
          </w:p>
        </w:tc>
        <w:tc>
          <w:tcPr>
            <w:tcW w:w="1065" w:type="dxa"/>
            <w:shd w:val="clear" w:color="auto" w:fill="auto"/>
            <w:tcMar>
              <w:top w:w="100" w:type="dxa"/>
              <w:left w:w="100" w:type="dxa"/>
              <w:bottom w:w="100" w:type="dxa"/>
              <w:right w:w="100" w:type="dxa"/>
            </w:tcMar>
          </w:tcPr>
          <w:p w14:paraId="63F9DC95" w14:textId="77777777" w:rsidR="004D03F0" w:rsidRPr="005655FF" w:rsidRDefault="000F538B">
            <w:pPr>
              <w:widowControl w:val="0"/>
              <w:spacing w:before="0" w:after="0"/>
              <w:rPr>
                <w:b/>
                <w:sz w:val="20"/>
                <w:szCs w:val="20"/>
              </w:rPr>
            </w:pPr>
            <w:r w:rsidRPr="005655FF">
              <w:rPr>
                <w:b/>
                <w:sz w:val="20"/>
                <w:szCs w:val="20"/>
              </w:rPr>
              <w:t>2060</w:t>
            </w:r>
          </w:p>
        </w:tc>
        <w:tc>
          <w:tcPr>
            <w:tcW w:w="1065" w:type="dxa"/>
            <w:shd w:val="clear" w:color="auto" w:fill="auto"/>
            <w:tcMar>
              <w:top w:w="100" w:type="dxa"/>
              <w:left w:w="100" w:type="dxa"/>
              <w:bottom w:w="100" w:type="dxa"/>
              <w:right w:w="100" w:type="dxa"/>
            </w:tcMar>
          </w:tcPr>
          <w:p w14:paraId="03903C4A" w14:textId="77777777" w:rsidR="004D03F0" w:rsidRPr="005655FF" w:rsidRDefault="000F538B">
            <w:pPr>
              <w:widowControl w:val="0"/>
              <w:spacing w:before="0" w:after="0"/>
              <w:rPr>
                <w:b/>
                <w:sz w:val="20"/>
                <w:szCs w:val="20"/>
              </w:rPr>
            </w:pPr>
            <w:r w:rsidRPr="005655FF">
              <w:rPr>
                <w:b/>
                <w:sz w:val="20"/>
                <w:szCs w:val="20"/>
              </w:rPr>
              <w:t>2070</w:t>
            </w:r>
          </w:p>
        </w:tc>
        <w:tc>
          <w:tcPr>
            <w:tcW w:w="1110" w:type="dxa"/>
            <w:shd w:val="clear" w:color="auto" w:fill="auto"/>
            <w:tcMar>
              <w:top w:w="100" w:type="dxa"/>
              <w:left w:w="100" w:type="dxa"/>
              <w:bottom w:w="100" w:type="dxa"/>
              <w:right w:w="100" w:type="dxa"/>
            </w:tcMar>
          </w:tcPr>
          <w:p w14:paraId="4F659589" w14:textId="77777777" w:rsidR="004D03F0" w:rsidRPr="005655FF" w:rsidRDefault="000F538B">
            <w:pPr>
              <w:widowControl w:val="0"/>
              <w:spacing w:before="0" w:after="0"/>
              <w:rPr>
                <w:b/>
                <w:sz w:val="20"/>
                <w:szCs w:val="20"/>
              </w:rPr>
            </w:pPr>
            <w:r w:rsidRPr="005655FF">
              <w:rPr>
                <w:b/>
                <w:sz w:val="20"/>
                <w:szCs w:val="20"/>
              </w:rPr>
              <w:t>2080</w:t>
            </w:r>
          </w:p>
        </w:tc>
        <w:tc>
          <w:tcPr>
            <w:tcW w:w="1065" w:type="dxa"/>
            <w:shd w:val="clear" w:color="auto" w:fill="auto"/>
            <w:tcMar>
              <w:top w:w="100" w:type="dxa"/>
              <w:left w:w="100" w:type="dxa"/>
              <w:bottom w:w="100" w:type="dxa"/>
              <w:right w:w="100" w:type="dxa"/>
            </w:tcMar>
          </w:tcPr>
          <w:p w14:paraId="07267A85" w14:textId="77777777" w:rsidR="004D03F0" w:rsidRPr="005655FF" w:rsidRDefault="000F538B">
            <w:pPr>
              <w:widowControl w:val="0"/>
              <w:spacing w:before="0" w:after="0"/>
              <w:rPr>
                <w:b/>
                <w:sz w:val="20"/>
                <w:szCs w:val="20"/>
              </w:rPr>
            </w:pPr>
            <w:r w:rsidRPr="005655FF">
              <w:rPr>
                <w:b/>
                <w:sz w:val="20"/>
                <w:szCs w:val="20"/>
              </w:rPr>
              <w:t>2090</w:t>
            </w:r>
          </w:p>
        </w:tc>
      </w:tr>
      <w:tr w:rsidR="004D03F0" w:rsidRPr="005655FF" w14:paraId="34DB8365" w14:textId="77777777">
        <w:tc>
          <w:tcPr>
            <w:tcW w:w="2325" w:type="dxa"/>
            <w:shd w:val="clear" w:color="auto" w:fill="auto"/>
            <w:tcMar>
              <w:top w:w="100" w:type="dxa"/>
              <w:left w:w="100" w:type="dxa"/>
              <w:bottom w:w="100" w:type="dxa"/>
              <w:right w:w="100" w:type="dxa"/>
            </w:tcMar>
          </w:tcPr>
          <w:p w14:paraId="5A2D992A" w14:textId="77777777" w:rsidR="004D03F0" w:rsidRPr="005655FF" w:rsidRDefault="000F538B">
            <w:pPr>
              <w:widowControl w:val="0"/>
              <w:spacing w:before="0" w:after="0"/>
              <w:rPr>
                <w:sz w:val="20"/>
                <w:szCs w:val="20"/>
              </w:rPr>
            </w:pPr>
            <w:r w:rsidRPr="005655FF">
              <w:rPr>
                <w:sz w:val="20"/>
                <w:szCs w:val="20"/>
              </w:rPr>
              <w:t xml:space="preserve">SSP1-2.6 </w:t>
            </w:r>
          </w:p>
          <w:p w14:paraId="2259D2C0" w14:textId="77777777" w:rsidR="004D03F0" w:rsidRPr="005655FF" w:rsidRDefault="000F538B">
            <w:pPr>
              <w:widowControl w:val="0"/>
              <w:spacing w:before="0" w:after="0"/>
              <w:rPr>
                <w:sz w:val="20"/>
                <w:szCs w:val="20"/>
              </w:rPr>
            </w:pPr>
            <w:r w:rsidRPr="005655FF">
              <w:rPr>
                <w:sz w:val="20"/>
                <w:szCs w:val="20"/>
              </w:rPr>
              <w:t>Sustainable Development</w:t>
            </w:r>
          </w:p>
        </w:tc>
        <w:tc>
          <w:tcPr>
            <w:tcW w:w="1035" w:type="dxa"/>
            <w:shd w:val="clear" w:color="auto" w:fill="auto"/>
            <w:tcMar>
              <w:top w:w="100" w:type="dxa"/>
              <w:left w:w="100" w:type="dxa"/>
              <w:bottom w:w="100" w:type="dxa"/>
              <w:right w:w="100" w:type="dxa"/>
            </w:tcMar>
          </w:tcPr>
          <w:p w14:paraId="6AF6D834" w14:textId="77777777" w:rsidR="004D03F0" w:rsidRPr="005655FF" w:rsidRDefault="000F538B">
            <w:pPr>
              <w:spacing w:before="0" w:after="0"/>
              <w:rPr>
                <w:sz w:val="20"/>
                <w:szCs w:val="20"/>
              </w:rPr>
            </w:pPr>
            <w:r w:rsidRPr="005655FF">
              <w:rPr>
                <w:sz w:val="20"/>
                <w:szCs w:val="20"/>
              </w:rPr>
              <w:t>+7,898</w:t>
            </w:r>
          </w:p>
        </w:tc>
        <w:tc>
          <w:tcPr>
            <w:tcW w:w="1080" w:type="dxa"/>
            <w:shd w:val="clear" w:color="auto" w:fill="auto"/>
            <w:tcMar>
              <w:top w:w="100" w:type="dxa"/>
              <w:left w:w="100" w:type="dxa"/>
              <w:bottom w:w="100" w:type="dxa"/>
              <w:right w:w="100" w:type="dxa"/>
            </w:tcMar>
          </w:tcPr>
          <w:p w14:paraId="1AD13589" w14:textId="77777777" w:rsidR="004D03F0" w:rsidRPr="005655FF" w:rsidRDefault="000F538B">
            <w:pPr>
              <w:spacing w:before="0" w:after="0" w:line="276" w:lineRule="auto"/>
              <w:rPr>
                <w:sz w:val="20"/>
                <w:szCs w:val="20"/>
              </w:rPr>
            </w:pPr>
            <w:r w:rsidRPr="005655FF">
              <w:rPr>
                <w:sz w:val="20"/>
                <w:szCs w:val="20"/>
              </w:rPr>
              <w:t>+9,103</w:t>
            </w:r>
          </w:p>
        </w:tc>
        <w:tc>
          <w:tcPr>
            <w:tcW w:w="1035" w:type="dxa"/>
            <w:shd w:val="clear" w:color="auto" w:fill="auto"/>
            <w:tcMar>
              <w:top w:w="100" w:type="dxa"/>
              <w:left w:w="100" w:type="dxa"/>
              <w:bottom w:w="100" w:type="dxa"/>
              <w:right w:w="100" w:type="dxa"/>
            </w:tcMar>
          </w:tcPr>
          <w:p w14:paraId="66FF78CC" w14:textId="77777777" w:rsidR="004D03F0" w:rsidRPr="005655FF" w:rsidRDefault="000F538B">
            <w:pPr>
              <w:spacing w:before="0" w:after="0" w:line="276" w:lineRule="auto"/>
              <w:rPr>
                <w:sz w:val="20"/>
                <w:szCs w:val="20"/>
              </w:rPr>
            </w:pPr>
            <w:r w:rsidRPr="005655FF">
              <w:rPr>
                <w:sz w:val="20"/>
                <w:szCs w:val="20"/>
              </w:rPr>
              <w:t>+10,333</w:t>
            </w:r>
          </w:p>
        </w:tc>
        <w:tc>
          <w:tcPr>
            <w:tcW w:w="1065" w:type="dxa"/>
            <w:shd w:val="clear" w:color="auto" w:fill="auto"/>
            <w:tcMar>
              <w:top w:w="100" w:type="dxa"/>
              <w:left w:w="100" w:type="dxa"/>
              <w:bottom w:w="100" w:type="dxa"/>
              <w:right w:w="100" w:type="dxa"/>
            </w:tcMar>
          </w:tcPr>
          <w:p w14:paraId="71CA1481" w14:textId="77777777" w:rsidR="004D03F0" w:rsidRPr="005655FF" w:rsidRDefault="000F538B">
            <w:pPr>
              <w:spacing w:before="0" w:after="0" w:line="276" w:lineRule="auto"/>
              <w:rPr>
                <w:sz w:val="20"/>
                <w:szCs w:val="20"/>
              </w:rPr>
            </w:pPr>
            <w:r w:rsidRPr="005655FF">
              <w:rPr>
                <w:sz w:val="20"/>
                <w:szCs w:val="20"/>
              </w:rPr>
              <w:t xml:space="preserve">+11,068 </w:t>
            </w:r>
          </w:p>
        </w:tc>
        <w:tc>
          <w:tcPr>
            <w:tcW w:w="1065" w:type="dxa"/>
            <w:shd w:val="clear" w:color="auto" w:fill="auto"/>
            <w:tcMar>
              <w:top w:w="100" w:type="dxa"/>
              <w:left w:w="100" w:type="dxa"/>
              <w:bottom w:w="100" w:type="dxa"/>
              <w:right w:w="100" w:type="dxa"/>
            </w:tcMar>
          </w:tcPr>
          <w:p w14:paraId="7081965E" w14:textId="77777777" w:rsidR="004D03F0" w:rsidRPr="005655FF" w:rsidRDefault="000F538B">
            <w:pPr>
              <w:spacing w:before="0" w:after="0" w:line="276" w:lineRule="auto"/>
              <w:rPr>
                <w:sz w:val="20"/>
                <w:szCs w:val="20"/>
              </w:rPr>
            </w:pPr>
            <w:r w:rsidRPr="005655FF">
              <w:rPr>
                <w:sz w:val="20"/>
                <w:szCs w:val="20"/>
              </w:rPr>
              <w:t>+11,409</w:t>
            </w:r>
          </w:p>
        </w:tc>
        <w:tc>
          <w:tcPr>
            <w:tcW w:w="1110" w:type="dxa"/>
            <w:shd w:val="clear" w:color="auto" w:fill="auto"/>
            <w:tcMar>
              <w:top w:w="100" w:type="dxa"/>
              <w:left w:w="100" w:type="dxa"/>
              <w:bottom w:w="100" w:type="dxa"/>
              <w:right w:w="100" w:type="dxa"/>
            </w:tcMar>
          </w:tcPr>
          <w:p w14:paraId="36727794" w14:textId="77777777" w:rsidR="004D03F0" w:rsidRPr="005655FF" w:rsidRDefault="000F538B">
            <w:pPr>
              <w:spacing w:before="0" w:after="0" w:line="276" w:lineRule="auto"/>
              <w:rPr>
                <w:sz w:val="20"/>
                <w:szCs w:val="20"/>
              </w:rPr>
            </w:pPr>
            <w:r w:rsidRPr="005655FF">
              <w:rPr>
                <w:sz w:val="20"/>
                <w:szCs w:val="20"/>
              </w:rPr>
              <w:t>+11,140</w:t>
            </w:r>
          </w:p>
        </w:tc>
        <w:tc>
          <w:tcPr>
            <w:tcW w:w="1065" w:type="dxa"/>
            <w:shd w:val="clear" w:color="auto" w:fill="auto"/>
            <w:tcMar>
              <w:top w:w="100" w:type="dxa"/>
              <w:left w:w="100" w:type="dxa"/>
              <w:bottom w:w="100" w:type="dxa"/>
              <w:right w:w="100" w:type="dxa"/>
            </w:tcMar>
          </w:tcPr>
          <w:p w14:paraId="6062441A" w14:textId="77777777" w:rsidR="004D03F0" w:rsidRPr="005655FF" w:rsidRDefault="000F538B">
            <w:pPr>
              <w:spacing w:before="0" w:after="0" w:line="276" w:lineRule="auto"/>
              <w:rPr>
                <w:sz w:val="20"/>
                <w:szCs w:val="20"/>
              </w:rPr>
            </w:pPr>
            <w:r w:rsidRPr="005655FF">
              <w:rPr>
                <w:sz w:val="20"/>
                <w:szCs w:val="20"/>
              </w:rPr>
              <w:t>+10,673</w:t>
            </w:r>
          </w:p>
        </w:tc>
      </w:tr>
      <w:tr w:rsidR="004D03F0" w:rsidRPr="005655FF" w14:paraId="5FF8E070" w14:textId="77777777">
        <w:tc>
          <w:tcPr>
            <w:tcW w:w="2325" w:type="dxa"/>
            <w:shd w:val="clear" w:color="auto" w:fill="auto"/>
            <w:tcMar>
              <w:top w:w="100" w:type="dxa"/>
              <w:left w:w="100" w:type="dxa"/>
              <w:bottom w:w="100" w:type="dxa"/>
              <w:right w:w="100" w:type="dxa"/>
            </w:tcMar>
          </w:tcPr>
          <w:p w14:paraId="644C8D62" w14:textId="77777777" w:rsidR="004D03F0" w:rsidRPr="005655FF" w:rsidRDefault="000F538B">
            <w:pPr>
              <w:widowControl w:val="0"/>
              <w:spacing w:before="0" w:after="0"/>
              <w:rPr>
                <w:sz w:val="20"/>
                <w:szCs w:val="20"/>
              </w:rPr>
            </w:pPr>
            <w:r w:rsidRPr="005655FF">
              <w:rPr>
                <w:sz w:val="20"/>
                <w:szCs w:val="20"/>
              </w:rPr>
              <w:lastRenderedPageBreak/>
              <w:t>SSP2-4.5 Middle-of-the-road</w:t>
            </w:r>
          </w:p>
        </w:tc>
        <w:tc>
          <w:tcPr>
            <w:tcW w:w="1035" w:type="dxa"/>
            <w:shd w:val="clear" w:color="auto" w:fill="auto"/>
            <w:tcMar>
              <w:top w:w="100" w:type="dxa"/>
              <w:left w:w="100" w:type="dxa"/>
              <w:bottom w:w="100" w:type="dxa"/>
              <w:right w:w="100" w:type="dxa"/>
            </w:tcMar>
          </w:tcPr>
          <w:p w14:paraId="67D8E4AE" w14:textId="77777777" w:rsidR="004D03F0" w:rsidRPr="005655FF" w:rsidRDefault="000F538B">
            <w:pPr>
              <w:spacing w:before="0" w:after="0"/>
              <w:rPr>
                <w:sz w:val="20"/>
                <w:szCs w:val="20"/>
              </w:rPr>
            </w:pPr>
            <w:r w:rsidRPr="005655FF">
              <w:rPr>
                <w:sz w:val="20"/>
                <w:szCs w:val="20"/>
              </w:rPr>
              <w:t>+8,237</w:t>
            </w:r>
          </w:p>
          <w:p w14:paraId="06C9DFA0" w14:textId="77777777" w:rsidR="004D03F0" w:rsidRPr="005655FF" w:rsidRDefault="000F538B">
            <w:pPr>
              <w:spacing w:before="0" w:after="0"/>
              <w:rPr>
                <w:sz w:val="20"/>
                <w:szCs w:val="20"/>
              </w:rPr>
            </w:pPr>
            <w:r w:rsidRPr="005655FF">
              <w:rPr>
                <w:sz w:val="20"/>
                <w:szCs w:val="20"/>
              </w:rPr>
              <w:t>(4.29%)</w:t>
            </w:r>
          </w:p>
        </w:tc>
        <w:tc>
          <w:tcPr>
            <w:tcW w:w="1080" w:type="dxa"/>
            <w:shd w:val="clear" w:color="auto" w:fill="auto"/>
            <w:tcMar>
              <w:top w:w="100" w:type="dxa"/>
              <w:left w:w="100" w:type="dxa"/>
              <w:bottom w:w="100" w:type="dxa"/>
              <w:right w:w="100" w:type="dxa"/>
            </w:tcMar>
          </w:tcPr>
          <w:p w14:paraId="0994ACA2" w14:textId="77777777" w:rsidR="004D03F0" w:rsidRPr="005655FF" w:rsidRDefault="000F538B">
            <w:pPr>
              <w:spacing w:before="0" w:after="0" w:line="276" w:lineRule="auto"/>
              <w:rPr>
                <w:sz w:val="20"/>
                <w:szCs w:val="20"/>
              </w:rPr>
            </w:pPr>
            <w:r w:rsidRPr="005655FF">
              <w:rPr>
                <w:sz w:val="20"/>
                <w:szCs w:val="20"/>
              </w:rPr>
              <w:t>+10,061</w:t>
            </w:r>
          </w:p>
          <w:p w14:paraId="27AF7C79" w14:textId="77777777" w:rsidR="004D03F0" w:rsidRPr="005655FF" w:rsidRDefault="000F538B">
            <w:pPr>
              <w:spacing w:before="0" w:after="0" w:line="276" w:lineRule="auto"/>
              <w:rPr>
                <w:sz w:val="20"/>
                <w:szCs w:val="20"/>
              </w:rPr>
            </w:pPr>
            <w:r w:rsidRPr="005655FF">
              <w:rPr>
                <w:sz w:val="20"/>
                <w:szCs w:val="20"/>
              </w:rPr>
              <w:t>(10.52%)</w:t>
            </w:r>
          </w:p>
        </w:tc>
        <w:tc>
          <w:tcPr>
            <w:tcW w:w="1035" w:type="dxa"/>
            <w:shd w:val="clear" w:color="auto" w:fill="auto"/>
            <w:tcMar>
              <w:top w:w="100" w:type="dxa"/>
              <w:left w:w="100" w:type="dxa"/>
              <w:bottom w:w="100" w:type="dxa"/>
              <w:right w:w="100" w:type="dxa"/>
            </w:tcMar>
          </w:tcPr>
          <w:p w14:paraId="1246FB96" w14:textId="77777777" w:rsidR="004D03F0" w:rsidRPr="005655FF" w:rsidRDefault="000F538B">
            <w:pPr>
              <w:spacing w:before="0" w:after="0" w:line="276" w:lineRule="auto"/>
              <w:rPr>
                <w:sz w:val="20"/>
                <w:szCs w:val="20"/>
              </w:rPr>
            </w:pPr>
            <w:r w:rsidRPr="005655FF">
              <w:rPr>
                <w:sz w:val="20"/>
                <w:szCs w:val="20"/>
              </w:rPr>
              <w:t>+11,720</w:t>
            </w:r>
          </w:p>
          <w:p w14:paraId="482E63DC" w14:textId="77777777" w:rsidR="004D03F0" w:rsidRPr="005655FF" w:rsidRDefault="000F538B">
            <w:pPr>
              <w:spacing w:before="0" w:after="0" w:line="276" w:lineRule="auto"/>
              <w:rPr>
                <w:sz w:val="20"/>
                <w:szCs w:val="20"/>
              </w:rPr>
            </w:pPr>
            <w:r w:rsidRPr="005655FF">
              <w:rPr>
                <w:sz w:val="20"/>
                <w:szCs w:val="20"/>
              </w:rPr>
              <w:t>(13.42%)</w:t>
            </w:r>
          </w:p>
          <w:p w14:paraId="36B9DBDE" w14:textId="77777777" w:rsidR="004D03F0" w:rsidRPr="005655FF" w:rsidRDefault="004D03F0">
            <w:pPr>
              <w:spacing w:before="0" w:after="0" w:line="276" w:lineRule="auto"/>
              <w:rPr>
                <w:sz w:val="20"/>
                <w:szCs w:val="20"/>
              </w:rPr>
            </w:pPr>
          </w:p>
        </w:tc>
        <w:tc>
          <w:tcPr>
            <w:tcW w:w="1065" w:type="dxa"/>
            <w:shd w:val="clear" w:color="auto" w:fill="auto"/>
            <w:tcMar>
              <w:top w:w="100" w:type="dxa"/>
              <w:left w:w="100" w:type="dxa"/>
              <w:bottom w:w="100" w:type="dxa"/>
              <w:right w:w="100" w:type="dxa"/>
            </w:tcMar>
          </w:tcPr>
          <w:p w14:paraId="1334B189" w14:textId="77777777" w:rsidR="004D03F0" w:rsidRPr="005655FF" w:rsidRDefault="000F538B">
            <w:pPr>
              <w:spacing w:before="0" w:after="0" w:line="276" w:lineRule="auto"/>
              <w:rPr>
                <w:sz w:val="20"/>
                <w:szCs w:val="20"/>
              </w:rPr>
            </w:pPr>
            <w:r w:rsidRPr="005655FF">
              <w:rPr>
                <w:sz w:val="20"/>
                <w:szCs w:val="20"/>
              </w:rPr>
              <w:t xml:space="preserve"> +13,341</w:t>
            </w:r>
          </w:p>
          <w:p w14:paraId="678B9F19" w14:textId="77777777" w:rsidR="004D03F0" w:rsidRPr="005655FF" w:rsidRDefault="000F538B">
            <w:pPr>
              <w:spacing w:before="0" w:after="0" w:line="276" w:lineRule="auto"/>
              <w:rPr>
                <w:sz w:val="20"/>
                <w:szCs w:val="20"/>
              </w:rPr>
            </w:pPr>
            <w:r w:rsidRPr="005655FF">
              <w:rPr>
                <w:sz w:val="20"/>
                <w:szCs w:val="20"/>
              </w:rPr>
              <w:t>(20.53%)</w:t>
            </w:r>
          </w:p>
        </w:tc>
        <w:tc>
          <w:tcPr>
            <w:tcW w:w="1065" w:type="dxa"/>
            <w:shd w:val="clear" w:color="auto" w:fill="auto"/>
            <w:tcMar>
              <w:top w:w="100" w:type="dxa"/>
              <w:left w:w="100" w:type="dxa"/>
              <w:bottom w:w="100" w:type="dxa"/>
              <w:right w:w="100" w:type="dxa"/>
            </w:tcMar>
          </w:tcPr>
          <w:p w14:paraId="7263631D" w14:textId="77777777" w:rsidR="004D03F0" w:rsidRPr="005655FF" w:rsidRDefault="000F538B">
            <w:pPr>
              <w:spacing w:before="0" w:after="0" w:line="276" w:lineRule="auto"/>
              <w:rPr>
                <w:sz w:val="20"/>
                <w:szCs w:val="20"/>
              </w:rPr>
            </w:pPr>
            <w:r w:rsidRPr="005655FF">
              <w:rPr>
                <w:sz w:val="20"/>
                <w:szCs w:val="20"/>
              </w:rPr>
              <w:t>+14,687</w:t>
            </w:r>
          </w:p>
          <w:p w14:paraId="69DE31FD" w14:textId="77777777" w:rsidR="004D03F0" w:rsidRPr="005655FF" w:rsidRDefault="000F538B">
            <w:pPr>
              <w:spacing w:before="0" w:after="0" w:line="276" w:lineRule="auto"/>
              <w:rPr>
                <w:sz w:val="20"/>
                <w:szCs w:val="20"/>
              </w:rPr>
            </w:pPr>
            <w:r w:rsidRPr="005655FF">
              <w:rPr>
                <w:sz w:val="20"/>
                <w:szCs w:val="20"/>
              </w:rPr>
              <w:t>(28.72%)</w:t>
            </w:r>
          </w:p>
          <w:p w14:paraId="0C30AAAE" w14:textId="77777777" w:rsidR="004D03F0" w:rsidRPr="005655FF" w:rsidRDefault="004D03F0">
            <w:pPr>
              <w:spacing w:before="0" w:after="0" w:line="276" w:lineRule="auto"/>
              <w:rPr>
                <w:sz w:val="20"/>
                <w:szCs w:val="20"/>
              </w:rPr>
            </w:pPr>
          </w:p>
        </w:tc>
        <w:tc>
          <w:tcPr>
            <w:tcW w:w="1110" w:type="dxa"/>
            <w:shd w:val="clear" w:color="auto" w:fill="auto"/>
            <w:tcMar>
              <w:top w:w="100" w:type="dxa"/>
              <w:left w:w="100" w:type="dxa"/>
              <w:bottom w:w="100" w:type="dxa"/>
              <w:right w:w="100" w:type="dxa"/>
            </w:tcMar>
          </w:tcPr>
          <w:p w14:paraId="42107AAD" w14:textId="77777777" w:rsidR="004D03F0" w:rsidRPr="005655FF" w:rsidRDefault="000F538B">
            <w:pPr>
              <w:spacing w:before="0" w:after="0" w:line="276" w:lineRule="auto"/>
              <w:rPr>
                <w:sz w:val="20"/>
                <w:szCs w:val="20"/>
              </w:rPr>
            </w:pPr>
            <w:r w:rsidRPr="005655FF">
              <w:rPr>
                <w:sz w:val="20"/>
                <w:szCs w:val="20"/>
              </w:rPr>
              <w:t>+15,736</w:t>
            </w:r>
          </w:p>
          <w:p w14:paraId="0D3F11CC" w14:textId="77777777" w:rsidR="004D03F0" w:rsidRPr="005655FF" w:rsidRDefault="000F538B">
            <w:pPr>
              <w:spacing w:before="0" w:after="0" w:line="276" w:lineRule="auto"/>
              <w:rPr>
                <w:sz w:val="20"/>
                <w:szCs w:val="20"/>
              </w:rPr>
            </w:pPr>
            <w:r w:rsidRPr="005655FF">
              <w:rPr>
                <w:sz w:val="20"/>
                <w:szCs w:val="20"/>
              </w:rPr>
              <w:t>(41.25%)</w:t>
            </w:r>
          </w:p>
        </w:tc>
        <w:tc>
          <w:tcPr>
            <w:tcW w:w="1065" w:type="dxa"/>
            <w:shd w:val="clear" w:color="auto" w:fill="auto"/>
            <w:tcMar>
              <w:top w:w="100" w:type="dxa"/>
              <w:left w:w="100" w:type="dxa"/>
              <w:bottom w:w="100" w:type="dxa"/>
              <w:right w:w="100" w:type="dxa"/>
            </w:tcMar>
          </w:tcPr>
          <w:p w14:paraId="479A7582" w14:textId="77777777" w:rsidR="004D03F0" w:rsidRPr="005655FF" w:rsidRDefault="000F538B">
            <w:pPr>
              <w:spacing w:before="0" w:after="0" w:line="276" w:lineRule="auto"/>
              <w:rPr>
                <w:sz w:val="20"/>
                <w:szCs w:val="20"/>
              </w:rPr>
            </w:pPr>
            <w:r w:rsidRPr="005655FF">
              <w:rPr>
                <w:sz w:val="20"/>
                <w:szCs w:val="20"/>
              </w:rPr>
              <w:t>+15,873</w:t>
            </w:r>
          </w:p>
          <w:p w14:paraId="0B9AD120" w14:textId="77777777" w:rsidR="004D03F0" w:rsidRPr="005655FF" w:rsidRDefault="000F538B">
            <w:pPr>
              <w:spacing w:before="0" w:after="0" w:line="276" w:lineRule="auto"/>
              <w:rPr>
                <w:sz w:val="20"/>
                <w:szCs w:val="20"/>
              </w:rPr>
            </w:pPr>
            <w:r w:rsidRPr="005655FF">
              <w:rPr>
                <w:sz w:val="20"/>
                <w:szCs w:val="20"/>
              </w:rPr>
              <w:t>(47.60%)</w:t>
            </w:r>
          </w:p>
          <w:p w14:paraId="4D556462" w14:textId="77777777" w:rsidR="004D03F0" w:rsidRPr="005655FF" w:rsidRDefault="004D03F0">
            <w:pPr>
              <w:spacing w:before="0" w:after="0" w:line="276" w:lineRule="auto"/>
              <w:rPr>
                <w:sz w:val="20"/>
                <w:szCs w:val="20"/>
              </w:rPr>
            </w:pPr>
          </w:p>
        </w:tc>
      </w:tr>
      <w:tr w:rsidR="004D03F0" w:rsidRPr="005655FF" w14:paraId="4EB69267" w14:textId="77777777">
        <w:tc>
          <w:tcPr>
            <w:tcW w:w="2325" w:type="dxa"/>
            <w:shd w:val="clear" w:color="auto" w:fill="auto"/>
            <w:tcMar>
              <w:top w:w="100" w:type="dxa"/>
              <w:left w:w="100" w:type="dxa"/>
              <w:bottom w:w="100" w:type="dxa"/>
              <w:right w:w="100" w:type="dxa"/>
            </w:tcMar>
          </w:tcPr>
          <w:p w14:paraId="69C7048C" w14:textId="77777777" w:rsidR="004D03F0" w:rsidRPr="005655FF" w:rsidRDefault="000F538B">
            <w:pPr>
              <w:widowControl w:val="0"/>
              <w:spacing w:before="0" w:after="0"/>
              <w:rPr>
                <w:sz w:val="20"/>
                <w:szCs w:val="20"/>
              </w:rPr>
            </w:pPr>
            <w:r w:rsidRPr="005655FF">
              <w:rPr>
                <w:sz w:val="20"/>
                <w:szCs w:val="20"/>
              </w:rPr>
              <w:t xml:space="preserve">SSP3-7.0 </w:t>
            </w:r>
          </w:p>
          <w:p w14:paraId="1306633A" w14:textId="77777777" w:rsidR="004D03F0" w:rsidRPr="005655FF" w:rsidRDefault="000F538B">
            <w:pPr>
              <w:widowControl w:val="0"/>
              <w:spacing w:before="0" w:after="0"/>
              <w:rPr>
                <w:sz w:val="20"/>
                <w:szCs w:val="20"/>
              </w:rPr>
            </w:pPr>
            <w:r w:rsidRPr="005655FF">
              <w:rPr>
                <w:sz w:val="20"/>
                <w:szCs w:val="20"/>
              </w:rPr>
              <w:t>Regional Rivalry</w:t>
            </w:r>
          </w:p>
        </w:tc>
        <w:tc>
          <w:tcPr>
            <w:tcW w:w="1035" w:type="dxa"/>
            <w:shd w:val="clear" w:color="auto" w:fill="auto"/>
            <w:tcMar>
              <w:top w:w="100" w:type="dxa"/>
              <w:left w:w="100" w:type="dxa"/>
              <w:bottom w:w="100" w:type="dxa"/>
              <w:right w:w="100" w:type="dxa"/>
            </w:tcMar>
          </w:tcPr>
          <w:p w14:paraId="77195EEA" w14:textId="77777777" w:rsidR="004D03F0" w:rsidRPr="005655FF" w:rsidRDefault="000F538B">
            <w:pPr>
              <w:spacing w:before="0" w:after="0"/>
              <w:rPr>
                <w:sz w:val="20"/>
                <w:szCs w:val="20"/>
              </w:rPr>
            </w:pPr>
            <w:r w:rsidRPr="005655FF">
              <w:rPr>
                <w:sz w:val="20"/>
                <w:szCs w:val="20"/>
              </w:rPr>
              <w:t>+8,161</w:t>
            </w:r>
          </w:p>
          <w:p w14:paraId="235B35B7" w14:textId="77777777" w:rsidR="004D03F0" w:rsidRPr="005655FF" w:rsidRDefault="000F538B">
            <w:pPr>
              <w:spacing w:before="0" w:after="0"/>
              <w:rPr>
                <w:sz w:val="20"/>
                <w:szCs w:val="20"/>
              </w:rPr>
            </w:pPr>
            <w:r w:rsidRPr="005655FF">
              <w:rPr>
                <w:sz w:val="20"/>
                <w:szCs w:val="20"/>
              </w:rPr>
              <w:t>(3.34%)</w:t>
            </w:r>
          </w:p>
        </w:tc>
        <w:tc>
          <w:tcPr>
            <w:tcW w:w="1080" w:type="dxa"/>
            <w:shd w:val="clear" w:color="auto" w:fill="auto"/>
            <w:tcMar>
              <w:top w:w="100" w:type="dxa"/>
              <w:left w:w="100" w:type="dxa"/>
              <w:bottom w:w="100" w:type="dxa"/>
              <w:right w:w="100" w:type="dxa"/>
            </w:tcMar>
          </w:tcPr>
          <w:p w14:paraId="7D2866F2" w14:textId="77777777" w:rsidR="004D03F0" w:rsidRPr="005655FF" w:rsidRDefault="000F538B">
            <w:pPr>
              <w:spacing w:before="0" w:after="0" w:line="276" w:lineRule="auto"/>
              <w:rPr>
                <w:sz w:val="20"/>
                <w:szCs w:val="20"/>
              </w:rPr>
            </w:pPr>
            <w:r w:rsidRPr="005655FF">
              <w:rPr>
                <w:sz w:val="20"/>
                <w:szCs w:val="20"/>
              </w:rPr>
              <w:t>+10,355</w:t>
            </w:r>
          </w:p>
          <w:p w14:paraId="12025E55" w14:textId="77777777" w:rsidR="004D03F0" w:rsidRPr="005655FF" w:rsidRDefault="000F538B">
            <w:pPr>
              <w:spacing w:before="0" w:after="0" w:line="276" w:lineRule="auto"/>
              <w:rPr>
                <w:sz w:val="20"/>
                <w:szCs w:val="20"/>
              </w:rPr>
            </w:pPr>
            <w:r w:rsidRPr="005655FF">
              <w:rPr>
                <w:sz w:val="20"/>
                <w:szCs w:val="20"/>
              </w:rPr>
              <w:t>(13.75%)</w:t>
            </w:r>
          </w:p>
        </w:tc>
        <w:tc>
          <w:tcPr>
            <w:tcW w:w="1035" w:type="dxa"/>
            <w:shd w:val="clear" w:color="auto" w:fill="auto"/>
            <w:tcMar>
              <w:top w:w="100" w:type="dxa"/>
              <w:left w:w="100" w:type="dxa"/>
              <w:bottom w:w="100" w:type="dxa"/>
              <w:right w:w="100" w:type="dxa"/>
            </w:tcMar>
          </w:tcPr>
          <w:p w14:paraId="7FE9A57D" w14:textId="77777777" w:rsidR="004D03F0" w:rsidRPr="005655FF" w:rsidRDefault="000F538B">
            <w:pPr>
              <w:spacing w:before="0" w:after="0" w:line="276" w:lineRule="auto"/>
              <w:rPr>
                <w:sz w:val="20"/>
                <w:szCs w:val="20"/>
              </w:rPr>
            </w:pPr>
            <w:r w:rsidRPr="005655FF">
              <w:rPr>
                <w:sz w:val="20"/>
                <w:szCs w:val="20"/>
              </w:rPr>
              <w:t>+12,810</w:t>
            </w:r>
          </w:p>
          <w:p w14:paraId="417E989B" w14:textId="77777777" w:rsidR="004D03F0" w:rsidRPr="005655FF" w:rsidRDefault="000F538B">
            <w:pPr>
              <w:spacing w:before="0" w:after="0" w:line="276" w:lineRule="auto"/>
              <w:rPr>
                <w:sz w:val="20"/>
                <w:szCs w:val="20"/>
              </w:rPr>
            </w:pPr>
            <w:r w:rsidRPr="005655FF">
              <w:rPr>
                <w:sz w:val="20"/>
                <w:szCs w:val="20"/>
              </w:rPr>
              <w:t>(23.97%)</w:t>
            </w:r>
          </w:p>
        </w:tc>
        <w:tc>
          <w:tcPr>
            <w:tcW w:w="1065" w:type="dxa"/>
            <w:shd w:val="clear" w:color="auto" w:fill="auto"/>
            <w:tcMar>
              <w:top w:w="100" w:type="dxa"/>
              <w:left w:w="100" w:type="dxa"/>
              <w:bottom w:w="100" w:type="dxa"/>
              <w:right w:w="100" w:type="dxa"/>
            </w:tcMar>
          </w:tcPr>
          <w:p w14:paraId="30B1573D" w14:textId="77777777" w:rsidR="004D03F0" w:rsidRPr="005655FF" w:rsidRDefault="000F538B">
            <w:pPr>
              <w:spacing w:before="0" w:after="0" w:line="276" w:lineRule="auto"/>
              <w:rPr>
                <w:sz w:val="20"/>
                <w:szCs w:val="20"/>
              </w:rPr>
            </w:pPr>
            <w:r w:rsidRPr="005655FF">
              <w:rPr>
                <w:sz w:val="20"/>
                <w:szCs w:val="20"/>
              </w:rPr>
              <w:t>+15,377</w:t>
            </w:r>
          </w:p>
          <w:p w14:paraId="1E6C8C57" w14:textId="77777777" w:rsidR="004D03F0" w:rsidRPr="005655FF" w:rsidRDefault="000F538B">
            <w:pPr>
              <w:spacing w:before="0" w:after="0" w:line="276" w:lineRule="auto"/>
              <w:rPr>
                <w:sz w:val="20"/>
                <w:szCs w:val="20"/>
              </w:rPr>
            </w:pPr>
            <w:r w:rsidRPr="005655FF">
              <w:rPr>
                <w:sz w:val="20"/>
                <w:szCs w:val="20"/>
              </w:rPr>
              <w:t>(38.68%)</w:t>
            </w:r>
          </w:p>
        </w:tc>
        <w:tc>
          <w:tcPr>
            <w:tcW w:w="1065" w:type="dxa"/>
            <w:shd w:val="clear" w:color="auto" w:fill="auto"/>
            <w:tcMar>
              <w:top w:w="100" w:type="dxa"/>
              <w:left w:w="100" w:type="dxa"/>
              <w:bottom w:w="100" w:type="dxa"/>
              <w:right w:w="100" w:type="dxa"/>
            </w:tcMar>
          </w:tcPr>
          <w:p w14:paraId="45509C87" w14:textId="77777777" w:rsidR="004D03F0" w:rsidRPr="005655FF" w:rsidRDefault="000F538B">
            <w:pPr>
              <w:spacing w:before="0" w:after="0" w:line="276" w:lineRule="auto"/>
              <w:rPr>
                <w:sz w:val="20"/>
                <w:szCs w:val="20"/>
              </w:rPr>
            </w:pPr>
            <w:r w:rsidRPr="005655FF">
              <w:rPr>
                <w:sz w:val="20"/>
                <w:szCs w:val="20"/>
              </w:rPr>
              <w:t>+17,568</w:t>
            </w:r>
          </w:p>
          <w:p w14:paraId="4091C65A" w14:textId="77777777" w:rsidR="004D03F0" w:rsidRPr="005655FF" w:rsidRDefault="000F538B">
            <w:pPr>
              <w:spacing w:before="0" w:after="0" w:line="276" w:lineRule="auto"/>
              <w:rPr>
                <w:sz w:val="20"/>
                <w:szCs w:val="20"/>
              </w:rPr>
            </w:pPr>
            <w:r w:rsidRPr="005655FF">
              <w:rPr>
                <w:sz w:val="20"/>
                <w:szCs w:val="20"/>
              </w:rPr>
              <w:t>(53.98%)</w:t>
            </w:r>
          </w:p>
        </w:tc>
        <w:tc>
          <w:tcPr>
            <w:tcW w:w="1110" w:type="dxa"/>
            <w:shd w:val="clear" w:color="auto" w:fill="auto"/>
            <w:tcMar>
              <w:top w:w="100" w:type="dxa"/>
              <w:left w:w="100" w:type="dxa"/>
              <w:bottom w:w="100" w:type="dxa"/>
              <w:right w:w="100" w:type="dxa"/>
            </w:tcMar>
          </w:tcPr>
          <w:p w14:paraId="33734655" w14:textId="77777777" w:rsidR="004D03F0" w:rsidRPr="005655FF" w:rsidRDefault="000F538B">
            <w:pPr>
              <w:spacing w:before="0" w:after="0" w:line="276" w:lineRule="auto"/>
              <w:rPr>
                <w:sz w:val="20"/>
                <w:szCs w:val="20"/>
              </w:rPr>
            </w:pPr>
            <w:r w:rsidRPr="005655FF">
              <w:rPr>
                <w:sz w:val="20"/>
                <w:szCs w:val="20"/>
              </w:rPr>
              <w:t>+19,722</w:t>
            </w:r>
          </w:p>
          <w:p w14:paraId="685E0A56" w14:textId="77777777" w:rsidR="004D03F0" w:rsidRPr="005655FF" w:rsidRDefault="000F538B">
            <w:pPr>
              <w:spacing w:before="0" w:after="0" w:line="276" w:lineRule="auto"/>
              <w:rPr>
                <w:sz w:val="20"/>
                <w:szCs w:val="20"/>
              </w:rPr>
            </w:pPr>
            <w:r w:rsidRPr="005655FF">
              <w:rPr>
                <w:sz w:val="20"/>
                <w:szCs w:val="20"/>
              </w:rPr>
              <w:t>(77.03%)</w:t>
            </w:r>
          </w:p>
        </w:tc>
        <w:tc>
          <w:tcPr>
            <w:tcW w:w="1065" w:type="dxa"/>
            <w:shd w:val="clear" w:color="auto" w:fill="auto"/>
            <w:tcMar>
              <w:top w:w="100" w:type="dxa"/>
              <w:left w:w="100" w:type="dxa"/>
              <w:bottom w:w="100" w:type="dxa"/>
              <w:right w:w="100" w:type="dxa"/>
            </w:tcMar>
          </w:tcPr>
          <w:p w14:paraId="7ABF6ED0" w14:textId="77777777" w:rsidR="004D03F0" w:rsidRPr="005655FF" w:rsidRDefault="000F538B">
            <w:pPr>
              <w:spacing w:before="0" w:after="0" w:line="276" w:lineRule="auto"/>
              <w:rPr>
                <w:sz w:val="20"/>
                <w:szCs w:val="20"/>
              </w:rPr>
            </w:pPr>
            <w:r w:rsidRPr="005655FF">
              <w:rPr>
                <w:sz w:val="20"/>
                <w:szCs w:val="20"/>
              </w:rPr>
              <w:t>+21,501</w:t>
            </w:r>
          </w:p>
          <w:p w14:paraId="1D0B1F25" w14:textId="77777777" w:rsidR="004D03F0" w:rsidRPr="005655FF" w:rsidRDefault="000F538B">
            <w:pPr>
              <w:spacing w:before="0" w:after="0" w:line="276" w:lineRule="auto"/>
              <w:rPr>
                <w:sz w:val="20"/>
                <w:szCs w:val="20"/>
              </w:rPr>
            </w:pPr>
            <w:r w:rsidRPr="005655FF">
              <w:rPr>
                <w:sz w:val="20"/>
                <w:szCs w:val="20"/>
              </w:rPr>
              <w:t>(99.93%)</w:t>
            </w:r>
          </w:p>
        </w:tc>
      </w:tr>
      <w:tr w:rsidR="004D03F0" w:rsidRPr="005655FF" w14:paraId="282AFB18" w14:textId="77777777">
        <w:tc>
          <w:tcPr>
            <w:tcW w:w="2325" w:type="dxa"/>
            <w:shd w:val="clear" w:color="auto" w:fill="auto"/>
            <w:tcMar>
              <w:top w:w="100" w:type="dxa"/>
              <w:left w:w="100" w:type="dxa"/>
              <w:bottom w:w="100" w:type="dxa"/>
              <w:right w:w="100" w:type="dxa"/>
            </w:tcMar>
          </w:tcPr>
          <w:p w14:paraId="4D1B4997" w14:textId="77777777" w:rsidR="004D03F0" w:rsidRPr="005655FF" w:rsidRDefault="000F538B">
            <w:pPr>
              <w:widowControl w:val="0"/>
              <w:spacing w:before="0" w:after="0"/>
              <w:rPr>
                <w:sz w:val="20"/>
                <w:szCs w:val="20"/>
              </w:rPr>
            </w:pPr>
            <w:r w:rsidRPr="005655FF">
              <w:rPr>
                <w:sz w:val="20"/>
                <w:szCs w:val="20"/>
              </w:rPr>
              <w:t>SSP5-8.5</w:t>
            </w:r>
          </w:p>
          <w:p w14:paraId="2AE30D55" w14:textId="77777777" w:rsidR="004D03F0" w:rsidRPr="005655FF" w:rsidRDefault="000F538B">
            <w:pPr>
              <w:widowControl w:val="0"/>
              <w:spacing w:before="0" w:after="0"/>
              <w:rPr>
                <w:sz w:val="20"/>
                <w:szCs w:val="20"/>
              </w:rPr>
            </w:pPr>
            <w:r w:rsidRPr="005655FF">
              <w:rPr>
                <w:sz w:val="20"/>
                <w:szCs w:val="20"/>
              </w:rPr>
              <w:t>Fossil-fuel development</w:t>
            </w:r>
          </w:p>
        </w:tc>
        <w:tc>
          <w:tcPr>
            <w:tcW w:w="1035" w:type="dxa"/>
            <w:shd w:val="clear" w:color="auto" w:fill="auto"/>
            <w:tcMar>
              <w:top w:w="100" w:type="dxa"/>
              <w:left w:w="100" w:type="dxa"/>
              <w:bottom w:w="100" w:type="dxa"/>
              <w:right w:w="100" w:type="dxa"/>
            </w:tcMar>
          </w:tcPr>
          <w:p w14:paraId="638349CC" w14:textId="77777777" w:rsidR="004D03F0" w:rsidRPr="005655FF" w:rsidRDefault="000F538B">
            <w:pPr>
              <w:widowControl w:val="0"/>
              <w:spacing w:before="0" w:after="0"/>
              <w:rPr>
                <w:sz w:val="20"/>
                <w:szCs w:val="20"/>
              </w:rPr>
            </w:pPr>
            <w:r w:rsidRPr="005655FF">
              <w:rPr>
                <w:sz w:val="20"/>
                <w:szCs w:val="20"/>
              </w:rPr>
              <w:t>+8,651</w:t>
            </w:r>
          </w:p>
          <w:p w14:paraId="3EB301BC" w14:textId="77777777" w:rsidR="004D03F0" w:rsidRPr="005655FF" w:rsidRDefault="000F538B">
            <w:pPr>
              <w:widowControl w:val="0"/>
              <w:spacing w:before="0" w:after="0"/>
              <w:rPr>
                <w:sz w:val="20"/>
                <w:szCs w:val="20"/>
              </w:rPr>
            </w:pPr>
            <w:r w:rsidRPr="005655FF">
              <w:rPr>
                <w:sz w:val="20"/>
                <w:szCs w:val="20"/>
              </w:rPr>
              <w:t>(9.53%)</w:t>
            </w:r>
          </w:p>
        </w:tc>
        <w:tc>
          <w:tcPr>
            <w:tcW w:w="1080" w:type="dxa"/>
            <w:shd w:val="clear" w:color="auto" w:fill="auto"/>
            <w:tcMar>
              <w:top w:w="100" w:type="dxa"/>
              <w:left w:w="100" w:type="dxa"/>
              <w:bottom w:w="100" w:type="dxa"/>
              <w:right w:w="100" w:type="dxa"/>
            </w:tcMar>
          </w:tcPr>
          <w:p w14:paraId="74564EFA" w14:textId="77777777" w:rsidR="004D03F0" w:rsidRPr="005655FF" w:rsidRDefault="000F538B">
            <w:pPr>
              <w:spacing w:before="0" w:after="0" w:line="276" w:lineRule="auto"/>
              <w:rPr>
                <w:sz w:val="20"/>
                <w:szCs w:val="20"/>
              </w:rPr>
            </w:pPr>
            <w:r w:rsidRPr="005655FF">
              <w:rPr>
                <w:sz w:val="20"/>
                <w:szCs w:val="20"/>
              </w:rPr>
              <w:t>+11,253</w:t>
            </w:r>
          </w:p>
          <w:p w14:paraId="2E20CA2D" w14:textId="77777777" w:rsidR="004D03F0" w:rsidRPr="005655FF" w:rsidRDefault="000F538B">
            <w:pPr>
              <w:spacing w:before="0" w:after="0" w:line="276" w:lineRule="auto"/>
              <w:rPr>
                <w:sz w:val="20"/>
                <w:szCs w:val="20"/>
              </w:rPr>
            </w:pPr>
            <w:r w:rsidRPr="005655FF">
              <w:rPr>
                <w:sz w:val="20"/>
                <w:szCs w:val="20"/>
              </w:rPr>
              <w:t>(23.62%)</w:t>
            </w:r>
          </w:p>
        </w:tc>
        <w:tc>
          <w:tcPr>
            <w:tcW w:w="1035" w:type="dxa"/>
            <w:shd w:val="clear" w:color="auto" w:fill="auto"/>
            <w:tcMar>
              <w:top w:w="100" w:type="dxa"/>
              <w:left w:w="100" w:type="dxa"/>
              <w:bottom w:w="100" w:type="dxa"/>
              <w:right w:w="100" w:type="dxa"/>
            </w:tcMar>
          </w:tcPr>
          <w:p w14:paraId="3AF8F5D7" w14:textId="77777777" w:rsidR="004D03F0" w:rsidRPr="005655FF" w:rsidRDefault="000F538B">
            <w:pPr>
              <w:spacing w:before="0" w:after="0" w:line="276" w:lineRule="auto"/>
              <w:rPr>
                <w:sz w:val="20"/>
                <w:szCs w:val="20"/>
              </w:rPr>
            </w:pPr>
            <w:r w:rsidRPr="005655FF">
              <w:rPr>
                <w:sz w:val="20"/>
                <w:szCs w:val="20"/>
              </w:rPr>
              <w:t xml:space="preserve"> +14,201</w:t>
            </w:r>
          </w:p>
          <w:p w14:paraId="7BFC1C9B" w14:textId="77777777" w:rsidR="004D03F0" w:rsidRPr="005655FF" w:rsidRDefault="000F538B">
            <w:pPr>
              <w:spacing w:before="0" w:after="0" w:line="276" w:lineRule="auto"/>
              <w:rPr>
                <w:sz w:val="20"/>
                <w:szCs w:val="20"/>
              </w:rPr>
            </w:pPr>
            <w:r w:rsidRPr="005655FF">
              <w:rPr>
                <w:sz w:val="20"/>
                <w:szCs w:val="20"/>
              </w:rPr>
              <w:t>(37.43%)</w:t>
            </w:r>
          </w:p>
        </w:tc>
        <w:tc>
          <w:tcPr>
            <w:tcW w:w="1065" w:type="dxa"/>
            <w:shd w:val="clear" w:color="auto" w:fill="auto"/>
            <w:tcMar>
              <w:top w:w="100" w:type="dxa"/>
              <w:left w:w="100" w:type="dxa"/>
              <w:bottom w:w="100" w:type="dxa"/>
              <w:right w:w="100" w:type="dxa"/>
            </w:tcMar>
          </w:tcPr>
          <w:p w14:paraId="11E26EE8" w14:textId="77777777" w:rsidR="004D03F0" w:rsidRPr="005655FF" w:rsidRDefault="000F538B">
            <w:pPr>
              <w:spacing w:before="0" w:after="0" w:line="276" w:lineRule="auto"/>
              <w:rPr>
                <w:sz w:val="20"/>
                <w:szCs w:val="20"/>
              </w:rPr>
            </w:pPr>
            <w:r w:rsidRPr="005655FF">
              <w:rPr>
                <w:sz w:val="20"/>
                <w:szCs w:val="20"/>
              </w:rPr>
              <w:t>+17,013</w:t>
            </w:r>
          </w:p>
          <w:p w14:paraId="36C572DA" w14:textId="77777777" w:rsidR="004D03F0" w:rsidRPr="005655FF" w:rsidRDefault="000F538B">
            <w:pPr>
              <w:spacing w:before="0" w:after="0" w:line="276" w:lineRule="auto"/>
              <w:rPr>
                <w:sz w:val="20"/>
                <w:szCs w:val="20"/>
              </w:rPr>
            </w:pPr>
            <w:r w:rsidRPr="005655FF">
              <w:rPr>
                <w:sz w:val="20"/>
                <w:szCs w:val="20"/>
              </w:rPr>
              <w:t>(54.2%)</w:t>
            </w:r>
          </w:p>
        </w:tc>
        <w:tc>
          <w:tcPr>
            <w:tcW w:w="1065" w:type="dxa"/>
            <w:shd w:val="clear" w:color="auto" w:fill="auto"/>
            <w:tcMar>
              <w:top w:w="100" w:type="dxa"/>
              <w:left w:w="100" w:type="dxa"/>
              <w:bottom w:w="100" w:type="dxa"/>
              <w:right w:w="100" w:type="dxa"/>
            </w:tcMar>
          </w:tcPr>
          <w:p w14:paraId="4FD3F45B" w14:textId="77777777" w:rsidR="004D03F0" w:rsidRPr="005655FF" w:rsidRDefault="000F538B">
            <w:pPr>
              <w:spacing w:before="0" w:after="0" w:line="276" w:lineRule="auto"/>
              <w:rPr>
                <w:sz w:val="20"/>
                <w:szCs w:val="20"/>
              </w:rPr>
            </w:pPr>
            <w:r w:rsidRPr="005655FF">
              <w:rPr>
                <w:sz w:val="20"/>
                <w:szCs w:val="20"/>
              </w:rPr>
              <w:t>+19,847</w:t>
            </w:r>
          </w:p>
          <w:p w14:paraId="115214C3" w14:textId="77777777" w:rsidR="004D03F0" w:rsidRPr="005655FF" w:rsidRDefault="000F538B">
            <w:pPr>
              <w:spacing w:before="0" w:after="0" w:line="276" w:lineRule="auto"/>
              <w:rPr>
                <w:sz w:val="20"/>
                <w:szCs w:val="20"/>
              </w:rPr>
            </w:pPr>
            <w:r w:rsidRPr="005655FF">
              <w:rPr>
                <w:sz w:val="20"/>
                <w:szCs w:val="20"/>
              </w:rPr>
              <w:t>(73.95%)</w:t>
            </w:r>
          </w:p>
        </w:tc>
        <w:tc>
          <w:tcPr>
            <w:tcW w:w="1110" w:type="dxa"/>
            <w:shd w:val="clear" w:color="auto" w:fill="auto"/>
            <w:tcMar>
              <w:top w:w="100" w:type="dxa"/>
              <w:left w:w="100" w:type="dxa"/>
              <w:bottom w:w="100" w:type="dxa"/>
              <w:right w:w="100" w:type="dxa"/>
            </w:tcMar>
          </w:tcPr>
          <w:p w14:paraId="14F33E2E" w14:textId="77777777" w:rsidR="004D03F0" w:rsidRPr="005655FF" w:rsidRDefault="000F538B">
            <w:pPr>
              <w:spacing w:before="0" w:after="0" w:line="276" w:lineRule="auto"/>
              <w:rPr>
                <w:sz w:val="20"/>
                <w:szCs w:val="20"/>
              </w:rPr>
            </w:pPr>
            <w:r w:rsidRPr="005655FF">
              <w:rPr>
                <w:sz w:val="20"/>
                <w:szCs w:val="20"/>
              </w:rPr>
              <w:t>+22,945</w:t>
            </w:r>
          </w:p>
          <w:p w14:paraId="52A52D2C" w14:textId="77777777" w:rsidR="004D03F0" w:rsidRPr="005655FF" w:rsidRDefault="000F538B">
            <w:pPr>
              <w:spacing w:before="0" w:after="0" w:line="276" w:lineRule="auto"/>
              <w:rPr>
                <w:sz w:val="20"/>
                <w:szCs w:val="20"/>
              </w:rPr>
            </w:pPr>
            <w:r w:rsidRPr="005655FF">
              <w:rPr>
                <w:sz w:val="20"/>
                <w:szCs w:val="20"/>
              </w:rPr>
              <w:t>(105.96%)</w:t>
            </w:r>
          </w:p>
        </w:tc>
        <w:tc>
          <w:tcPr>
            <w:tcW w:w="1065" w:type="dxa"/>
            <w:shd w:val="clear" w:color="auto" w:fill="auto"/>
            <w:tcMar>
              <w:top w:w="100" w:type="dxa"/>
              <w:left w:w="100" w:type="dxa"/>
              <w:bottom w:w="100" w:type="dxa"/>
              <w:right w:w="100" w:type="dxa"/>
            </w:tcMar>
          </w:tcPr>
          <w:p w14:paraId="25C2CF3F" w14:textId="77777777" w:rsidR="004D03F0" w:rsidRPr="005655FF" w:rsidRDefault="000F538B">
            <w:pPr>
              <w:spacing w:before="0" w:after="0" w:line="276" w:lineRule="auto"/>
              <w:rPr>
                <w:sz w:val="20"/>
                <w:szCs w:val="20"/>
              </w:rPr>
            </w:pPr>
            <w:r w:rsidRPr="005655FF">
              <w:rPr>
                <w:sz w:val="20"/>
                <w:szCs w:val="20"/>
              </w:rPr>
              <w:t>+25,364</w:t>
            </w:r>
          </w:p>
          <w:p w14:paraId="3D956AB2" w14:textId="77777777" w:rsidR="004D03F0" w:rsidRPr="005655FF" w:rsidRDefault="000F538B">
            <w:pPr>
              <w:spacing w:before="0" w:after="0" w:line="276" w:lineRule="auto"/>
              <w:rPr>
                <w:sz w:val="20"/>
                <w:szCs w:val="20"/>
              </w:rPr>
            </w:pPr>
            <w:r w:rsidRPr="005655FF">
              <w:rPr>
                <w:sz w:val="20"/>
                <w:szCs w:val="20"/>
              </w:rPr>
              <w:t>(135.85%)</w:t>
            </w:r>
          </w:p>
        </w:tc>
      </w:tr>
    </w:tbl>
    <w:p w14:paraId="13EF85B0" w14:textId="77777777" w:rsidR="004D03F0" w:rsidRPr="005655FF" w:rsidRDefault="004D03F0">
      <w:pPr>
        <w:spacing w:before="0" w:after="0" w:line="276" w:lineRule="auto"/>
      </w:pPr>
    </w:p>
    <w:p w14:paraId="66E86CBA" w14:textId="3FB4EEE3" w:rsidR="004D03F0" w:rsidRPr="005655FF" w:rsidRDefault="00DE56DD">
      <w:pPr>
        <w:spacing w:before="0" w:after="0" w:line="276" w:lineRule="auto"/>
        <w:jc w:val="both"/>
        <w:rPr>
          <w:sz w:val="20"/>
          <w:szCs w:val="20"/>
        </w:rPr>
      </w:pPr>
      <w:r w:rsidRPr="005655FF">
        <w:rPr>
          <w:b/>
          <w:sz w:val="20"/>
          <w:szCs w:val="20"/>
        </w:rPr>
        <w:t>Table S1</w:t>
      </w:r>
      <w:r w:rsidR="000F538B" w:rsidRPr="005655FF">
        <w:rPr>
          <w:b/>
          <w:sz w:val="20"/>
          <w:szCs w:val="20"/>
        </w:rPr>
        <w:t xml:space="preserve"> </w:t>
      </w:r>
      <w:r w:rsidR="000F538B" w:rsidRPr="005655FF">
        <w:rPr>
          <w:sz w:val="20"/>
          <w:szCs w:val="20"/>
        </w:rPr>
        <w:t xml:space="preserve">details further the projected excess in the nationwide burden of </w:t>
      </w:r>
      <w:r w:rsidR="000F538B" w:rsidRPr="005655FF">
        <w:rPr>
          <w:sz w:val="20"/>
          <w:szCs w:val="20"/>
        </w:rPr>
        <w:t>temperature-related dengue cases, for every decade from 2030 until 2090, across the different future climate scenarios. Values in parentheses pertain to the percentage difference in the excess number of cases using the most conservative climate scenario as</w:t>
      </w:r>
      <w:r w:rsidR="000F538B" w:rsidRPr="005655FF">
        <w:rPr>
          <w:sz w:val="20"/>
          <w:szCs w:val="20"/>
        </w:rPr>
        <w:t xml:space="preserve"> the baseline. Note that the excess burden is computed from the baseline attributable number (AN) of temperature-related dengue cases determined in 2019 (Nationwide AN = 294,165 cases).</w:t>
      </w:r>
    </w:p>
    <w:p w14:paraId="2743D1BF" w14:textId="77777777" w:rsidR="00DE56DD" w:rsidRPr="005655FF" w:rsidRDefault="00DE56DD">
      <w:pPr>
        <w:spacing w:before="0" w:after="0" w:line="276" w:lineRule="auto"/>
        <w:jc w:val="both"/>
        <w:rPr>
          <w:sz w:val="20"/>
          <w:szCs w:val="20"/>
        </w:rPr>
      </w:pPr>
    </w:p>
    <w:p w14:paraId="43B3DCF2" w14:textId="64D88E26" w:rsidR="00DE56DD" w:rsidRPr="005655FF" w:rsidRDefault="00DE56DD">
      <w:pPr>
        <w:spacing w:before="0" w:after="0" w:line="276" w:lineRule="auto"/>
        <w:jc w:val="both"/>
        <w:rPr>
          <w:sz w:val="20"/>
          <w:szCs w:val="20"/>
        </w:rPr>
      </w:pPr>
      <w:r w:rsidRPr="005655FF">
        <w:rPr>
          <w:b/>
          <w:bCs/>
          <w:sz w:val="20"/>
          <w:szCs w:val="20"/>
        </w:rPr>
        <w:t>Figure S2</w:t>
      </w:r>
      <w:r w:rsidRPr="005655FF">
        <w:rPr>
          <w:sz w:val="20"/>
          <w:szCs w:val="20"/>
        </w:rPr>
        <w:t xml:space="preserve">. Nationwide total annual dengue cases </w:t>
      </w:r>
    </w:p>
    <w:p w14:paraId="4C658C61" w14:textId="77777777" w:rsidR="00DE56DD" w:rsidRPr="005655FF" w:rsidRDefault="00DE56DD">
      <w:pPr>
        <w:spacing w:before="0" w:after="0" w:line="276" w:lineRule="auto"/>
        <w:jc w:val="both"/>
        <w:rPr>
          <w:sz w:val="20"/>
          <w:szCs w:val="20"/>
        </w:rPr>
      </w:pPr>
    </w:p>
    <w:p w14:paraId="6AB7EBDC" w14:textId="715DB9B3" w:rsidR="00DE56DD" w:rsidRPr="005655FF" w:rsidRDefault="00DE56DD">
      <w:pPr>
        <w:spacing w:before="0" w:after="0" w:line="276" w:lineRule="auto"/>
        <w:jc w:val="both"/>
        <w:rPr>
          <w:sz w:val="20"/>
          <w:szCs w:val="20"/>
        </w:rPr>
      </w:pPr>
      <w:r w:rsidRPr="005655FF">
        <w:rPr>
          <w:noProof/>
        </w:rPr>
        <w:drawing>
          <wp:inline distT="0" distB="0" distL="0" distR="0" wp14:anchorId="33A9F619" wp14:editId="1A52F07B">
            <wp:extent cx="5943600" cy="4583430"/>
            <wp:effectExtent l="0" t="0" r="0" b="1270"/>
            <wp:docPr id="1970260727" name="Picture 1" descr="A graph with a number of colum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260727" name="Picture 1" descr="A graph with a number of columns&#10;&#10;Description automatically generated with medium confidence"/>
                    <pic:cNvPicPr/>
                  </pic:nvPicPr>
                  <pic:blipFill>
                    <a:blip r:embed="rId7"/>
                    <a:stretch>
                      <a:fillRect/>
                    </a:stretch>
                  </pic:blipFill>
                  <pic:spPr>
                    <a:xfrm>
                      <a:off x="0" y="0"/>
                      <a:ext cx="5943600" cy="4583430"/>
                    </a:xfrm>
                    <a:prstGeom prst="rect">
                      <a:avLst/>
                    </a:prstGeom>
                  </pic:spPr>
                </pic:pic>
              </a:graphicData>
            </a:graphic>
          </wp:inline>
        </w:drawing>
      </w:r>
    </w:p>
    <w:p w14:paraId="41C50E66" w14:textId="77777777" w:rsidR="00DE56DD" w:rsidRPr="005655FF" w:rsidRDefault="00DE56DD">
      <w:pPr>
        <w:spacing w:before="0" w:after="0" w:line="276" w:lineRule="auto"/>
        <w:jc w:val="both"/>
        <w:rPr>
          <w:sz w:val="20"/>
          <w:szCs w:val="20"/>
        </w:rPr>
      </w:pPr>
    </w:p>
    <w:p w14:paraId="59B4D766" w14:textId="2F407648" w:rsidR="00DE56DD" w:rsidRPr="005655FF" w:rsidRDefault="00DE56DD">
      <w:pPr>
        <w:spacing w:before="0" w:after="0" w:line="276" w:lineRule="auto"/>
        <w:jc w:val="both"/>
        <w:rPr>
          <w:sz w:val="20"/>
          <w:szCs w:val="20"/>
        </w:rPr>
      </w:pPr>
      <w:r w:rsidRPr="005655FF">
        <w:rPr>
          <w:b/>
          <w:bCs/>
          <w:sz w:val="20"/>
          <w:szCs w:val="20"/>
        </w:rPr>
        <w:t>Figure S2</w:t>
      </w:r>
      <w:r w:rsidRPr="005655FF">
        <w:rPr>
          <w:sz w:val="20"/>
          <w:szCs w:val="20"/>
        </w:rPr>
        <w:t xml:space="preserve"> reveals an annual variability in dengue cases with discernably higher number of cases in 2019 than in earlier periods in 2011 as indicated by the position of the median values depicted by the solid horizontal line in the boxplots.</w:t>
      </w:r>
    </w:p>
    <w:sectPr w:rsidR="00DE56DD" w:rsidRPr="005655FF">
      <w:headerReference w:type="even" r:id="rId8"/>
      <w:footerReference w:type="even" r:id="rId9"/>
      <w:footerReference w:type="default" r:id="rId10"/>
      <w:headerReference w:type="first" r:id="rId11"/>
      <w:pgSz w:w="12240" w:h="15840"/>
      <w:pgMar w:top="1138" w:right="1181" w:bottom="1138" w:left="128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0FA66" w14:textId="77777777" w:rsidR="000F538B" w:rsidRDefault="000F538B">
      <w:pPr>
        <w:spacing w:before="0" w:after="0"/>
      </w:pPr>
      <w:r>
        <w:separator/>
      </w:r>
    </w:p>
  </w:endnote>
  <w:endnote w:type="continuationSeparator" w:id="0">
    <w:p w14:paraId="3C3BADFA" w14:textId="77777777" w:rsidR="000F538B" w:rsidRDefault="000F53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4B04" w14:textId="77777777" w:rsidR="004D03F0" w:rsidRDefault="000F538B">
    <w:pPr>
      <w:rPr>
        <w:color w:val="C00000"/>
      </w:rPr>
    </w:pPr>
    <w:r>
      <w:rPr>
        <w:noProof/>
      </w:rPr>
      <mc:AlternateContent>
        <mc:Choice Requires="wpg">
          <w:drawing>
            <wp:anchor distT="0" distB="0" distL="114300" distR="114300" simplePos="0" relativeHeight="251659264" behindDoc="0" locked="0" layoutInCell="1" hidden="0" allowOverlap="1" wp14:anchorId="1DC80956" wp14:editId="1E1ADA12">
              <wp:simplePos x="0" y="0"/>
              <wp:positionH relativeFrom="column">
                <wp:posOffset>4686300</wp:posOffset>
              </wp:positionH>
              <wp:positionV relativeFrom="paragraph">
                <wp:posOffset>0</wp:posOffset>
              </wp:positionV>
              <wp:extent cx="1518285" cy="405130"/>
              <wp:effectExtent l="0" t="0" r="0" b="0"/>
              <wp:wrapNone/>
              <wp:docPr id="1" name="Rectangle 1"/>
              <wp:cNvGraphicFramePr/>
              <a:graphic xmlns:a="http://schemas.openxmlformats.org/drawingml/2006/main">
                <a:graphicData uri="http://schemas.microsoft.com/office/word/2010/wordprocessingShape">
                  <wps:wsp>
                    <wps:cNvSpPr/>
                    <wps:spPr>
                      <a:xfrm>
                        <a:off x="4591620" y="3582198"/>
                        <a:ext cx="1508760" cy="395605"/>
                      </a:xfrm>
                      <a:prstGeom prst="rect">
                        <a:avLst/>
                      </a:prstGeom>
                      <a:noFill/>
                      <a:ln>
                        <a:noFill/>
                      </a:ln>
                    </wps:spPr>
                    <wps:txbx>
                      <w:txbxContent>
                        <w:p w14:paraId="7C991F30" w14:textId="77777777" w:rsidR="004D03F0" w:rsidRDefault="000F538B">
                          <w:pPr>
                            <w:jc w:val="right"/>
                            <w:textDirection w:val="btLr"/>
                          </w:pPr>
                          <w:r>
                            <w:rPr>
                              <w:color w:val="000000"/>
                            </w:rPr>
                            <w:t xml:space="preserve"> </w:t>
                          </w:r>
                          <w:proofErr w:type="gramStart"/>
                          <w:r>
                            <w:rPr>
                              <w:color w:val="000000"/>
                            </w:rPr>
                            <w:t>PAGE  \</w:t>
                          </w:r>
                          <w:proofErr w:type="gramEnd"/>
                          <w:r>
                            <w:rPr>
                              <w:color w:val="000000"/>
                            </w:rPr>
                            <w:t>* Arabic  \* MERGEFORMAT 2</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518285" cy="40513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518285" cy="40513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FE5A" w14:textId="77777777" w:rsidR="004D03F0" w:rsidRDefault="000F538B">
    <w:pPr>
      <w:rPr>
        <w:b/>
        <w:sz w:val="20"/>
        <w:szCs w:val="20"/>
      </w:rPr>
    </w:pPr>
    <w:r>
      <w:rPr>
        <w:noProof/>
      </w:rPr>
      <mc:AlternateContent>
        <mc:Choice Requires="wpg">
          <w:drawing>
            <wp:anchor distT="0" distB="0" distL="114300" distR="114300" simplePos="0" relativeHeight="251658240" behindDoc="0" locked="0" layoutInCell="1" hidden="0" allowOverlap="1" wp14:anchorId="072CB65D" wp14:editId="595CCEBF">
              <wp:simplePos x="0" y="0"/>
              <wp:positionH relativeFrom="column">
                <wp:posOffset>4686300</wp:posOffset>
              </wp:positionH>
              <wp:positionV relativeFrom="paragraph">
                <wp:posOffset>0</wp:posOffset>
              </wp:positionV>
              <wp:extent cx="1518285" cy="405130"/>
              <wp:effectExtent l="0" t="0" r="0" b="0"/>
              <wp:wrapNone/>
              <wp:docPr id="2" name="Rectangle 2"/>
              <wp:cNvGraphicFramePr/>
              <a:graphic xmlns:a="http://schemas.openxmlformats.org/drawingml/2006/main">
                <a:graphicData uri="http://schemas.microsoft.com/office/word/2010/wordprocessingShape">
                  <wps:wsp>
                    <wps:cNvSpPr/>
                    <wps:spPr>
                      <a:xfrm>
                        <a:off x="4591620" y="3582198"/>
                        <a:ext cx="1508760" cy="395605"/>
                      </a:xfrm>
                      <a:prstGeom prst="rect">
                        <a:avLst/>
                      </a:prstGeom>
                      <a:noFill/>
                      <a:ln>
                        <a:noFill/>
                      </a:ln>
                    </wps:spPr>
                    <wps:txbx>
                      <w:txbxContent>
                        <w:p w14:paraId="4BDABE68" w14:textId="77777777" w:rsidR="004D03F0" w:rsidRDefault="000F538B">
                          <w:pPr>
                            <w:jc w:val="right"/>
                            <w:textDirection w:val="btLr"/>
                          </w:pPr>
                          <w:r>
                            <w:rPr>
                              <w:color w:val="000000"/>
                            </w:rPr>
                            <w:t xml:space="preserve"> </w:t>
                          </w:r>
                          <w:proofErr w:type="gramStart"/>
                          <w:r>
                            <w:rPr>
                              <w:color w:val="000000"/>
                            </w:rPr>
                            <w:t>PAGE  \</w:t>
                          </w:r>
                          <w:proofErr w:type="gramEnd"/>
                          <w:r>
                            <w:rPr>
                              <w:color w:val="000000"/>
                            </w:rPr>
                            <w:t>* Arabic  \* MERGEFORMAT 3</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518285" cy="40513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518285" cy="40513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B57E0" w14:textId="77777777" w:rsidR="000F538B" w:rsidRDefault="000F538B">
      <w:pPr>
        <w:spacing w:before="0" w:after="0"/>
      </w:pPr>
      <w:r>
        <w:separator/>
      </w:r>
    </w:p>
  </w:footnote>
  <w:footnote w:type="continuationSeparator" w:id="0">
    <w:p w14:paraId="63868E85" w14:textId="77777777" w:rsidR="000F538B" w:rsidRDefault="000F538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8035" w14:textId="77777777" w:rsidR="004D03F0" w:rsidRDefault="000F538B">
    <w: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3D8D" w14:textId="77777777" w:rsidR="004D03F0" w:rsidRDefault="000F538B">
    <w:r>
      <w:rPr>
        <w:b/>
        <w:noProof/>
        <w:color w:val="A6A6A6"/>
      </w:rPr>
      <w:drawing>
        <wp:inline distT="0" distB="0" distL="0" distR="0" wp14:anchorId="587461BB" wp14:editId="03D635CD">
          <wp:extent cx="1534909" cy="551877"/>
          <wp:effectExtent l="0" t="0" r="0" b="0"/>
          <wp:docPr id="4" name="image1.jpg" descr="C:\Users\Elaine.Scott\Documents\LaTex\____TEST____Frontiers_LaTeX_Templates_V2.5\Frontiers LaTeX (Science, Health and Engineering) V2.5 - with Supplementary material (V1.2)\logo1.jpg"/>
          <wp:cNvGraphicFramePr/>
          <a:graphic xmlns:a="http://schemas.openxmlformats.org/drawingml/2006/main">
            <a:graphicData uri="http://schemas.openxmlformats.org/drawingml/2006/picture">
              <pic:pic xmlns:pic="http://schemas.openxmlformats.org/drawingml/2006/picture">
                <pic:nvPicPr>
                  <pic:cNvPr id="0" name="image1.jpg" descr="C:\Users\Elaine.Scott\Documents\LaTex\____TEST____Frontiers_LaTeX_Templates_V2.5\Frontiers LaTeX (Science, Health and Engineering) V2.5 - with Supplementary material (V1.2)\logo1.jpg"/>
                  <pic:cNvPicPr preferRelativeResize="0"/>
                </pic:nvPicPr>
                <pic:blipFill>
                  <a:blip r:embed="rId1"/>
                  <a:srcRect/>
                  <a:stretch>
                    <a:fillRect/>
                  </a:stretch>
                </pic:blipFill>
                <pic:spPr>
                  <a:xfrm>
                    <a:off x="0" y="0"/>
                    <a:ext cx="1534909" cy="551877"/>
                  </a:xfrm>
                  <a:prstGeom prst="rect">
                    <a:avLst/>
                  </a:prstGeom>
                  <a:ln/>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3F0"/>
    <w:rsid w:val="000F538B"/>
    <w:rsid w:val="004D03F0"/>
    <w:rsid w:val="005655FF"/>
    <w:rsid w:val="00A8341F"/>
    <w:rsid w:val="00DE56DD"/>
    <w:rsid w:val="00E8378A"/>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1BA9DB"/>
  <w15:docId w15:val="{23F6E37F-7416-514D-89FF-D637C9FB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ind w:left="567" w:hanging="567"/>
      <w:outlineLvl w:val="0"/>
    </w:pPr>
    <w:rPr>
      <w:b/>
    </w:rPr>
  </w:style>
  <w:style w:type="paragraph" w:styleId="Heading2">
    <w:name w:val="heading 2"/>
    <w:basedOn w:val="Normal"/>
    <w:next w:val="Normal"/>
    <w:uiPriority w:val="9"/>
    <w:semiHidden/>
    <w:unhideWhenUsed/>
    <w:qFormat/>
    <w:pPr>
      <w:spacing w:before="240" w:after="200"/>
      <w:ind w:left="567" w:hanging="567"/>
      <w:outlineLvl w:val="1"/>
    </w:pPr>
    <w:rPr>
      <w:b/>
    </w:rPr>
  </w:style>
  <w:style w:type="paragraph" w:styleId="Heading3">
    <w:name w:val="heading 3"/>
    <w:basedOn w:val="Normal"/>
    <w:next w:val="Normal"/>
    <w:uiPriority w:val="9"/>
    <w:semiHidden/>
    <w:unhideWhenUsed/>
    <w:qFormat/>
    <w:pPr>
      <w:keepNext/>
      <w:keepLines/>
      <w:spacing w:before="40" w:after="120"/>
      <w:ind w:left="567" w:hanging="567"/>
      <w:outlineLvl w:val="2"/>
    </w:pPr>
    <w:rPr>
      <w:b/>
    </w:rPr>
  </w:style>
  <w:style w:type="paragraph" w:styleId="Heading4">
    <w:name w:val="heading 4"/>
    <w:basedOn w:val="Normal"/>
    <w:next w:val="Normal"/>
    <w:uiPriority w:val="9"/>
    <w:semiHidden/>
    <w:unhideWhenUsed/>
    <w:qFormat/>
    <w:pPr>
      <w:keepNext/>
      <w:keepLines/>
      <w:spacing w:before="40" w:after="120"/>
      <w:ind w:left="567" w:hanging="567"/>
      <w:outlineLvl w:val="3"/>
    </w:pPr>
    <w:rPr>
      <w:b/>
    </w:rPr>
  </w:style>
  <w:style w:type="paragraph" w:styleId="Heading5">
    <w:name w:val="heading 5"/>
    <w:basedOn w:val="Normal"/>
    <w:next w:val="Normal"/>
    <w:uiPriority w:val="9"/>
    <w:semiHidden/>
    <w:unhideWhenUsed/>
    <w:qFormat/>
    <w:pPr>
      <w:keepNext/>
      <w:keepLines/>
      <w:spacing w:before="40" w:after="120"/>
      <w:ind w:left="567" w:hanging="567"/>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360"/>
      <w:jc w:val="center"/>
    </w:pPr>
    <w:rPr>
      <w:b/>
      <w:sz w:val="32"/>
      <w:szCs w:val="32"/>
    </w:rPr>
  </w:style>
  <w:style w:type="paragraph" w:styleId="Subtitle">
    <w:name w:val="Subtitle"/>
    <w:basedOn w:val="Normal"/>
    <w:next w:val="Normal"/>
    <w:uiPriority w:val="11"/>
    <w:qFormat/>
    <w:pPr>
      <w:spacing w:before="240"/>
    </w:pPr>
    <w:rPr>
      <w:b/>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DE56DD"/>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2024-12-16T14:18:00Z</dcterms:created>
  <dcterms:modified xsi:type="dcterms:W3CDTF">2024-12-16T23:13:00Z</dcterms:modified>
</cp:coreProperties>
</file>