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9BA2" w14:textId="3522702C" w:rsidR="000C4D98" w:rsidRPr="00DE7E05" w:rsidRDefault="00712DB2" w:rsidP="00DE7E05">
      <w:pPr>
        <w:jc w:val="center"/>
        <w:rPr>
          <w:rFonts w:ascii="Arial" w:hAnsi="Arial" w:cs="Arial"/>
          <w:b/>
          <w:bCs/>
          <w:u w:val="single"/>
        </w:rPr>
      </w:pPr>
      <w:r w:rsidRPr="00DE7E05">
        <w:rPr>
          <w:rFonts w:ascii="Arial" w:hAnsi="Arial" w:cs="Arial"/>
          <w:b/>
          <w:bCs/>
          <w:u w:val="single"/>
        </w:rPr>
        <w:t>Supplementary Figures</w:t>
      </w:r>
      <w:r w:rsidR="002B1228" w:rsidRPr="00DE7E05">
        <w:rPr>
          <w:rFonts w:ascii="Arial" w:hAnsi="Arial" w:cs="Arial"/>
          <w:b/>
          <w:bCs/>
          <w:u w:val="single"/>
        </w:rPr>
        <w:t xml:space="preserve"> and Tables</w:t>
      </w:r>
    </w:p>
    <w:p w14:paraId="059D5148" w14:textId="77777777" w:rsidR="002B1228" w:rsidRDefault="002B1228"/>
    <w:p w14:paraId="6AB2A45A" w14:textId="3A2BA65E" w:rsidR="002B1228" w:rsidRPr="00DE7E05" w:rsidRDefault="002B1228">
      <w:pPr>
        <w:rPr>
          <w:rFonts w:ascii="Arial" w:hAnsi="Arial" w:cs="Arial"/>
          <w:sz w:val="22"/>
          <w:szCs w:val="22"/>
        </w:rPr>
      </w:pPr>
      <w:r w:rsidRPr="00DE7E05">
        <w:rPr>
          <w:rFonts w:ascii="Arial" w:hAnsi="Arial" w:cs="Arial"/>
          <w:i/>
          <w:iCs/>
          <w:sz w:val="22"/>
          <w:szCs w:val="22"/>
        </w:rPr>
        <w:t>Supplementary Table 1:</w:t>
      </w:r>
      <w:r w:rsidRPr="00DE7E05">
        <w:rPr>
          <w:rFonts w:ascii="Arial" w:hAnsi="Arial" w:cs="Arial"/>
          <w:sz w:val="22"/>
          <w:szCs w:val="22"/>
        </w:rPr>
        <w:t xml:space="preserve"> Primer sequences used for qPCR analysis</w:t>
      </w:r>
    </w:p>
    <w:p w14:paraId="6FA11416" w14:textId="77777777" w:rsidR="003D35FB" w:rsidRDefault="003D35FB"/>
    <w:tbl>
      <w:tblPr>
        <w:tblStyle w:val="PlainTable4"/>
        <w:tblpPr w:leftFromText="180" w:rightFromText="180" w:vertAnchor="text" w:horzAnchor="page" w:tblpX="1576" w:tblpY="101"/>
        <w:tblW w:w="9634" w:type="dxa"/>
        <w:tblLook w:val="04A0" w:firstRow="1" w:lastRow="0" w:firstColumn="1" w:lastColumn="0" w:noHBand="0" w:noVBand="1"/>
      </w:tblPr>
      <w:tblGrid>
        <w:gridCol w:w="1133"/>
        <w:gridCol w:w="1133"/>
        <w:gridCol w:w="3792"/>
        <w:gridCol w:w="2018"/>
        <w:gridCol w:w="1558"/>
      </w:tblGrid>
      <w:tr w:rsidR="002B1228" w:rsidRPr="007F0A6B" w14:paraId="656F245F" w14:textId="77777777" w:rsidTr="00BE3E9F">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133" w:type="dxa"/>
          </w:tcPr>
          <w:p w14:paraId="424CE086" w14:textId="77777777" w:rsidR="002B1228" w:rsidRPr="007F0A6B" w:rsidRDefault="002B1228" w:rsidP="00BE3E9F">
            <w:pPr>
              <w:rPr>
                <w:sz w:val="22"/>
                <w:szCs w:val="22"/>
              </w:rPr>
            </w:pPr>
            <w:r w:rsidRPr="007F0A6B">
              <w:rPr>
                <w:sz w:val="22"/>
                <w:szCs w:val="22"/>
              </w:rPr>
              <w:t>Gene</w:t>
            </w:r>
          </w:p>
        </w:tc>
        <w:tc>
          <w:tcPr>
            <w:tcW w:w="1133" w:type="dxa"/>
          </w:tcPr>
          <w:p w14:paraId="1A4E3F50" w14:textId="77777777" w:rsidR="002B1228" w:rsidRPr="007F0A6B" w:rsidRDefault="002B1228" w:rsidP="00BE3E9F">
            <w:pPr>
              <w:cnfStyle w:val="100000000000" w:firstRow="1" w:lastRow="0" w:firstColumn="0" w:lastColumn="0" w:oddVBand="0" w:evenVBand="0" w:oddHBand="0" w:evenHBand="0" w:firstRowFirstColumn="0" w:firstRowLastColumn="0" w:lastRowFirstColumn="0" w:lastRowLastColumn="0"/>
              <w:rPr>
                <w:sz w:val="22"/>
                <w:szCs w:val="22"/>
              </w:rPr>
            </w:pPr>
          </w:p>
        </w:tc>
        <w:tc>
          <w:tcPr>
            <w:tcW w:w="3792" w:type="dxa"/>
          </w:tcPr>
          <w:p w14:paraId="46DF903E" w14:textId="77777777" w:rsidR="002B1228" w:rsidRPr="007F0A6B" w:rsidRDefault="002B1228" w:rsidP="00BE3E9F">
            <w:pPr>
              <w:cnfStyle w:val="100000000000" w:firstRow="1" w:lastRow="0" w:firstColumn="0" w:lastColumn="0" w:oddVBand="0" w:evenVBand="0" w:oddHBand="0" w:evenHBand="0" w:firstRowFirstColumn="0" w:firstRowLastColumn="0" w:lastRowFirstColumn="0" w:lastRowLastColumn="0"/>
              <w:rPr>
                <w:sz w:val="22"/>
                <w:szCs w:val="22"/>
              </w:rPr>
            </w:pPr>
            <w:r w:rsidRPr="007F0A6B">
              <w:rPr>
                <w:sz w:val="22"/>
                <w:szCs w:val="22"/>
              </w:rPr>
              <w:t>Primer sequence</w:t>
            </w:r>
          </w:p>
        </w:tc>
        <w:tc>
          <w:tcPr>
            <w:tcW w:w="2018" w:type="dxa"/>
          </w:tcPr>
          <w:p w14:paraId="09AD6C80" w14:textId="77777777" w:rsidR="002B1228" w:rsidRPr="007F0A6B" w:rsidRDefault="002B1228" w:rsidP="00BE3E9F">
            <w:pPr>
              <w:cnfStyle w:val="100000000000" w:firstRow="1" w:lastRow="0" w:firstColumn="0" w:lastColumn="0" w:oddVBand="0" w:evenVBand="0" w:oddHBand="0" w:evenHBand="0" w:firstRowFirstColumn="0" w:firstRowLastColumn="0" w:lastRowFirstColumn="0" w:lastRowLastColumn="0"/>
              <w:rPr>
                <w:sz w:val="22"/>
                <w:szCs w:val="22"/>
              </w:rPr>
            </w:pPr>
            <w:r w:rsidRPr="007F0A6B">
              <w:rPr>
                <w:sz w:val="22"/>
                <w:szCs w:val="22"/>
              </w:rPr>
              <w:t>Accession number</w:t>
            </w:r>
          </w:p>
        </w:tc>
        <w:tc>
          <w:tcPr>
            <w:tcW w:w="1558" w:type="dxa"/>
          </w:tcPr>
          <w:p w14:paraId="5D281309" w14:textId="77777777" w:rsidR="002B1228" w:rsidRPr="007F0A6B" w:rsidRDefault="002B1228" w:rsidP="00BE3E9F">
            <w:pPr>
              <w:cnfStyle w:val="100000000000" w:firstRow="1" w:lastRow="0" w:firstColumn="0" w:lastColumn="0" w:oddVBand="0" w:evenVBand="0" w:oddHBand="0" w:evenHBand="0" w:firstRowFirstColumn="0" w:firstRowLastColumn="0" w:lastRowFirstColumn="0" w:lastRowLastColumn="0"/>
              <w:rPr>
                <w:sz w:val="22"/>
                <w:szCs w:val="22"/>
              </w:rPr>
            </w:pPr>
            <w:r w:rsidRPr="007F0A6B">
              <w:rPr>
                <w:sz w:val="22"/>
                <w:szCs w:val="22"/>
              </w:rPr>
              <w:t>Product size (base pairs)</w:t>
            </w:r>
          </w:p>
        </w:tc>
      </w:tr>
      <w:tr w:rsidR="002B1228" w:rsidRPr="007F0A6B" w14:paraId="09315027" w14:textId="77777777" w:rsidTr="00BE3E9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33" w:type="dxa"/>
          </w:tcPr>
          <w:p w14:paraId="73D34420" w14:textId="77777777" w:rsidR="002B1228" w:rsidRPr="007F0A6B" w:rsidRDefault="002B1228" w:rsidP="00BE3E9F">
            <w:pPr>
              <w:rPr>
                <w:sz w:val="22"/>
                <w:szCs w:val="22"/>
              </w:rPr>
            </w:pPr>
            <w:r w:rsidRPr="007F0A6B">
              <w:rPr>
                <w:sz w:val="22"/>
                <w:szCs w:val="22"/>
              </w:rPr>
              <w:t>TBP</w:t>
            </w:r>
          </w:p>
        </w:tc>
        <w:tc>
          <w:tcPr>
            <w:tcW w:w="1133" w:type="dxa"/>
          </w:tcPr>
          <w:p w14:paraId="0AE963E2"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Forward</w:t>
            </w:r>
          </w:p>
          <w:p w14:paraId="36A98A14"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Reverse</w:t>
            </w:r>
          </w:p>
        </w:tc>
        <w:tc>
          <w:tcPr>
            <w:tcW w:w="3792" w:type="dxa"/>
          </w:tcPr>
          <w:p w14:paraId="2122E4DA"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5’-GCCAAGAGTGAAGAACAG</w:t>
            </w:r>
          </w:p>
          <w:p w14:paraId="52B252E4"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5’-GAAGTCCAAGAACTTAGCTG</w:t>
            </w:r>
          </w:p>
        </w:tc>
        <w:tc>
          <w:tcPr>
            <w:tcW w:w="2018" w:type="dxa"/>
          </w:tcPr>
          <w:p w14:paraId="1E22CA8C" w14:textId="77777777" w:rsidR="002B1228" w:rsidRPr="007F0A6B" w:rsidRDefault="002B1228" w:rsidP="00BE3E9F">
            <w:pPr>
              <w:pStyle w:val="aux"/>
              <w:cnfStyle w:val="000000100000" w:firstRow="0" w:lastRow="0" w:firstColumn="0" w:lastColumn="0" w:oddVBand="0" w:evenVBand="0" w:oddHBand="1" w:evenHBand="0" w:firstRowFirstColumn="0" w:firstRowLastColumn="0" w:lastRowFirstColumn="0" w:lastRowLastColumn="0"/>
              <w:rPr>
                <w:rFonts w:ascii="Arial" w:hAnsi="Arial" w:cs="Arial"/>
                <w:color w:val="444444"/>
                <w:sz w:val="22"/>
                <w:szCs w:val="22"/>
              </w:rPr>
            </w:pPr>
            <w:r w:rsidRPr="007F0A6B">
              <w:rPr>
                <w:rFonts w:ascii="Arial" w:hAnsi="Arial" w:cs="Arial"/>
                <w:sz w:val="22"/>
                <w:szCs w:val="22"/>
              </w:rPr>
              <w:t>NM_001172085.2</w:t>
            </w:r>
          </w:p>
        </w:tc>
        <w:tc>
          <w:tcPr>
            <w:tcW w:w="1558" w:type="dxa"/>
          </w:tcPr>
          <w:p w14:paraId="37C12EE8"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90</w:t>
            </w:r>
          </w:p>
        </w:tc>
      </w:tr>
      <w:tr w:rsidR="002B1228" w:rsidRPr="007F0A6B" w14:paraId="3E1A6EE3" w14:textId="77777777" w:rsidTr="00BE3E9F">
        <w:trPr>
          <w:trHeight w:val="482"/>
        </w:trPr>
        <w:tc>
          <w:tcPr>
            <w:cnfStyle w:val="001000000000" w:firstRow="0" w:lastRow="0" w:firstColumn="1" w:lastColumn="0" w:oddVBand="0" w:evenVBand="0" w:oddHBand="0" w:evenHBand="0" w:firstRowFirstColumn="0" w:firstRowLastColumn="0" w:lastRowFirstColumn="0" w:lastRowLastColumn="0"/>
            <w:tcW w:w="1133" w:type="dxa"/>
          </w:tcPr>
          <w:p w14:paraId="43DCA1CA" w14:textId="77777777" w:rsidR="002B1228" w:rsidRPr="007F0A6B" w:rsidRDefault="002B1228" w:rsidP="00BE3E9F">
            <w:pPr>
              <w:rPr>
                <w:sz w:val="22"/>
                <w:szCs w:val="22"/>
              </w:rPr>
            </w:pPr>
            <w:r w:rsidRPr="007F0A6B">
              <w:rPr>
                <w:sz w:val="22"/>
                <w:szCs w:val="22"/>
              </w:rPr>
              <w:t>RPL13A</w:t>
            </w:r>
          </w:p>
        </w:tc>
        <w:tc>
          <w:tcPr>
            <w:tcW w:w="1133" w:type="dxa"/>
          </w:tcPr>
          <w:p w14:paraId="02379003"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Forward</w:t>
            </w:r>
          </w:p>
          <w:p w14:paraId="289C7D76"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Reverse</w:t>
            </w:r>
          </w:p>
        </w:tc>
        <w:tc>
          <w:tcPr>
            <w:tcW w:w="3792" w:type="dxa"/>
          </w:tcPr>
          <w:p w14:paraId="1685DE74"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5’-GTCTGAAGCCTACAAGAAAG</w:t>
            </w:r>
          </w:p>
          <w:p w14:paraId="28B3D6AB"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5’-TGTCAATTTTCTTCTCCACG</w:t>
            </w:r>
          </w:p>
        </w:tc>
        <w:tc>
          <w:tcPr>
            <w:tcW w:w="2018" w:type="dxa"/>
          </w:tcPr>
          <w:p w14:paraId="163F1F63"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NM_012423.4</w:t>
            </w:r>
          </w:p>
        </w:tc>
        <w:tc>
          <w:tcPr>
            <w:tcW w:w="1558" w:type="dxa"/>
          </w:tcPr>
          <w:p w14:paraId="0EA3D476"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189</w:t>
            </w:r>
          </w:p>
        </w:tc>
      </w:tr>
      <w:tr w:rsidR="002B1228" w:rsidRPr="007F0A6B" w14:paraId="58F5B6B8" w14:textId="77777777" w:rsidTr="00BE3E9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33" w:type="dxa"/>
          </w:tcPr>
          <w:p w14:paraId="171CC0E6" w14:textId="29B22461" w:rsidR="002B1228" w:rsidRPr="007F0A6B" w:rsidRDefault="002B1228" w:rsidP="00BE3E9F">
            <w:pPr>
              <w:rPr>
                <w:sz w:val="22"/>
                <w:szCs w:val="22"/>
              </w:rPr>
            </w:pPr>
            <w:r w:rsidRPr="007F0A6B">
              <w:rPr>
                <w:sz w:val="22"/>
                <w:szCs w:val="22"/>
              </w:rPr>
              <w:t>ACAN</w:t>
            </w:r>
          </w:p>
        </w:tc>
        <w:tc>
          <w:tcPr>
            <w:tcW w:w="1133" w:type="dxa"/>
          </w:tcPr>
          <w:p w14:paraId="45210781"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Forward</w:t>
            </w:r>
          </w:p>
          <w:p w14:paraId="1F29B270"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Reverse</w:t>
            </w:r>
          </w:p>
        </w:tc>
        <w:tc>
          <w:tcPr>
            <w:tcW w:w="3792" w:type="dxa"/>
          </w:tcPr>
          <w:p w14:paraId="1DAF2C9C"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5’-CACCCCATGCAATTTGAG</w:t>
            </w:r>
          </w:p>
          <w:p w14:paraId="644F1FCE"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5’-AGATCATCACCACACAGTC</w:t>
            </w:r>
          </w:p>
        </w:tc>
        <w:tc>
          <w:tcPr>
            <w:tcW w:w="2018" w:type="dxa"/>
          </w:tcPr>
          <w:p w14:paraId="4A841872"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NM_001135.4</w:t>
            </w:r>
          </w:p>
        </w:tc>
        <w:tc>
          <w:tcPr>
            <w:tcW w:w="1558" w:type="dxa"/>
          </w:tcPr>
          <w:p w14:paraId="48AABBDC"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82</w:t>
            </w:r>
          </w:p>
        </w:tc>
      </w:tr>
      <w:tr w:rsidR="002B1228" w:rsidRPr="007F0A6B" w14:paraId="1B683E28" w14:textId="77777777" w:rsidTr="00BE3E9F">
        <w:trPr>
          <w:trHeight w:val="482"/>
        </w:trPr>
        <w:tc>
          <w:tcPr>
            <w:cnfStyle w:val="001000000000" w:firstRow="0" w:lastRow="0" w:firstColumn="1" w:lastColumn="0" w:oddVBand="0" w:evenVBand="0" w:oddHBand="0" w:evenHBand="0" w:firstRowFirstColumn="0" w:firstRowLastColumn="0" w:lastRowFirstColumn="0" w:lastRowLastColumn="0"/>
            <w:tcW w:w="1133" w:type="dxa"/>
          </w:tcPr>
          <w:p w14:paraId="656F9BD7" w14:textId="77777777" w:rsidR="002B1228" w:rsidRPr="007F0A6B" w:rsidRDefault="002B1228" w:rsidP="00BE3E9F">
            <w:pPr>
              <w:rPr>
                <w:sz w:val="22"/>
                <w:szCs w:val="22"/>
              </w:rPr>
            </w:pPr>
            <w:r w:rsidRPr="007F0A6B">
              <w:rPr>
                <w:sz w:val="22"/>
                <w:szCs w:val="22"/>
              </w:rPr>
              <w:t>COL2A1</w:t>
            </w:r>
          </w:p>
        </w:tc>
        <w:tc>
          <w:tcPr>
            <w:tcW w:w="1133" w:type="dxa"/>
          </w:tcPr>
          <w:p w14:paraId="05BA6FA2"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Forward</w:t>
            </w:r>
          </w:p>
          <w:p w14:paraId="5C595C3D"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Reverse</w:t>
            </w:r>
          </w:p>
        </w:tc>
        <w:tc>
          <w:tcPr>
            <w:tcW w:w="3792" w:type="dxa"/>
          </w:tcPr>
          <w:p w14:paraId="6B346773"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5’-GAAGAGTGGAGACTACTGG</w:t>
            </w:r>
          </w:p>
          <w:p w14:paraId="54719811"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5’-CAGATGTGTTTCTTCTCCTT</w:t>
            </w:r>
          </w:p>
        </w:tc>
        <w:tc>
          <w:tcPr>
            <w:tcW w:w="2018" w:type="dxa"/>
          </w:tcPr>
          <w:p w14:paraId="24E3B698"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NM_001844.5</w:t>
            </w:r>
          </w:p>
        </w:tc>
        <w:tc>
          <w:tcPr>
            <w:tcW w:w="1558" w:type="dxa"/>
          </w:tcPr>
          <w:p w14:paraId="4EE0A6B5" w14:textId="77777777" w:rsidR="002B1228" w:rsidRPr="007F0A6B" w:rsidRDefault="002B1228" w:rsidP="00BE3E9F">
            <w:pPr>
              <w:cnfStyle w:val="000000000000" w:firstRow="0" w:lastRow="0" w:firstColumn="0" w:lastColumn="0" w:oddVBand="0" w:evenVBand="0" w:oddHBand="0" w:evenHBand="0" w:firstRowFirstColumn="0" w:firstRowLastColumn="0" w:lastRowFirstColumn="0" w:lastRowLastColumn="0"/>
              <w:rPr>
                <w:sz w:val="22"/>
                <w:szCs w:val="22"/>
              </w:rPr>
            </w:pPr>
            <w:r w:rsidRPr="007F0A6B">
              <w:rPr>
                <w:sz w:val="22"/>
                <w:szCs w:val="22"/>
              </w:rPr>
              <w:t>165</w:t>
            </w:r>
          </w:p>
        </w:tc>
      </w:tr>
      <w:tr w:rsidR="002B1228" w:rsidRPr="007F0A6B" w14:paraId="026B7F1B" w14:textId="77777777" w:rsidTr="00BE3E9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33" w:type="dxa"/>
          </w:tcPr>
          <w:p w14:paraId="09253430" w14:textId="77777777" w:rsidR="002B1228" w:rsidRPr="007F0A6B" w:rsidRDefault="002B1228" w:rsidP="00BE3E9F">
            <w:pPr>
              <w:rPr>
                <w:sz w:val="22"/>
                <w:szCs w:val="22"/>
              </w:rPr>
            </w:pPr>
            <w:r w:rsidRPr="007F0A6B">
              <w:rPr>
                <w:sz w:val="22"/>
                <w:szCs w:val="22"/>
              </w:rPr>
              <w:t>SOX9</w:t>
            </w:r>
          </w:p>
        </w:tc>
        <w:tc>
          <w:tcPr>
            <w:tcW w:w="1133" w:type="dxa"/>
          </w:tcPr>
          <w:p w14:paraId="734FDCFE"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Forward</w:t>
            </w:r>
          </w:p>
          <w:p w14:paraId="59DDE805"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Reverse</w:t>
            </w:r>
          </w:p>
        </w:tc>
        <w:tc>
          <w:tcPr>
            <w:tcW w:w="3792" w:type="dxa"/>
          </w:tcPr>
          <w:p w14:paraId="311AE973"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5’-CTCTGGAGACTTCTGAACG</w:t>
            </w:r>
          </w:p>
          <w:p w14:paraId="707AAE40"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5’-AGATGTGCGTCTGCTC</w:t>
            </w:r>
          </w:p>
        </w:tc>
        <w:tc>
          <w:tcPr>
            <w:tcW w:w="2018" w:type="dxa"/>
          </w:tcPr>
          <w:p w14:paraId="2D7BC669"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NM_000346.4</w:t>
            </w:r>
          </w:p>
        </w:tc>
        <w:tc>
          <w:tcPr>
            <w:tcW w:w="1558" w:type="dxa"/>
          </w:tcPr>
          <w:p w14:paraId="0077790C" w14:textId="77777777" w:rsidR="002B1228" w:rsidRPr="007F0A6B" w:rsidRDefault="002B1228" w:rsidP="00BE3E9F">
            <w:pPr>
              <w:cnfStyle w:val="000000100000" w:firstRow="0" w:lastRow="0" w:firstColumn="0" w:lastColumn="0" w:oddVBand="0" w:evenVBand="0" w:oddHBand="1" w:evenHBand="0" w:firstRowFirstColumn="0" w:firstRowLastColumn="0" w:lastRowFirstColumn="0" w:lastRowLastColumn="0"/>
              <w:rPr>
                <w:sz w:val="22"/>
                <w:szCs w:val="22"/>
              </w:rPr>
            </w:pPr>
            <w:r w:rsidRPr="007F0A6B">
              <w:rPr>
                <w:sz w:val="22"/>
                <w:szCs w:val="22"/>
              </w:rPr>
              <w:t>172</w:t>
            </w:r>
          </w:p>
        </w:tc>
      </w:tr>
    </w:tbl>
    <w:p w14:paraId="54740EBA" w14:textId="77777777" w:rsidR="003D35FB" w:rsidRDefault="003D35FB"/>
    <w:p w14:paraId="32CEC23A" w14:textId="77777777" w:rsidR="003D35FB" w:rsidRDefault="003D35FB"/>
    <w:p w14:paraId="6C7F4B45" w14:textId="77777777" w:rsidR="003D35FB" w:rsidRDefault="003D35FB"/>
    <w:p w14:paraId="4B873A59" w14:textId="16951CC5" w:rsidR="003D35FB" w:rsidRDefault="003D35FB" w:rsidP="003D35FB">
      <w:pPr>
        <w:pStyle w:val="Caption"/>
      </w:pPr>
      <w:r w:rsidRPr="002829C4">
        <w:rPr>
          <w:noProof/>
        </w:rPr>
        <w:lastRenderedPageBreak/>
        <w:drawing>
          <wp:anchor distT="0" distB="0" distL="114300" distR="114300" simplePos="0" relativeHeight="251659264" behindDoc="0" locked="0" layoutInCell="1" allowOverlap="1" wp14:anchorId="2F0CBB38" wp14:editId="1DAE6744">
            <wp:simplePos x="0" y="0"/>
            <wp:positionH relativeFrom="column">
              <wp:posOffset>1501140</wp:posOffset>
            </wp:positionH>
            <wp:positionV relativeFrom="paragraph">
              <wp:posOffset>0</wp:posOffset>
            </wp:positionV>
            <wp:extent cx="2649220" cy="7577455"/>
            <wp:effectExtent l="0" t="0" r="5080" b="4445"/>
            <wp:wrapTopAndBottom/>
            <wp:docPr id="64" name="Picture 6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Chart, scatter chart&#10;&#10;Description automatically generated"/>
                    <pic:cNvPicPr/>
                  </pic:nvPicPr>
                  <pic:blipFill>
                    <a:blip r:embed="rId5" cstate="screen">
                      <a:extLst>
                        <a:ext uri="{28A0092B-C50C-407E-A947-70E740481C1C}">
                          <a14:useLocalDpi xmlns:a14="http://schemas.microsoft.com/office/drawing/2010/main"/>
                        </a:ext>
                      </a:extLst>
                    </a:blip>
                    <a:stretch>
                      <a:fillRect/>
                    </a:stretch>
                  </pic:blipFill>
                  <pic:spPr>
                    <a:xfrm>
                      <a:off x="0" y="0"/>
                      <a:ext cx="2649220" cy="7577455"/>
                    </a:xfrm>
                    <a:prstGeom prst="rect">
                      <a:avLst/>
                    </a:prstGeom>
                  </pic:spPr>
                </pic:pic>
              </a:graphicData>
            </a:graphic>
            <wp14:sizeRelH relativeFrom="margin">
              <wp14:pctWidth>0</wp14:pctWidth>
            </wp14:sizeRelH>
            <wp14:sizeRelV relativeFrom="margin">
              <wp14:pctHeight>0</wp14:pctHeight>
            </wp14:sizeRelV>
          </wp:anchor>
        </w:drawing>
      </w:r>
      <w:r w:rsidR="00712DB2">
        <w:rPr>
          <w:noProof/>
        </w:rPr>
        <w:t>Supplementary Figure</w:t>
      </w:r>
      <w:r>
        <w:t xml:space="preserve"> </w:t>
      </w:r>
      <w:r w:rsidR="007B4087">
        <w:t>1</w:t>
      </w:r>
      <w:r>
        <w:t xml:space="preserve">: </w:t>
      </w:r>
      <w:r w:rsidRPr="00DE7E05">
        <w:rPr>
          <w:i w:val="0"/>
          <w:iCs w:val="0"/>
        </w:rPr>
        <w:t>Flow cytometry scattergrams plotted using forward (FSC-H) and side scatter (SSC-H) for identifying and gating cell populations. CDC populations (A), NFAC populations (B) and FAC populations (C) were each gated for the most homogeneous, viable cell population as drawn. The 100,000 cells gated in each sample were used in subsequent analysis for cell surface markers. Representative images are shown from a single biological sample for illustrative purposes.</w:t>
      </w:r>
    </w:p>
    <w:p w14:paraId="45B155C8" w14:textId="77777777" w:rsidR="003D35FB" w:rsidRDefault="003D35FB" w:rsidP="003D35FB">
      <w:pPr>
        <w:rPr>
          <w:lang w:eastAsia="en-GB"/>
        </w:rPr>
      </w:pPr>
    </w:p>
    <w:p w14:paraId="6491B867" w14:textId="4CF511AC" w:rsidR="003D35FB" w:rsidRPr="003D35FB" w:rsidRDefault="003D35FB" w:rsidP="003D35FB">
      <w:pPr>
        <w:rPr>
          <w:lang w:eastAsia="en-GB"/>
        </w:rPr>
      </w:pPr>
    </w:p>
    <w:p w14:paraId="07A49410" w14:textId="0EC8EBE4" w:rsidR="003D35FB" w:rsidRDefault="007B4087">
      <w:r w:rsidRPr="007B4087">
        <w:drawing>
          <wp:inline distT="0" distB="0" distL="0" distR="0" wp14:anchorId="4D0E4A7E" wp14:editId="67E1FDD2">
            <wp:extent cx="5727700" cy="4074795"/>
            <wp:effectExtent l="0" t="0" r="0" b="1905"/>
            <wp:docPr id="1960917262"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17262" name="Picture 1" descr="A graph of different colored lines&#10;&#10;Description automatically generated"/>
                    <pic:cNvPicPr/>
                  </pic:nvPicPr>
                  <pic:blipFill>
                    <a:blip r:embed="rId6"/>
                    <a:stretch>
                      <a:fillRect/>
                    </a:stretch>
                  </pic:blipFill>
                  <pic:spPr>
                    <a:xfrm>
                      <a:off x="0" y="0"/>
                      <a:ext cx="5727700" cy="4074795"/>
                    </a:xfrm>
                    <a:prstGeom prst="rect">
                      <a:avLst/>
                    </a:prstGeom>
                  </pic:spPr>
                </pic:pic>
              </a:graphicData>
            </a:graphic>
          </wp:inline>
        </w:drawing>
      </w:r>
    </w:p>
    <w:p w14:paraId="390C54B7" w14:textId="77777777" w:rsidR="00296884" w:rsidRPr="007B4087" w:rsidRDefault="00296884" w:rsidP="007B4087">
      <w:pPr>
        <w:jc w:val="both"/>
        <w:rPr>
          <w:rFonts w:ascii="Arial" w:hAnsi="Arial" w:cs="Arial"/>
          <w:sz w:val="22"/>
          <w:szCs w:val="22"/>
        </w:rPr>
      </w:pPr>
    </w:p>
    <w:p w14:paraId="104DBE06" w14:textId="08CC357F" w:rsidR="002316E2" w:rsidRPr="007B4087" w:rsidRDefault="00712DB2" w:rsidP="007B4087">
      <w:pPr>
        <w:jc w:val="both"/>
        <w:rPr>
          <w:rFonts w:ascii="Arial" w:hAnsi="Arial" w:cs="Arial"/>
          <w:i/>
          <w:iCs/>
          <w:sz w:val="22"/>
          <w:szCs w:val="22"/>
        </w:rPr>
      </w:pPr>
      <w:r w:rsidRPr="007B4087">
        <w:rPr>
          <w:rFonts w:ascii="Arial" w:hAnsi="Arial" w:cs="Arial"/>
          <w:i/>
          <w:iCs/>
          <w:sz w:val="22"/>
          <w:szCs w:val="22"/>
        </w:rPr>
        <w:t>Supplementary Figure</w:t>
      </w:r>
      <w:r w:rsidR="00296884" w:rsidRPr="007B4087">
        <w:rPr>
          <w:rFonts w:ascii="Arial" w:hAnsi="Arial" w:cs="Arial"/>
          <w:i/>
          <w:iCs/>
          <w:sz w:val="22"/>
          <w:szCs w:val="22"/>
        </w:rPr>
        <w:t xml:space="preserve"> </w:t>
      </w:r>
      <w:r w:rsidR="002316E2" w:rsidRPr="007B4087">
        <w:rPr>
          <w:rFonts w:ascii="Arial" w:hAnsi="Arial" w:cs="Arial"/>
          <w:i/>
          <w:iCs/>
          <w:sz w:val="22"/>
          <w:szCs w:val="22"/>
        </w:rPr>
        <w:t>2</w:t>
      </w:r>
      <w:r w:rsidR="007B4087">
        <w:rPr>
          <w:rFonts w:ascii="Arial" w:hAnsi="Arial" w:cs="Arial"/>
          <w:i/>
          <w:iCs/>
          <w:sz w:val="22"/>
          <w:szCs w:val="22"/>
        </w:rPr>
        <w:t>:</w:t>
      </w:r>
      <w:r w:rsidR="007B4087" w:rsidRPr="007B4087">
        <w:rPr>
          <w:rFonts w:ascii="Arial" w:hAnsi="Arial" w:cs="Arial"/>
          <w:sz w:val="22"/>
          <w:szCs w:val="22"/>
        </w:rPr>
        <w:t xml:space="preserve"> </w:t>
      </w:r>
      <w:proofErr w:type="spellStart"/>
      <w:r w:rsidR="007B4087" w:rsidRPr="007B4087">
        <w:rPr>
          <w:rFonts w:ascii="Arial" w:hAnsi="Arial" w:cs="Arial"/>
          <w:sz w:val="22"/>
          <w:szCs w:val="22"/>
        </w:rPr>
        <w:t>Signal:Noise</w:t>
      </w:r>
      <w:proofErr w:type="spellEnd"/>
      <w:r w:rsidR="007B4087" w:rsidRPr="007B4087">
        <w:rPr>
          <w:rFonts w:ascii="Arial" w:hAnsi="Arial" w:cs="Arial"/>
          <w:sz w:val="22"/>
          <w:szCs w:val="22"/>
        </w:rPr>
        <w:t xml:space="preserve"> ratios derived from median fluorescence index (MFI) of </w:t>
      </w:r>
      <w:r w:rsidR="007B4087" w:rsidRPr="007B4087">
        <w:rPr>
          <w:rFonts w:ascii="Arial" w:hAnsi="Arial" w:cs="Arial"/>
          <w:noProof/>
          <w:sz w:val="22"/>
          <w:szCs w:val="22"/>
        </w:rPr>
        <w:t xml:space="preserve">stained populations corrected for the MFI of the unstained population. A S:N ratio of 1 is therefore equivalent to no fluoresence. Each cell surface marker is examined in the full cell population immediately post-digest at P0 (blue, CDC only) </w:t>
      </w:r>
      <w:r w:rsidR="007B4087" w:rsidRPr="007B4087">
        <w:rPr>
          <w:rFonts w:ascii="Arial" w:hAnsi="Arial" w:cs="Arial"/>
          <w:sz w:val="22"/>
          <w:szCs w:val="22"/>
        </w:rPr>
        <w:t>and then in the three populations at P1 (CDC = red, NFAC=green, FAC=purple)</w:t>
      </w:r>
      <w:r w:rsidR="007B4087" w:rsidRPr="007B4087">
        <w:rPr>
          <w:rFonts w:ascii="Arial" w:hAnsi="Arial" w:cs="Arial"/>
          <w:noProof/>
          <w:sz w:val="22"/>
          <w:szCs w:val="22"/>
        </w:rPr>
        <w:t>. The mean S:N ratio of three biological replicates are presented with SD error bars. *=p&lt;0.05; **=p&lt;0.01; ***=p&lt;0.001; ****=p&lt;0.0001.</w:t>
      </w:r>
    </w:p>
    <w:p w14:paraId="6B80DAA5" w14:textId="77777777" w:rsidR="002316E2" w:rsidRDefault="002316E2" w:rsidP="00296884">
      <w:pPr>
        <w:rPr>
          <w:rFonts w:ascii="Arial" w:hAnsi="Arial" w:cs="Arial"/>
          <w:i/>
          <w:iCs/>
          <w:sz w:val="22"/>
          <w:szCs w:val="22"/>
        </w:rPr>
      </w:pPr>
    </w:p>
    <w:p w14:paraId="4CDB7B2C" w14:textId="77777777" w:rsidR="002316E2" w:rsidRPr="002F13F9" w:rsidRDefault="002316E2" w:rsidP="002316E2"/>
    <w:p w14:paraId="1B111E81" w14:textId="566DA9CB" w:rsidR="002316E2" w:rsidRPr="002F13F9" w:rsidRDefault="002316E2" w:rsidP="002316E2"/>
    <w:p w14:paraId="08C43BCA" w14:textId="77777777" w:rsidR="007B4087" w:rsidRDefault="007B4087" w:rsidP="007B4087">
      <w:pPr>
        <w:rPr>
          <w:lang w:eastAsia="en-GB"/>
        </w:rPr>
      </w:pPr>
    </w:p>
    <w:p w14:paraId="41D940A6" w14:textId="77777777" w:rsidR="007B4087" w:rsidRDefault="007B4087" w:rsidP="007B4087">
      <w:r>
        <w:rPr>
          <w:noProof/>
        </w:rPr>
        <w:drawing>
          <wp:anchor distT="0" distB="0" distL="114300" distR="114300" simplePos="0" relativeHeight="251661312" behindDoc="0" locked="0" layoutInCell="1" allowOverlap="1" wp14:anchorId="5312B254" wp14:editId="0F5014E3">
            <wp:simplePos x="0" y="0"/>
            <wp:positionH relativeFrom="column">
              <wp:posOffset>-282575</wp:posOffset>
            </wp:positionH>
            <wp:positionV relativeFrom="paragraph">
              <wp:posOffset>268605</wp:posOffset>
            </wp:positionV>
            <wp:extent cx="6757035" cy="1469390"/>
            <wp:effectExtent l="0" t="0" r="0" b="3810"/>
            <wp:wrapSquare wrapText="bothSides"/>
            <wp:docPr id="724630610" name="Picture 1" descr="A close-up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30610" name="Picture 1" descr="A close-up of a microsco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7035" cy="1469390"/>
                    </a:xfrm>
                    <a:prstGeom prst="rect">
                      <a:avLst/>
                    </a:prstGeom>
                  </pic:spPr>
                </pic:pic>
              </a:graphicData>
            </a:graphic>
            <wp14:sizeRelH relativeFrom="page">
              <wp14:pctWidth>0</wp14:pctWidth>
            </wp14:sizeRelH>
            <wp14:sizeRelV relativeFrom="page">
              <wp14:pctHeight>0</wp14:pctHeight>
            </wp14:sizeRelV>
          </wp:anchor>
        </w:drawing>
      </w:r>
    </w:p>
    <w:p w14:paraId="4691F3B3" w14:textId="77777777" w:rsidR="007B4087" w:rsidRDefault="007B4087" w:rsidP="007B4087"/>
    <w:p w14:paraId="683EFA3C" w14:textId="7478AF33" w:rsidR="007B4087" w:rsidRPr="007B4087" w:rsidRDefault="007B4087" w:rsidP="007B4087">
      <w:pPr>
        <w:jc w:val="both"/>
        <w:rPr>
          <w:rFonts w:ascii="Arial" w:hAnsi="Arial" w:cs="Arial"/>
          <w:sz w:val="22"/>
          <w:szCs w:val="22"/>
        </w:rPr>
      </w:pPr>
      <w:r w:rsidRPr="007B4087">
        <w:rPr>
          <w:rFonts w:ascii="Arial" w:hAnsi="Arial" w:cs="Arial"/>
          <w:i/>
          <w:iCs/>
          <w:sz w:val="22"/>
          <w:szCs w:val="22"/>
        </w:rPr>
        <w:t>Supplementary Figure 3</w:t>
      </w:r>
      <w:r w:rsidRPr="007B4087">
        <w:rPr>
          <w:rFonts w:ascii="Arial" w:hAnsi="Arial" w:cs="Arial"/>
          <w:i/>
          <w:iCs/>
          <w:sz w:val="22"/>
          <w:szCs w:val="22"/>
        </w:rPr>
        <w:t xml:space="preserve">: </w:t>
      </w:r>
      <w:r w:rsidRPr="007B4087">
        <w:rPr>
          <w:rFonts w:ascii="Arial" w:hAnsi="Arial" w:cs="Arial"/>
          <w:sz w:val="22"/>
          <w:szCs w:val="22"/>
        </w:rPr>
        <w:t>Chondrocyte populations stained with Alcian Blue stain at Passage 1. A) CDCs B) NFACs C) FACs are demonstrated at 40x magnification with 10x magnification in the bottom right corner.</w:t>
      </w:r>
    </w:p>
    <w:p w14:paraId="3DE53731" w14:textId="77777777" w:rsidR="002316E2" w:rsidRDefault="002316E2" w:rsidP="00296884">
      <w:pPr>
        <w:rPr>
          <w:lang w:eastAsia="en-GB"/>
        </w:rPr>
      </w:pPr>
    </w:p>
    <w:p w14:paraId="3AC84FFE" w14:textId="77777777" w:rsidR="00DE7E05" w:rsidRPr="002316E2" w:rsidRDefault="00DE7E05" w:rsidP="00296884">
      <w:pPr>
        <w:rPr>
          <w:rFonts w:ascii="Arial" w:hAnsi="Arial" w:cs="Arial"/>
          <w:i/>
          <w:iCs/>
          <w:sz w:val="22"/>
          <w:szCs w:val="22"/>
        </w:rPr>
      </w:pPr>
    </w:p>
    <w:sectPr w:rsidR="00DE7E05" w:rsidRPr="002316E2" w:rsidSect="003C30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76022"/>
    <w:multiLevelType w:val="multilevel"/>
    <w:tmpl w:val="7D98BEB4"/>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4796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FB"/>
    <w:rsid w:val="000C4D98"/>
    <w:rsid w:val="00132D49"/>
    <w:rsid w:val="002316E2"/>
    <w:rsid w:val="00296884"/>
    <w:rsid w:val="002B1228"/>
    <w:rsid w:val="003C30A3"/>
    <w:rsid w:val="003D35FB"/>
    <w:rsid w:val="003E0517"/>
    <w:rsid w:val="004E2D16"/>
    <w:rsid w:val="00506D05"/>
    <w:rsid w:val="00595B50"/>
    <w:rsid w:val="00712DB2"/>
    <w:rsid w:val="007A3EE1"/>
    <w:rsid w:val="007B4087"/>
    <w:rsid w:val="00801383"/>
    <w:rsid w:val="00917ED0"/>
    <w:rsid w:val="00A12911"/>
    <w:rsid w:val="00DE7E05"/>
    <w:rsid w:val="00F21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195D"/>
  <w15:chartTrackingRefBased/>
  <w15:docId w15:val="{E33EC22D-53BB-B846-AFC1-69C0D1B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D35FB"/>
    <w:pPr>
      <w:numPr>
        <w:numId w:val="1"/>
      </w:numPr>
      <w:spacing w:after="160" w:line="360" w:lineRule="auto"/>
      <w:jc w:val="both"/>
      <w:outlineLvl w:val="1"/>
    </w:pPr>
    <w:rPr>
      <w:rFonts w:ascii="Arial" w:hAnsi="Arial" w:cs="Arial"/>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35FB"/>
    <w:rPr>
      <w:rFonts w:ascii="Arial" w:hAnsi="Arial" w:cs="Arial"/>
      <w:b/>
      <w:bCs/>
      <w:color w:val="000000"/>
    </w:rPr>
  </w:style>
  <w:style w:type="paragraph" w:styleId="Caption">
    <w:name w:val="caption"/>
    <w:basedOn w:val="Normal"/>
    <w:next w:val="Normal"/>
    <w:autoRedefine/>
    <w:uiPriority w:val="35"/>
    <w:unhideWhenUsed/>
    <w:qFormat/>
    <w:rsid w:val="003D35FB"/>
    <w:pPr>
      <w:keepNext/>
      <w:spacing w:after="200"/>
      <w:jc w:val="center"/>
    </w:pPr>
    <w:rPr>
      <w:rFonts w:ascii="Arial" w:hAnsi="Arial" w:cs="Arial"/>
      <w:i/>
      <w:iCs/>
      <w:color w:val="000000" w:themeColor="text1"/>
      <w:sz w:val="22"/>
      <w:szCs w:val="18"/>
      <w:lang w:eastAsia="en-GB"/>
    </w:rPr>
  </w:style>
  <w:style w:type="table" w:styleId="PlainTable4">
    <w:name w:val="Plain Table 4"/>
    <w:basedOn w:val="TableNormal"/>
    <w:uiPriority w:val="44"/>
    <w:rsid w:val="002B1228"/>
    <w:rPr>
      <w:rFonts w:ascii="Arial" w:hAnsi="Arial"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ux">
    <w:name w:val="aux"/>
    <w:basedOn w:val="Normal"/>
    <w:rsid w:val="002B1228"/>
    <w:pPr>
      <w:spacing w:before="100" w:beforeAutospacing="1" w:after="100" w:afterAutospacing="1"/>
      <w:jc w:val="both"/>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Jovic</dc:creator>
  <cp:keywords/>
  <dc:description/>
  <cp:lastModifiedBy>Thomas Jovic</cp:lastModifiedBy>
  <cp:revision>7</cp:revision>
  <dcterms:created xsi:type="dcterms:W3CDTF">2024-01-11T09:14:00Z</dcterms:created>
  <dcterms:modified xsi:type="dcterms:W3CDTF">2024-09-05T17:08:00Z</dcterms:modified>
</cp:coreProperties>
</file>