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6267" w14:textId="77777777" w:rsidR="00E75E26" w:rsidRPr="00CC5C2A" w:rsidRDefault="00E75E26" w:rsidP="00E75E26">
      <w:pPr>
        <w:pStyle w:val="Heading1"/>
        <w:rPr>
          <w:sz w:val="20"/>
          <w:szCs w:val="20"/>
        </w:rPr>
      </w:pPr>
      <w:r w:rsidRPr="00CC5C2A">
        <w:rPr>
          <w:sz w:val="20"/>
          <w:szCs w:val="20"/>
        </w:rPr>
        <w:t>Supplementary Material (Tables)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75E26" w:rsidRPr="00CC5C2A" w14:paraId="6721AC53" w14:textId="77777777" w:rsidTr="0083551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DF4A5" w14:textId="77777777" w:rsidR="00E75E26" w:rsidRPr="00CC5C2A" w:rsidRDefault="00E75E26" w:rsidP="00835516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CC5C2A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Gender inclusive language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0EA5" w14:textId="77777777" w:rsidR="00E75E26" w:rsidRPr="00CC5C2A" w:rsidRDefault="00E75E26" w:rsidP="00835516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CC5C2A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Definition</w:t>
            </w:r>
          </w:p>
        </w:tc>
      </w:tr>
      <w:tr w:rsidR="00E75E26" w:rsidRPr="00CC5C2A" w14:paraId="66747366" w14:textId="77777777" w:rsidTr="0083551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CEAEF" w14:textId="77777777" w:rsidR="00E75E26" w:rsidRPr="00CC5C2A" w:rsidRDefault="00E75E26" w:rsidP="0083551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Sex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9330" w14:textId="645E6C42" w:rsidR="00E75E26" w:rsidRPr="00CC5C2A" w:rsidRDefault="00E75E26" w:rsidP="00835516">
            <w:pPr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A category of sex organs (male</w:t>
            </w:r>
            <w:r w:rsidR="003B0768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CC5C2A">
              <w:rPr>
                <w:rFonts w:eastAsia="Times New Roman" w:cs="Times New Roman"/>
                <w:sz w:val="20"/>
                <w:szCs w:val="20"/>
              </w:rPr>
              <w:t>female</w:t>
            </w:r>
            <w:r w:rsidR="003B0768">
              <w:rPr>
                <w:rFonts w:eastAsia="Times New Roman" w:cs="Times New Roman"/>
                <w:sz w:val="20"/>
                <w:szCs w:val="20"/>
              </w:rPr>
              <w:t>, intersex</w:t>
            </w:r>
            <w:r w:rsidRPr="00CC5C2A">
              <w:rPr>
                <w:rFonts w:eastAsia="Times New Roman" w:cs="Times New Roman"/>
                <w:sz w:val="20"/>
                <w:szCs w:val="20"/>
              </w:rPr>
              <w:t xml:space="preserve">) which are differentiated by reproductive function </w:t>
            </w:r>
          </w:p>
        </w:tc>
      </w:tr>
      <w:tr w:rsidR="00E75E26" w:rsidRPr="00CC5C2A" w14:paraId="05B8A208" w14:textId="77777777" w:rsidTr="0083551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BFD87" w14:textId="77777777" w:rsidR="00E75E26" w:rsidRPr="00CC5C2A" w:rsidRDefault="00E75E26" w:rsidP="0083551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Gender Identity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9E5FA" w14:textId="77777777" w:rsidR="00E75E26" w:rsidRPr="00CC5C2A" w:rsidRDefault="00E75E26" w:rsidP="00835516">
            <w:pPr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 xml:space="preserve">Culturally dependent social norms and roles that are associated with an individual’s natal sex </w:t>
            </w:r>
          </w:p>
        </w:tc>
      </w:tr>
      <w:tr w:rsidR="00E75E26" w:rsidRPr="00CC5C2A" w14:paraId="7326237E" w14:textId="77777777" w:rsidTr="00835516">
        <w:tc>
          <w:tcPr>
            <w:tcW w:w="468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CCA33" w14:textId="77777777" w:rsidR="00E75E26" w:rsidRPr="00CC5C2A" w:rsidRDefault="00E75E26" w:rsidP="0083551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Menstruator</w:t>
            </w:r>
          </w:p>
        </w:tc>
        <w:tc>
          <w:tcPr>
            <w:tcW w:w="468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5D055" w14:textId="77777777" w:rsidR="00E75E26" w:rsidRPr="00CC5C2A" w:rsidRDefault="00E75E26" w:rsidP="0083551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An individual who menstruates from their vagina or vaginal opening</w:t>
            </w:r>
          </w:p>
        </w:tc>
      </w:tr>
      <w:tr w:rsidR="00E75E26" w:rsidRPr="00CC5C2A" w14:paraId="60052458" w14:textId="77777777" w:rsidTr="0083551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C9814" w14:textId="77777777" w:rsidR="00E75E26" w:rsidRPr="00CC5C2A" w:rsidRDefault="00E75E26" w:rsidP="0083551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Transgender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3021E" w14:textId="77777777" w:rsidR="00E75E26" w:rsidRPr="00CC5C2A" w:rsidRDefault="00E75E26" w:rsidP="00835516">
            <w:pPr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 xml:space="preserve">Gender identity that socially </w:t>
            </w:r>
            <w:r w:rsidRPr="00CC5C2A">
              <w:rPr>
                <w:rFonts w:eastAsia="Times New Roman" w:cs="Times New Roman"/>
                <w:i/>
                <w:sz w:val="20"/>
                <w:szCs w:val="20"/>
              </w:rPr>
              <w:t>differs</w:t>
            </w:r>
            <w:r w:rsidRPr="00CC5C2A">
              <w:rPr>
                <w:rFonts w:eastAsia="Times New Roman" w:cs="Times New Roman"/>
                <w:sz w:val="20"/>
                <w:szCs w:val="20"/>
              </w:rPr>
              <w:t xml:space="preserve"> from birth sex</w:t>
            </w:r>
          </w:p>
        </w:tc>
      </w:tr>
      <w:tr w:rsidR="00E75E26" w:rsidRPr="00CC5C2A" w14:paraId="01BEE0F2" w14:textId="77777777" w:rsidTr="0083551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02FF1" w14:textId="77777777" w:rsidR="00E75E26" w:rsidRPr="00CC5C2A" w:rsidRDefault="00E75E26" w:rsidP="0083551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Cisgender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C0093" w14:textId="77777777" w:rsidR="00E75E26" w:rsidRPr="00CC5C2A" w:rsidRDefault="00E75E26" w:rsidP="00835516">
            <w:pPr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 xml:space="preserve">Gender identity that socially </w:t>
            </w:r>
            <w:r w:rsidRPr="00CC5C2A">
              <w:rPr>
                <w:rFonts w:eastAsia="Times New Roman" w:cs="Times New Roman"/>
                <w:i/>
                <w:sz w:val="20"/>
                <w:szCs w:val="20"/>
              </w:rPr>
              <w:t>aligns</w:t>
            </w:r>
            <w:r w:rsidRPr="00CC5C2A">
              <w:rPr>
                <w:rFonts w:eastAsia="Times New Roman" w:cs="Times New Roman"/>
                <w:sz w:val="20"/>
                <w:szCs w:val="20"/>
              </w:rPr>
              <w:t xml:space="preserve"> with birth sex</w:t>
            </w:r>
          </w:p>
        </w:tc>
      </w:tr>
      <w:tr w:rsidR="00E75E26" w:rsidRPr="00CC5C2A" w14:paraId="7FC8E800" w14:textId="77777777" w:rsidTr="0083551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59B7" w14:textId="77777777" w:rsidR="00E75E26" w:rsidRPr="00CC5C2A" w:rsidRDefault="00E75E26" w:rsidP="0083551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Masculine Of Center (</w:t>
            </w:r>
            <w:proofErr w:type="spellStart"/>
            <w:r w:rsidRPr="00CC5C2A">
              <w:rPr>
                <w:rFonts w:eastAsia="Times New Roman" w:cs="Times New Roman"/>
                <w:sz w:val="20"/>
                <w:szCs w:val="20"/>
              </w:rPr>
              <w:t>MoC</w:t>
            </w:r>
            <w:proofErr w:type="spellEnd"/>
            <w:r w:rsidRPr="00CC5C2A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684FF" w14:textId="77777777" w:rsidR="00E75E26" w:rsidRPr="00CC5C2A" w:rsidRDefault="00E75E26" w:rsidP="0083551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A broader gender expression term used to describe a person who identifies or presents as more masculine than feminine </w:t>
            </w:r>
          </w:p>
        </w:tc>
      </w:tr>
      <w:tr w:rsidR="00E75E26" w:rsidRPr="00CC5C2A" w14:paraId="63E654AC" w14:textId="77777777" w:rsidTr="0083551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93F23" w14:textId="77777777" w:rsidR="00E75E26" w:rsidRPr="00CC5C2A" w:rsidRDefault="00E75E26" w:rsidP="0083551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Nonbinary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F45D" w14:textId="77777777" w:rsidR="00E75E26" w:rsidRPr="00CC5C2A" w:rsidRDefault="00E75E26" w:rsidP="00835516">
            <w:pPr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 xml:space="preserve">A gender identity that does not fall within the male vs female gender paradigm, with representations that may vary across cultures </w:t>
            </w:r>
          </w:p>
        </w:tc>
      </w:tr>
      <w:tr w:rsidR="00E75E26" w:rsidRPr="00CC5C2A" w14:paraId="5FEE0C34" w14:textId="77777777" w:rsidTr="0083551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2FDD" w14:textId="77777777" w:rsidR="00E75E26" w:rsidRPr="00CC5C2A" w:rsidRDefault="00E75E26" w:rsidP="0083551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Two-spirit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801E8" w14:textId="77777777" w:rsidR="00E75E26" w:rsidRPr="00CC5C2A" w:rsidRDefault="00E75E26" w:rsidP="00835516">
            <w:pPr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A third gender in many indigenous communities, often called “</w:t>
            </w:r>
            <w:proofErr w:type="spellStart"/>
            <w:r w:rsidRPr="00CC5C2A">
              <w:rPr>
                <w:rFonts w:eastAsia="Times New Roman" w:cs="Times New Roman"/>
                <w:sz w:val="20"/>
                <w:szCs w:val="20"/>
              </w:rPr>
              <w:t>suprabinary</w:t>
            </w:r>
            <w:proofErr w:type="spellEnd"/>
            <w:r w:rsidRPr="00CC5C2A">
              <w:rPr>
                <w:rFonts w:eastAsia="Times New Roman" w:cs="Times New Roman"/>
                <w:sz w:val="20"/>
                <w:szCs w:val="20"/>
              </w:rPr>
              <w:t>,” are believed to hold mystical connections</w:t>
            </w:r>
          </w:p>
        </w:tc>
      </w:tr>
    </w:tbl>
    <w:p w14:paraId="4A570872" w14:textId="77777777" w:rsidR="00E75E26" w:rsidRPr="00CC5C2A" w:rsidRDefault="00E75E26" w:rsidP="00E75E26">
      <w:pPr>
        <w:rPr>
          <w:rFonts w:eastAsia="Times New Roman" w:cs="Times New Roman"/>
          <w:sz w:val="20"/>
          <w:szCs w:val="20"/>
        </w:rPr>
      </w:pPr>
      <w:r w:rsidRPr="00CC5C2A">
        <w:rPr>
          <w:rFonts w:eastAsia="Times New Roman" w:cs="Times New Roman"/>
          <w:i/>
          <w:sz w:val="20"/>
          <w:szCs w:val="20"/>
        </w:rPr>
        <w:t>Table 1. Glossary of gender-inclusive languag</w:t>
      </w:r>
      <w:r w:rsidRPr="00CC5C2A">
        <w:rPr>
          <w:rFonts w:eastAsia="Times New Roman" w:cs="Times New Roman"/>
          <w:sz w:val="20"/>
          <w:szCs w:val="20"/>
        </w:rPr>
        <w:t xml:space="preserve">e and definitions </w:t>
      </w:r>
      <w:r w:rsidRPr="00CC5C2A">
        <w:rPr>
          <w:rFonts w:eastAsia="Times New Roman" w:cs="Times New Roman"/>
          <w:sz w:val="20"/>
          <w:szCs w:val="20"/>
        </w:rPr>
        <w:fldChar w:fldCharType="begin">
          <w:fldData xml:space="preserve">PEVuZE5vdGU+PENpdGU+PEF1dGhvcj5NYXJndWxpZXM8L0F1dGhvcj48WWVhcj4yMDIxPC9ZZWFy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</w:fldData>
        </w:fldChar>
      </w:r>
      <w:r w:rsidRPr="00CC5C2A">
        <w:rPr>
          <w:rFonts w:eastAsia="Times New Roman" w:cs="Times New Roman"/>
          <w:sz w:val="20"/>
          <w:szCs w:val="20"/>
        </w:rPr>
        <w:instrText xml:space="preserve"> ADDIN EN.CITE </w:instrText>
      </w:r>
      <w:r w:rsidRPr="00CC5C2A">
        <w:rPr>
          <w:rFonts w:eastAsia="Times New Roman" w:cs="Times New Roman"/>
          <w:sz w:val="20"/>
          <w:szCs w:val="20"/>
        </w:rPr>
        <w:fldChar w:fldCharType="begin">
          <w:fldData xml:space="preserve">PEVuZE5vdGU+PENpdGU+PEF1dGhvcj5NYXJndWxpZXM8L0F1dGhvcj48WWVhcj4yMDIxPC9ZZWFy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</w:fldData>
        </w:fldChar>
      </w:r>
      <w:r w:rsidRPr="00CC5C2A">
        <w:rPr>
          <w:rFonts w:eastAsia="Times New Roman" w:cs="Times New Roman"/>
          <w:sz w:val="20"/>
          <w:szCs w:val="20"/>
        </w:rPr>
        <w:instrText xml:space="preserve"> ADDIN EN.CITE.DATA </w:instrText>
      </w:r>
      <w:r w:rsidRPr="00CC5C2A">
        <w:rPr>
          <w:rFonts w:eastAsia="Times New Roman" w:cs="Times New Roman"/>
          <w:sz w:val="20"/>
          <w:szCs w:val="20"/>
        </w:rPr>
      </w:r>
      <w:r w:rsidRPr="00CC5C2A">
        <w:rPr>
          <w:rFonts w:eastAsia="Times New Roman" w:cs="Times New Roman"/>
          <w:sz w:val="20"/>
          <w:szCs w:val="20"/>
        </w:rPr>
        <w:fldChar w:fldCharType="end"/>
      </w:r>
      <w:r w:rsidRPr="00CC5C2A">
        <w:rPr>
          <w:rFonts w:eastAsia="Times New Roman" w:cs="Times New Roman"/>
          <w:sz w:val="20"/>
          <w:szCs w:val="20"/>
        </w:rPr>
      </w:r>
      <w:r w:rsidRPr="00CC5C2A">
        <w:rPr>
          <w:rFonts w:eastAsia="Times New Roman" w:cs="Times New Roman"/>
          <w:sz w:val="20"/>
          <w:szCs w:val="20"/>
        </w:rPr>
        <w:fldChar w:fldCharType="separate"/>
      </w:r>
      <w:r w:rsidRPr="00CC5C2A">
        <w:rPr>
          <w:rFonts w:eastAsia="Times New Roman" w:cs="Times New Roman"/>
          <w:noProof/>
          <w:sz w:val="20"/>
          <w:szCs w:val="20"/>
        </w:rPr>
        <w:t>(2, 5, 7, 36)</w:t>
      </w:r>
      <w:r w:rsidRPr="00CC5C2A">
        <w:rPr>
          <w:rFonts w:eastAsia="Times New Roman" w:cs="Times New Roman"/>
          <w:sz w:val="20"/>
          <w:szCs w:val="20"/>
        </w:rPr>
        <w:fldChar w:fldCharType="end"/>
      </w:r>
    </w:p>
    <w:p w14:paraId="07EBEA4A" w14:textId="77777777" w:rsidR="00E75E26" w:rsidRPr="00CC5C2A" w:rsidRDefault="00E75E26" w:rsidP="00E75E26">
      <w:pPr>
        <w:pStyle w:val="ListParagraph"/>
        <w:numPr>
          <w:ilvl w:val="0"/>
          <w:numId w:val="4"/>
        </w:numPr>
        <w:spacing w:before="240"/>
        <w:contextualSpacing w:val="0"/>
        <w:outlineLvl w:val="0"/>
        <w:rPr>
          <w:b/>
          <w:vanish/>
          <w:sz w:val="20"/>
          <w:szCs w:val="20"/>
        </w:rPr>
      </w:pPr>
    </w:p>
    <w:p w14:paraId="0087C971" w14:textId="77777777" w:rsidR="00E75E26" w:rsidRPr="00CC5C2A" w:rsidRDefault="00E75E26" w:rsidP="00E75E26">
      <w:pPr>
        <w:pStyle w:val="ListParagraph"/>
        <w:numPr>
          <w:ilvl w:val="0"/>
          <w:numId w:val="4"/>
        </w:numPr>
        <w:spacing w:before="240"/>
        <w:contextualSpacing w:val="0"/>
        <w:outlineLvl w:val="0"/>
        <w:rPr>
          <w:b/>
          <w:vanish/>
          <w:sz w:val="20"/>
          <w:szCs w:val="20"/>
        </w:rPr>
      </w:pPr>
    </w:p>
    <w:p w14:paraId="74479C22" w14:textId="77777777" w:rsidR="00E75E26" w:rsidRPr="00CC5C2A" w:rsidRDefault="00E75E26" w:rsidP="00E75E26">
      <w:pPr>
        <w:pStyle w:val="ListParagraph"/>
        <w:numPr>
          <w:ilvl w:val="0"/>
          <w:numId w:val="4"/>
        </w:numPr>
        <w:spacing w:before="240"/>
        <w:contextualSpacing w:val="0"/>
        <w:outlineLvl w:val="0"/>
        <w:rPr>
          <w:b/>
          <w:vanish/>
          <w:sz w:val="20"/>
          <w:szCs w:val="20"/>
        </w:rPr>
      </w:pPr>
    </w:p>
    <w:p w14:paraId="7A3DCB5F" w14:textId="77777777" w:rsidR="00E75E26" w:rsidRPr="00CC5C2A" w:rsidRDefault="00E75E26" w:rsidP="00E75E26">
      <w:pPr>
        <w:pStyle w:val="ListParagraph"/>
        <w:numPr>
          <w:ilvl w:val="0"/>
          <w:numId w:val="4"/>
        </w:numPr>
        <w:spacing w:before="240"/>
        <w:contextualSpacing w:val="0"/>
        <w:outlineLvl w:val="0"/>
        <w:rPr>
          <w:b/>
          <w:vanish/>
          <w:sz w:val="20"/>
          <w:szCs w:val="20"/>
        </w:rPr>
      </w:pPr>
    </w:p>
    <w:p w14:paraId="2FAFED08" w14:textId="77777777" w:rsidR="00E75E26" w:rsidRPr="00CC5C2A" w:rsidRDefault="00E75E26" w:rsidP="00E75E26">
      <w:pPr>
        <w:pStyle w:val="ListParagraph"/>
        <w:numPr>
          <w:ilvl w:val="0"/>
          <w:numId w:val="4"/>
        </w:numPr>
        <w:spacing w:before="240"/>
        <w:contextualSpacing w:val="0"/>
        <w:outlineLvl w:val="0"/>
        <w:rPr>
          <w:b/>
          <w:vanish/>
          <w:sz w:val="20"/>
          <w:szCs w:val="20"/>
        </w:rPr>
      </w:pPr>
    </w:p>
    <w:p w14:paraId="0B250694" w14:textId="77777777" w:rsidR="00E75E26" w:rsidRPr="00CC5C2A" w:rsidRDefault="00E75E26" w:rsidP="00E75E26">
      <w:pPr>
        <w:pStyle w:val="ListParagraph"/>
        <w:numPr>
          <w:ilvl w:val="0"/>
          <w:numId w:val="4"/>
        </w:numPr>
        <w:spacing w:before="240"/>
        <w:contextualSpacing w:val="0"/>
        <w:outlineLvl w:val="0"/>
        <w:rPr>
          <w:b/>
          <w:vanish/>
          <w:sz w:val="20"/>
          <w:szCs w:val="20"/>
        </w:rPr>
      </w:pPr>
    </w:p>
    <w:p w14:paraId="267A17DC" w14:textId="77777777" w:rsidR="00E75E26" w:rsidRPr="00CC5C2A" w:rsidRDefault="00E75E26" w:rsidP="00E75E26">
      <w:pPr>
        <w:pStyle w:val="ListParagraph"/>
        <w:numPr>
          <w:ilvl w:val="0"/>
          <w:numId w:val="4"/>
        </w:numPr>
        <w:spacing w:before="240"/>
        <w:contextualSpacing w:val="0"/>
        <w:outlineLvl w:val="0"/>
        <w:rPr>
          <w:b/>
          <w:vanish/>
          <w:sz w:val="20"/>
          <w:szCs w:val="20"/>
        </w:rPr>
      </w:pPr>
    </w:p>
    <w:p w14:paraId="34F22053" w14:textId="77777777" w:rsidR="00E75E26" w:rsidRPr="00CC5C2A" w:rsidRDefault="00E75E26" w:rsidP="00E75E26">
      <w:pPr>
        <w:pStyle w:val="ListParagraph"/>
        <w:numPr>
          <w:ilvl w:val="0"/>
          <w:numId w:val="4"/>
        </w:numPr>
        <w:spacing w:before="240"/>
        <w:contextualSpacing w:val="0"/>
        <w:outlineLvl w:val="0"/>
        <w:rPr>
          <w:b/>
          <w:vanish/>
          <w:sz w:val="20"/>
          <w:szCs w:val="20"/>
        </w:rPr>
      </w:pPr>
    </w:p>
    <w:p w14:paraId="47CEDBFB" w14:textId="77777777" w:rsidR="00E75E26" w:rsidRPr="00CC5C2A" w:rsidRDefault="00E75E26" w:rsidP="00E75E26">
      <w:pPr>
        <w:pStyle w:val="ListParagraph"/>
        <w:numPr>
          <w:ilvl w:val="0"/>
          <w:numId w:val="4"/>
        </w:numPr>
        <w:spacing w:before="240"/>
        <w:contextualSpacing w:val="0"/>
        <w:outlineLvl w:val="0"/>
        <w:rPr>
          <w:b/>
          <w:vanish/>
          <w:sz w:val="20"/>
          <w:szCs w:val="20"/>
        </w:rPr>
      </w:pPr>
    </w:p>
    <w:p w14:paraId="65D9FF21" w14:textId="77777777" w:rsidR="00E75E26" w:rsidRPr="00CC5C2A" w:rsidRDefault="00E75E26" w:rsidP="00E75E26">
      <w:pPr>
        <w:pStyle w:val="ListParagraph"/>
        <w:numPr>
          <w:ilvl w:val="0"/>
          <w:numId w:val="4"/>
        </w:numPr>
        <w:spacing w:before="240"/>
        <w:contextualSpacing w:val="0"/>
        <w:outlineLvl w:val="0"/>
        <w:rPr>
          <w:b/>
          <w:vanish/>
          <w:sz w:val="20"/>
          <w:szCs w:val="20"/>
        </w:rPr>
      </w:pPr>
    </w:p>
    <w:p w14:paraId="771D71BF" w14:textId="77777777" w:rsidR="00E75E26" w:rsidRPr="00CC5C2A" w:rsidRDefault="00E75E26" w:rsidP="00E75E26">
      <w:pPr>
        <w:pStyle w:val="ListParagraph"/>
        <w:numPr>
          <w:ilvl w:val="0"/>
          <w:numId w:val="4"/>
        </w:numPr>
        <w:spacing w:before="240"/>
        <w:contextualSpacing w:val="0"/>
        <w:outlineLvl w:val="0"/>
        <w:rPr>
          <w:b/>
          <w:vanish/>
          <w:sz w:val="20"/>
          <w:szCs w:val="20"/>
        </w:rPr>
      </w:pPr>
    </w:p>
    <w:p w14:paraId="3FA1A7A5" w14:textId="77777777" w:rsidR="00E75E26" w:rsidRPr="00CC5C2A" w:rsidRDefault="00E75E26" w:rsidP="00E75E26">
      <w:pPr>
        <w:pStyle w:val="ListParagraph"/>
        <w:numPr>
          <w:ilvl w:val="0"/>
          <w:numId w:val="0"/>
        </w:numPr>
        <w:spacing w:before="240"/>
        <w:ind w:left="567"/>
        <w:contextualSpacing w:val="0"/>
        <w:outlineLvl w:val="0"/>
        <w:rPr>
          <w:sz w:val="20"/>
          <w:szCs w:val="20"/>
        </w:rPr>
      </w:pPr>
    </w:p>
    <w:tbl>
      <w:tblPr>
        <w:tblW w:w="9405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875"/>
      </w:tblGrid>
      <w:tr w:rsidR="00E75E26" w:rsidRPr="00CC5C2A" w14:paraId="4C3A4F0F" w14:textId="77777777" w:rsidTr="00835516">
        <w:trPr>
          <w:trHeight w:val="285"/>
        </w:trPr>
        <w:tc>
          <w:tcPr>
            <w:tcW w:w="4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A93723" w14:textId="77777777" w:rsidR="00E75E26" w:rsidRPr="00CC5C2A" w:rsidRDefault="00E75E26" w:rsidP="00835516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CC5C2A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DSM-IV: Gender Identity Disorder (1994)</w:t>
            </w:r>
          </w:p>
        </w:tc>
        <w:tc>
          <w:tcPr>
            <w:tcW w:w="487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51D84" w14:textId="77777777" w:rsidR="00E75E26" w:rsidRPr="00CC5C2A" w:rsidRDefault="00E75E26" w:rsidP="00835516">
            <w:pPr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CC5C2A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DSM-V: Gender Dysphoria (2013)</w:t>
            </w:r>
          </w:p>
        </w:tc>
      </w:tr>
      <w:tr w:rsidR="00E75E26" w:rsidRPr="00CC5C2A" w14:paraId="7721FE3E" w14:textId="77777777" w:rsidTr="00835516">
        <w:trPr>
          <w:trHeight w:val="4965"/>
        </w:trPr>
        <w:tc>
          <w:tcPr>
            <w:tcW w:w="45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7C0E5" w14:textId="77777777" w:rsidR="00E75E26" w:rsidRPr="00CC5C2A" w:rsidRDefault="00E75E26" w:rsidP="00835516">
            <w:pPr>
              <w:shd w:val="clear" w:color="auto" w:fill="FFFFFF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lastRenderedPageBreak/>
              <w:t>A. A strong and persistent cross-gender identification (not merely a desire for any perceived cultural advantages of being the other sex). In children, the disturbance is manifested by four (or more) of the following:</w:t>
            </w:r>
          </w:p>
          <w:p w14:paraId="02B01837" w14:textId="77777777" w:rsidR="00E75E26" w:rsidRPr="00CC5C2A" w:rsidRDefault="00E75E26" w:rsidP="00E75E26">
            <w:pPr>
              <w:numPr>
                <w:ilvl w:val="0"/>
                <w:numId w:val="6"/>
              </w:numPr>
              <w:shd w:val="clear" w:color="auto" w:fill="FFFFFF"/>
              <w:spacing w:before="0" w:after="0"/>
              <w:ind w:left="270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Repeatedly stated desire to be, or insistence that he or she is, the other sex</w:t>
            </w:r>
          </w:p>
          <w:p w14:paraId="389DB5BF" w14:textId="77777777" w:rsidR="00E75E26" w:rsidRPr="00CC5C2A" w:rsidRDefault="00E75E26" w:rsidP="00E75E26">
            <w:pPr>
              <w:numPr>
                <w:ilvl w:val="0"/>
                <w:numId w:val="6"/>
              </w:numPr>
              <w:shd w:val="clear" w:color="auto" w:fill="FFFFFF"/>
              <w:spacing w:before="0" w:after="0"/>
              <w:ind w:left="270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In boys, preference for cross-dressing or simulating female attire; in girls, insistence on wearing only stereotypical masculine clothing</w:t>
            </w:r>
          </w:p>
          <w:p w14:paraId="155229F9" w14:textId="77777777" w:rsidR="00E75E26" w:rsidRPr="00CC5C2A" w:rsidRDefault="00E75E26" w:rsidP="00E75E26">
            <w:pPr>
              <w:numPr>
                <w:ilvl w:val="0"/>
                <w:numId w:val="6"/>
              </w:numPr>
              <w:shd w:val="clear" w:color="auto" w:fill="FFFFFF"/>
              <w:spacing w:before="0" w:after="0"/>
              <w:ind w:left="270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Strong and persistent preferences for cross-sex roles in make-believe play or persistent fantasies of being the other sex</w:t>
            </w:r>
          </w:p>
          <w:p w14:paraId="0C20E7D0" w14:textId="77777777" w:rsidR="00E75E26" w:rsidRPr="00CC5C2A" w:rsidRDefault="00E75E26" w:rsidP="00E75E26">
            <w:pPr>
              <w:numPr>
                <w:ilvl w:val="0"/>
                <w:numId w:val="6"/>
              </w:numPr>
              <w:shd w:val="clear" w:color="auto" w:fill="FFFFFF"/>
              <w:spacing w:before="0" w:after="0"/>
              <w:ind w:left="270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Intense desire to participate in the stereotypical games and pastimes of the other sex</w:t>
            </w:r>
          </w:p>
          <w:p w14:paraId="6569CC6F" w14:textId="77777777" w:rsidR="00E75E26" w:rsidRPr="00CC5C2A" w:rsidRDefault="00E75E26" w:rsidP="00E75E26">
            <w:pPr>
              <w:numPr>
                <w:ilvl w:val="0"/>
                <w:numId w:val="6"/>
              </w:numPr>
              <w:spacing w:before="0" w:after="0"/>
              <w:ind w:left="270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Strong preference for playmates of the other sex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4AF2B" w14:textId="77777777" w:rsidR="00E75E26" w:rsidRPr="00CC5C2A" w:rsidRDefault="00E75E26" w:rsidP="00835516">
            <w:pPr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A. A marked incongruence between one’s experienced/expressed gender and natal gender of at least 6 months in duration, as manifested by at least two of the following:</w:t>
            </w:r>
          </w:p>
          <w:p w14:paraId="4850CD3A" w14:textId="77777777" w:rsidR="00E75E26" w:rsidRPr="00CC5C2A" w:rsidRDefault="00E75E26" w:rsidP="00E75E26">
            <w:pPr>
              <w:numPr>
                <w:ilvl w:val="0"/>
                <w:numId w:val="5"/>
              </w:num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A marked incongruence between one’s experienced/expressed gender and primary and/or secondary sex characteristics (or in young adolescents, the anticipated secondary sex characteristics)</w:t>
            </w:r>
          </w:p>
          <w:p w14:paraId="5EDE0448" w14:textId="77777777" w:rsidR="00E75E26" w:rsidRPr="00CC5C2A" w:rsidRDefault="00E75E26" w:rsidP="00E75E26">
            <w:pPr>
              <w:numPr>
                <w:ilvl w:val="0"/>
                <w:numId w:val="5"/>
              </w:num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A strong desire to be rid of one’s primary and/or secondary sex characteristics because of a marked incongruence with one’s experienced/expressed gender (or in young adolescents, a desire to prevent the development of the anticipated secondary sex characteristics)</w:t>
            </w:r>
          </w:p>
          <w:p w14:paraId="065732AC" w14:textId="77777777" w:rsidR="00E75E26" w:rsidRPr="00CC5C2A" w:rsidRDefault="00E75E26" w:rsidP="00E75E26">
            <w:pPr>
              <w:numPr>
                <w:ilvl w:val="0"/>
                <w:numId w:val="5"/>
              </w:num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A strong desire for the primary and/or secondary sex characteristics of the other gender</w:t>
            </w:r>
          </w:p>
          <w:p w14:paraId="5A3FB544" w14:textId="77777777" w:rsidR="00E75E26" w:rsidRPr="00CC5C2A" w:rsidRDefault="00E75E26" w:rsidP="00E75E26">
            <w:pPr>
              <w:numPr>
                <w:ilvl w:val="0"/>
                <w:numId w:val="5"/>
              </w:num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A strong desire to be of the other gender (or some alternative gender different from one’s designated gender)</w:t>
            </w:r>
          </w:p>
          <w:p w14:paraId="5919E82A" w14:textId="77777777" w:rsidR="00E75E26" w:rsidRPr="00CC5C2A" w:rsidRDefault="00E75E26" w:rsidP="00E75E26">
            <w:pPr>
              <w:numPr>
                <w:ilvl w:val="0"/>
                <w:numId w:val="5"/>
              </w:num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A strong desire to be treated as the other gender (or some alternative gender different from one’s designated gender)</w:t>
            </w:r>
          </w:p>
          <w:p w14:paraId="51EC73C4" w14:textId="77777777" w:rsidR="00E75E26" w:rsidRPr="00CC5C2A" w:rsidRDefault="00E75E26" w:rsidP="00E75E26">
            <w:pPr>
              <w:numPr>
                <w:ilvl w:val="0"/>
                <w:numId w:val="5"/>
              </w:num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A strong conviction that one has the typical feelings and reactions of the other gender (or some alternative gender different from one’s designated gender)</w:t>
            </w:r>
          </w:p>
        </w:tc>
      </w:tr>
      <w:tr w:rsidR="00E75E26" w:rsidRPr="00CC5C2A" w14:paraId="28835563" w14:textId="77777777" w:rsidTr="00835516">
        <w:trPr>
          <w:trHeight w:val="3150"/>
        </w:trPr>
        <w:tc>
          <w:tcPr>
            <w:tcW w:w="45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37AC5" w14:textId="77777777" w:rsidR="00E75E26" w:rsidRPr="00CC5C2A" w:rsidRDefault="00E75E26" w:rsidP="00835516">
            <w:pPr>
              <w:shd w:val="clear" w:color="auto" w:fill="FFFFFF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B. Persistent discomfort with his or her sex or sense of inappropriateness in the gender role of that sex.</w:t>
            </w:r>
          </w:p>
          <w:p w14:paraId="6229C748" w14:textId="77777777" w:rsidR="00E75E26" w:rsidRPr="00CC5C2A" w:rsidRDefault="00E75E26" w:rsidP="00835516">
            <w:pPr>
              <w:shd w:val="clear" w:color="auto" w:fill="FFFFFF"/>
              <w:rPr>
                <w:rFonts w:eastAsia="Times New Roman" w:cs="Times New Roman"/>
                <w:sz w:val="20"/>
                <w:szCs w:val="20"/>
              </w:rPr>
            </w:pPr>
          </w:p>
          <w:p w14:paraId="77CF0EC3" w14:textId="77777777" w:rsidR="00E75E26" w:rsidRPr="00CC5C2A" w:rsidRDefault="00E75E26" w:rsidP="00835516">
            <w:pPr>
              <w:shd w:val="clear" w:color="auto" w:fill="FFFFFF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C. The disturbance is not concurrent with a physical intersex condition.</w:t>
            </w:r>
          </w:p>
          <w:p w14:paraId="5D764779" w14:textId="77777777" w:rsidR="00E75E26" w:rsidRPr="00CC5C2A" w:rsidRDefault="00E75E26" w:rsidP="00835516">
            <w:pPr>
              <w:shd w:val="clear" w:color="auto" w:fill="FFFFFF"/>
              <w:rPr>
                <w:rFonts w:eastAsia="Times New Roman" w:cs="Times New Roman"/>
                <w:sz w:val="20"/>
                <w:szCs w:val="20"/>
              </w:rPr>
            </w:pPr>
          </w:p>
          <w:p w14:paraId="1DA0D7E2" w14:textId="77777777" w:rsidR="00E75E26" w:rsidRPr="00CC5C2A" w:rsidRDefault="00E75E26" w:rsidP="00835516">
            <w:pPr>
              <w:shd w:val="clear" w:color="auto" w:fill="FFFFFF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D. The disturbance causes clinically significant distress or impairment in social, occupational, or other important areas of functioning.</w:t>
            </w:r>
          </w:p>
          <w:p w14:paraId="3E86B44C" w14:textId="77777777" w:rsidR="00E75E26" w:rsidRPr="00CC5C2A" w:rsidRDefault="00E75E26" w:rsidP="00835516">
            <w:pPr>
              <w:shd w:val="clear" w:color="auto" w:fill="FFFFFF"/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F8E1E" w14:textId="77777777" w:rsidR="00E75E26" w:rsidRPr="00CC5C2A" w:rsidRDefault="00E75E26" w:rsidP="00835516">
            <w:pPr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B. The condition is associated with clinically significant distress or impairment in social, occupational, or other important areas of functioning. Specify if:</w:t>
            </w:r>
          </w:p>
          <w:p w14:paraId="47527F60" w14:textId="7DEF6671" w:rsidR="00E75E26" w:rsidRPr="003B0768" w:rsidRDefault="00E75E26" w:rsidP="003B0768">
            <w:pPr>
              <w:pStyle w:val="ListParagraph"/>
              <w:numPr>
                <w:ilvl w:val="0"/>
                <w:numId w:val="8"/>
              </w:numPr>
              <w:spacing w:before="0" w:after="0"/>
              <w:rPr>
                <w:rFonts w:eastAsia="Times New Roman"/>
                <w:sz w:val="20"/>
                <w:szCs w:val="20"/>
              </w:rPr>
            </w:pPr>
            <w:r w:rsidRPr="003B0768">
              <w:rPr>
                <w:rFonts w:eastAsia="Times New Roman"/>
                <w:sz w:val="20"/>
                <w:szCs w:val="20"/>
              </w:rPr>
              <w:t>The condition exists with a disorder of sex development.</w:t>
            </w:r>
          </w:p>
          <w:p w14:paraId="6439F396" w14:textId="77777777" w:rsidR="00370B72" w:rsidRPr="00370B72" w:rsidRDefault="00370B72" w:rsidP="00370B72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  <w:p w14:paraId="42ED6688" w14:textId="77777777" w:rsidR="00E75E26" w:rsidRPr="00CC5C2A" w:rsidRDefault="00E75E26" w:rsidP="00835516">
            <w:pPr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C. The condition is post-transitional, in that the individual has transitioned to full-time living in the desired gender (with or without legalization of gender change) and has undergone (or is preparing to have) at least one sex-related medical procedure or treatment regimen—namely, regular sex hormone treatment or gender reassignment surgery confirming the desired gender (e.g., penectomy, vaginoplasty in natal males; mastectomy or phalloplasty in natal female</w:t>
            </w:r>
          </w:p>
        </w:tc>
      </w:tr>
    </w:tbl>
    <w:p w14:paraId="16069AFC" w14:textId="2EDE256B" w:rsidR="00265BCD" w:rsidRPr="00CC5C2A" w:rsidRDefault="00E75E26">
      <w:pPr>
        <w:rPr>
          <w:rFonts w:eastAsia="Times New Roman" w:cs="Times New Roman"/>
          <w:i/>
          <w:iCs/>
          <w:sz w:val="20"/>
          <w:szCs w:val="20"/>
        </w:rPr>
      </w:pPr>
      <w:r w:rsidRPr="00CC5C2A">
        <w:rPr>
          <w:rFonts w:eastAsia="Times New Roman" w:cs="Times New Roman"/>
          <w:i/>
          <w:iCs/>
          <w:sz w:val="20"/>
          <w:szCs w:val="20"/>
        </w:rPr>
        <w:t xml:space="preserve">Table 2. Diagnostic criteria between DSM-IV and DSM-V </w:t>
      </w:r>
      <w:r w:rsidRPr="00CC5C2A">
        <w:rPr>
          <w:rFonts w:eastAsia="Times New Roman" w:cs="Times New Roman"/>
          <w:i/>
          <w:iCs/>
          <w:sz w:val="20"/>
          <w:szCs w:val="20"/>
        </w:rPr>
        <w:fldChar w:fldCharType="begin"/>
      </w:r>
      <w:r w:rsidRPr="00CC5C2A">
        <w:rPr>
          <w:rFonts w:eastAsia="Times New Roman" w:cs="Times New Roman"/>
          <w:i/>
          <w:iCs/>
          <w:sz w:val="20"/>
          <w:szCs w:val="20"/>
        </w:rPr>
        <w:instrText xml:space="preserve"> ADDIN EN.CITE &lt;EndNote&gt;&lt;Cite&gt;&lt;Author&gt;Association&lt;/Author&gt;&lt;Year&gt;2013&lt;/Year&gt;&lt;RecNum&gt;1136&lt;/RecNum&gt;&lt;DisplayText&gt;(13)&lt;/DisplayText&gt;&lt;record&gt;&lt;rec-number&gt;1136&lt;/rec-number&gt;&lt;foreign-keys&gt;&lt;key app="EN" db-id="2z9sxzztwwzzpset9pavda9pfp2etvezfstv" timestamp="1712070351" guid="564be1ab-b58a-41d9-a932-603a53e42c05"&gt;1136&lt;/key&gt;&lt;/foreign-keys&gt;&lt;ref-type name="Book"&gt;6&lt;/ref-type&gt;&lt;contributors&gt;&lt;authors&gt;&lt;author&gt;American Psychiatric Association&lt;/author&gt;&lt;/authors&gt;&lt;/contributors&gt;&lt;titles&gt;&lt;title&gt;DIagnostic and Statistical Manual of Mental Disorders&lt;/title&gt;&lt;/titles&gt;&lt;edition&gt;5th&lt;/edition&gt;&lt;dates&gt;&lt;year&gt;2013&lt;/year&gt;&lt;/dates&gt;&lt;pub-location&gt;Washington DC&lt;/pub-location&gt;&lt;urls&gt;&lt;/urls&gt;&lt;/record&gt;&lt;/Cite&gt;&lt;/EndNote&gt;</w:instrText>
      </w:r>
      <w:r w:rsidRPr="00CC5C2A">
        <w:rPr>
          <w:rFonts w:eastAsia="Times New Roman" w:cs="Times New Roman"/>
          <w:i/>
          <w:iCs/>
          <w:sz w:val="20"/>
          <w:szCs w:val="20"/>
        </w:rPr>
        <w:fldChar w:fldCharType="separate"/>
      </w:r>
      <w:r w:rsidRPr="00CC5C2A">
        <w:rPr>
          <w:rFonts w:eastAsia="Times New Roman" w:cs="Times New Roman"/>
          <w:i/>
          <w:iCs/>
          <w:noProof/>
          <w:sz w:val="20"/>
          <w:szCs w:val="20"/>
        </w:rPr>
        <w:t>(13)</w:t>
      </w:r>
      <w:r w:rsidRPr="00CC5C2A">
        <w:rPr>
          <w:rFonts w:eastAsia="Times New Roman" w:cs="Times New Roman"/>
          <w:i/>
          <w:iCs/>
          <w:sz w:val="20"/>
          <w:szCs w:val="20"/>
        </w:rPr>
        <w:fldChar w:fldCharType="end"/>
      </w:r>
    </w:p>
    <w:p w14:paraId="1B4E3E0F" w14:textId="750B8579" w:rsidR="003E1306" w:rsidRPr="00CC5C2A" w:rsidRDefault="003E1306">
      <w:pPr>
        <w:rPr>
          <w:rFonts w:eastAsia="Times New Roman" w:cs="Times New Roman"/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1521"/>
        <w:tblW w:w="0" w:type="auto"/>
        <w:tblLook w:val="04A0" w:firstRow="1" w:lastRow="0" w:firstColumn="1" w:lastColumn="0" w:noHBand="0" w:noVBand="1"/>
      </w:tblPr>
      <w:tblGrid>
        <w:gridCol w:w="1955"/>
        <w:gridCol w:w="2839"/>
        <w:gridCol w:w="4561"/>
      </w:tblGrid>
      <w:tr w:rsidR="00A22B7D" w:rsidRPr="00CC5C2A" w14:paraId="2F80126B" w14:textId="77777777" w:rsidTr="00A22B7D">
        <w:trPr>
          <w:trHeight w:val="511"/>
        </w:trPr>
        <w:tc>
          <w:tcPr>
            <w:tcW w:w="1955" w:type="dxa"/>
            <w:tcBorders>
              <w:top w:val="nil"/>
              <w:left w:val="nil"/>
            </w:tcBorders>
          </w:tcPr>
          <w:p w14:paraId="378533D0" w14:textId="77777777" w:rsidR="00A22B7D" w:rsidRPr="00CC5C2A" w:rsidRDefault="00A22B7D" w:rsidP="003F661A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39" w:type="dxa"/>
          </w:tcPr>
          <w:p w14:paraId="0C218CA1" w14:textId="77777777" w:rsidR="00A22B7D" w:rsidRPr="00CC5C2A" w:rsidRDefault="00A22B7D" w:rsidP="003F661A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CC5C2A">
              <w:rPr>
                <w:rFonts w:cs="Times New Roman"/>
                <w:b/>
                <w:bCs/>
                <w:sz w:val="20"/>
                <w:szCs w:val="20"/>
                <w:u w:val="single"/>
              </w:rPr>
              <w:t>Key Points</w:t>
            </w:r>
          </w:p>
        </w:tc>
        <w:tc>
          <w:tcPr>
            <w:tcW w:w="4561" w:type="dxa"/>
          </w:tcPr>
          <w:p w14:paraId="7E1CBCB3" w14:textId="77777777" w:rsidR="00A22B7D" w:rsidRPr="00CC5C2A" w:rsidRDefault="00A22B7D" w:rsidP="003F661A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CC5C2A">
              <w:rPr>
                <w:rFonts w:cs="Times New Roman"/>
                <w:b/>
                <w:bCs/>
                <w:sz w:val="20"/>
                <w:szCs w:val="20"/>
                <w:u w:val="single"/>
              </w:rPr>
              <w:t>Challenges</w:t>
            </w:r>
          </w:p>
        </w:tc>
      </w:tr>
      <w:tr w:rsidR="00A22B7D" w:rsidRPr="00CC5C2A" w14:paraId="6F80AA98" w14:textId="77777777" w:rsidTr="00A22B7D">
        <w:trPr>
          <w:trHeight w:val="511"/>
        </w:trPr>
        <w:tc>
          <w:tcPr>
            <w:tcW w:w="1955" w:type="dxa"/>
          </w:tcPr>
          <w:p w14:paraId="5F4F6238" w14:textId="77777777" w:rsidR="00A22B7D" w:rsidRPr="00CC5C2A" w:rsidRDefault="00A22B7D" w:rsidP="003F661A">
            <w:pPr>
              <w:ind w:right="-110"/>
              <w:rPr>
                <w:rFonts w:cs="Times New Roman"/>
                <w:b/>
                <w:bCs/>
                <w:sz w:val="20"/>
                <w:szCs w:val="20"/>
              </w:rPr>
            </w:pPr>
            <w:r w:rsidRPr="00CC5C2A">
              <w:rPr>
                <w:rFonts w:cs="Times New Roman"/>
                <w:b/>
                <w:bCs/>
                <w:sz w:val="20"/>
                <w:szCs w:val="20"/>
              </w:rPr>
              <w:t xml:space="preserve">PMD and PMDD </w:t>
            </w:r>
          </w:p>
        </w:tc>
        <w:tc>
          <w:tcPr>
            <w:tcW w:w="2839" w:type="dxa"/>
          </w:tcPr>
          <w:p w14:paraId="29BB5D15" w14:textId="50C164DC" w:rsidR="00A22B7D" w:rsidRPr="00CC5C2A" w:rsidRDefault="00A22B7D" w:rsidP="003F661A">
            <w:pPr>
              <w:rPr>
                <w:rFonts w:cs="Times New Roman"/>
                <w:sz w:val="20"/>
                <w:szCs w:val="20"/>
              </w:rPr>
            </w:pPr>
            <w:r w:rsidRPr="00CC5C2A">
              <w:rPr>
                <w:rFonts w:cs="Times New Roman"/>
                <w:sz w:val="20"/>
                <w:szCs w:val="20"/>
              </w:rPr>
              <w:t>PMD and PMDD are linked to an increased risk for suicide.</w:t>
            </w:r>
          </w:p>
          <w:p w14:paraId="13EEAEC5" w14:textId="77777777" w:rsidR="00A22B7D" w:rsidRPr="00CC5C2A" w:rsidRDefault="00A22B7D" w:rsidP="003F661A">
            <w:pPr>
              <w:rPr>
                <w:rFonts w:cs="Times New Roman"/>
                <w:sz w:val="20"/>
                <w:szCs w:val="20"/>
              </w:rPr>
            </w:pPr>
            <w:r w:rsidRPr="00CC5C2A">
              <w:rPr>
                <w:rFonts w:cs="Times New Roman"/>
                <w:sz w:val="20"/>
                <w:szCs w:val="20"/>
              </w:rPr>
              <w:t>SSRIs remain first-line treatment, either with continuous dosing or solely in the luteal phase of the menstrual cycle.</w:t>
            </w:r>
          </w:p>
        </w:tc>
        <w:tc>
          <w:tcPr>
            <w:tcW w:w="4561" w:type="dxa"/>
          </w:tcPr>
          <w:p w14:paraId="46B381A0" w14:textId="77777777" w:rsidR="00A22B7D" w:rsidRPr="00CC5C2A" w:rsidRDefault="00A22B7D" w:rsidP="003F661A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5C2A">
              <w:rPr>
                <w:rFonts w:cs="Times New Roman"/>
                <w:sz w:val="20"/>
                <w:szCs w:val="20"/>
              </w:rPr>
              <w:t>There is limited data on TGD-AFAB individuals.</w:t>
            </w:r>
          </w:p>
        </w:tc>
      </w:tr>
      <w:tr w:rsidR="00A22B7D" w:rsidRPr="00CC5C2A" w14:paraId="0C3D0AC3" w14:textId="77777777" w:rsidTr="00A22B7D">
        <w:trPr>
          <w:trHeight w:val="511"/>
        </w:trPr>
        <w:tc>
          <w:tcPr>
            <w:tcW w:w="1955" w:type="dxa"/>
          </w:tcPr>
          <w:p w14:paraId="361D7065" w14:textId="77777777" w:rsidR="00A22B7D" w:rsidRPr="00CC5C2A" w:rsidRDefault="00A22B7D" w:rsidP="003F661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C5C2A">
              <w:rPr>
                <w:rFonts w:cs="Times New Roman"/>
                <w:b/>
                <w:bCs/>
                <w:sz w:val="20"/>
                <w:szCs w:val="20"/>
              </w:rPr>
              <w:t>Depression and Anxiety</w:t>
            </w:r>
          </w:p>
        </w:tc>
        <w:tc>
          <w:tcPr>
            <w:tcW w:w="2839" w:type="dxa"/>
          </w:tcPr>
          <w:p w14:paraId="6532E70F" w14:textId="26472E14" w:rsidR="00A22B7D" w:rsidRPr="00CC5C2A" w:rsidRDefault="00A22B7D" w:rsidP="003F661A">
            <w:pPr>
              <w:rPr>
                <w:rFonts w:cs="Times New Roman"/>
                <w:sz w:val="20"/>
                <w:szCs w:val="20"/>
              </w:rPr>
            </w:pPr>
            <w:r w:rsidRPr="00CC5C2A">
              <w:rPr>
                <w:rFonts w:cs="Times New Roman"/>
                <w:sz w:val="20"/>
                <w:szCs w:val="20"/>
              </w:rPr>
              <w:t>Studies suggest a lower rate of depressive symptoms in TGD-AFAB individuals receiving GAHT.</w:t>
            </w:r>
          </w:p>
          <w:p w14:paraId="6CD710E0" w14:textId="77777777" w:rsidR="00A22B7D" w:rsidRPr="00CC5C2A" w:rsidRDefault="00A22B7D" w:rsidP="003F661A">
            <w:pPr>
              <w:rPr>
                <w:rFonts w:cs="Times New Roman"/>
                <w:sz w:val="20"/>
                <w:szCs w:val="20"/>
              </w:rPr>
            </w:pPr>
            <w:r w:rsidRPr="00CC5C2A">
              <w:rPr>
                <w:rFonts w:cs="Times New Roman"/>
                <w:sz w:val="20"/>
                <w:szCs w:val="20"/>
              </w:rPr>
              <w:t xml:space="preserve">Use of GAHT in TGD individuals over the age of 50 has been associated with reduced anxiety symptoms and lower levels of perceived stress. </w:t>
            </w:r>
          </w:p>
        </w:tc>
        <w:tc>
          <w:tcPr>
            <w:tcW w:w="4561" w:type="dxa"/>
          </w:tcPr>
          <w:p w14:paraId="11AF46D5" w14:textId="77777777" w:rsidR="00A22B7D" w:rsidRPr="00CC5C2A" w:rsidRDefault="00A22B7D" w:rsidP="003F661A">
            <w:pPr>
              <w:rPr>
                <w:rFonts w:cs="Times New Roman"/>
                <w:sz w:val="20"/>
                <w:szCs w:val="20"/>
              </w:rPr>
            </w:pPr>
            <w:r w:rsidRPr="00CC5C2A">
              <w:rPr>
                <w:rFonts w:cs="Times New Roman"/>
                <w:sz w:val="20"/>
                <w:szCs w:val="20"/>
              </w:rPr>
              <w:t>Though rates of depression differ by sex amongst cisgender individuals, studies looking at the impact of GAHT on TGD individuals often combine TGD identities without specifying AFAB and AMAB.</w:t>
            </w:r>
          </w:p>
        </w:tc>
      </w:tr>
      <w:tr w:rsidR="00A22B7D" w:rsidRPr="00CC5C2A" w14:paraId="33BD354F" w14:textId="77777777" w:rsidTr="00A22B7D">
        <w:trPr>
          <w:trHeight w:val="511"/>
        </w:trPr>
        <w:tc>
          <w:tcPr>
            <w:tcW w:w="1955" w:type="dxa"/>
          </w:tcPr>
          <w:p w14:paraId="1CD282DB" w14:textId="77777777" w:rsidR="00A22B7D" w:rsidRPr="00CC5C2A" w:rsidRDefault="00A22B7D" w:rsidP="003F661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C5C2A">
              <w:rPr>
                <w:rFonts w:cs="Times New Roman"/>
                <w:b/>
                <w:bCs/>
                <w:sz w:val="20"/>
                <w:szCs w:val="20"/>
              </w:rPr>
              <w:t>PTSD</w:t>
            </w:r>
          </w:p>
        </w:tc>
        <w:tc>
          <w:tcPr>
            <w:tcW w:w="2839" w:type="dxa"/>
          </w:tcPr>
          <w:p w14:paraId="52F2BEE2" w14:textId="77777777" w:rsidR="00A22B7D" w:rsidRPr="00CC5C2A" w:rsidRDefault="00A22B7D" w:rsidP="003F661A">
            <w:pPr>
              <w:rPr>
                <w:rFonts w:cs="Times New Roman"/>
                <w:sz w:val="20"/>
                <w:szCs w:val="20"/>
              </w:rPr>
            </w:pPr>
            <w:r w:rsidRPr="00CC5C2A">
              <w:rPr>
                <w:rFonts w:cs="Times New Roman"/>
                <w:sz w:val="20"/>
                <w:szCs w:val="20"/>
              </w:rPr>
              <w:t>TGD individuals report higher rates of exposure to traumatic events.</w:t>
            </w:r>
          </w:p>
        </w:tc>
        <w:tc>
          <w:tcPr>
            <w:tcW w:w="4561" w:type="dxa"/>
          </w:tcPr>
          <w:p w14:paraId="73FC5E5E" w14:textId="13BF8D29" w:rsidR="00A22B7D" w:rsidRPr="00CC5C2A" w:rsidRDefault="00A22B7D" w:rsidP="003F661A">
            <w:pPr>
              <w:rPr>
                <w:rFonts w:cs="Times New Roman"/>
                <w:sz w:val="20"/>
                <w:szCs w:val="20"/>
              </w:rPr>
            </w:pPr>
            <w:r w:rsidRPr="00CC5C2A">
              <w:rPr>
                <w:rFonts w:cs="Times New Roman"/>
                <w:sz w:val="20"/>
                <w:szCs w:val="20"/>
              </w:rPr>
              <w:t xml:space="preserve">The high rates of PTSD in the TGD community suggests that there may be varying detection strategies for PTSD or over-pathologizing of stress and discrimination. </w:t>
            </w:r>
          </w:p>
        </w:tc>
      </w:tr>
      <w:tr w:rsidR="00A22B7D" w:rsidRPr="00CC5C2A" w14:paraId="03B57861" w14:textId="77777777" w:rsidTr="00A22B7D">
        <w:trPr>
          <w:trHeight w:val="511"/>
        </w:trPr>
        <w:tc>
          <w:tcPr>
            <w:tcW w:w="1955" w:type="dxa"/>
          </w:tcPr>
          <w:p w14:paraId="7CB2E698" w14:textId="77777777" w:rsidR="00A22B7D" w:rsidRPr="00CC5C2A" w:rsidRDefault="00A22B7D" w:rsidP="003F661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C5C2A">
              <w:rPr>
                <w:rFonts w:cs="Times New Roman"/>
                <w:b/>
                <w:bCs/>
                <w:sz w:val="20"/>
                <w:szCs w:val="20"/>
              </w:rPr>
              <w:t>Bipolar Disorder</w:t>
            </w:r>
          </w:p>
        </w:tc>
        <w:tc>
          <w:tcPr>
            <w:tcW w:w="2839" w:type="dxa"/>
          </w:tcPr>
          <w:p w14:paraId="0C22125D" w14:textId="369713D8" w:rsidR="00A22B7D" w:rsidRPr="00CC5C2A" w:rsidRDefault="00A22B7D" w:rsidP="003F661A">
            <w:pPr>
              <w:rPr>
                <w:rFonts w:cs="Times New Roman"/>
                <w:sz w:val="20"/>
                <w:szCs w:val="20"/>
              </w:rPr>
            </w:pPr>
            <w:r w:rsidRPr="00CC5C2A">
              <w:rPr>
                <w:rFonts w:cs="Times New Roman"/>
                <w:sz w:val="20"/>
                <w:szCs w:val="20"/>
              </w:rPr>
              <w:t>There is a paucity of data linking GAHT with induction of mania.</w:t>
            </w:r>
          </w:p>
        </w:tc>
        <w:tc>
          <w:tcPr>
            <w:tcW w:w="4561" w:type="dxa"/>
          </w:tcPr>
          <w:p w14:paraId="12272B51" w14:textId="77777777" w:rsidR="00A22B7D" w:rsidRPr="00CC5C2A" w:rsidRDefault="00A22B7D" w:rsidP="003F661A">
            <w:pPr>
              <w:rPr>
                <w:rFonts w:cs="Times New Roman"/>
                <w:sz w:val="20"/>
                <w:szCs w:val="20"/>
              </w:rPr>
            </w:pPr>
            <w:r w:rsidRPr="00CC5C2A">
              <w:rPr>
                <w:rFonts w:cs="Times New Roman"/>
                <w:sz w:val="20"/>
                <w:szCs w:val="20"/>
              </w:rPr>
              <w:t xml:space="preserve">Case reports linking exogenous testosterone with the induction of mania primarily involve cisgender men and supratherapeutic doses of testosterone. </w:t>
            </w:r>
          </w:p>
        </w:tc>
      </w:tr>
      <w:tr w:rsidR="00A22B7D" w:rsidRPr="00CC5C2A" w14:paraId="5D054477" w14:textId="77777777" w:rsidTr="00A22B7D">
        <w:trPr>
          <w:trHeight w:val="477"/>
        </w:trPr>
        <w:tc>
          <w:tcPr>
            <w:tcW w:w="1955" w:type="dxa"/>
          </w:tcPr>
          <w:p w14:paraId="63D7CC52" w14:textId="77777777" w:rsidR="00A22B7D" w:rsidRPr="00CC5C2A" w:rsidRDefault="00A22B7D" w:rsidP="003F661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C5C2A">
              <w:rPr>
                <w:rFonts w:cs="Times New Roman"/>
                <w:b/>
                <w:bCs/>
                <w:sz w:val="20"/>
                <w:szCs w:val="20"/>
              </w:rPr>
              <w:t>Psychosis</w:t>
            </w:r>
          </w:p>
        </w:tc>
        <w:tc>
          <w:tcPr>
            <w:tcW w:w="2839" w:type="dxa"/>
          </w:tcPr>
          <w:p w14:paraId="68C650A2" w14:textId="77777777" w:rsidR="00A22B7D" w:rsidRPr="00CC5C2A" w:rsidRDefault="00A22B7D" w:rsidP="003F661A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5C2A">
              <w:rPr>
                <w:rFonts w:cs="Times New Roman"/>
                <w:sz w:val="20"/>
                <w:szCs w:val="20"/>
              </w:rPr>
              <w:t>TGD individuals have an increased probability of being diagnosed with a primary psychotic disorder.</w:t>
            </w:r>
          </w:p>
        </w:tc>
        <w:tc>
          <w:tcPr>
            <w:tcW w:w="4561" w:type="dxa"/>
          </w:tcPr>
          <w:p w14:paraId="1B1057CE" w14:textId="77777777" w:rsidR="00A22B7D" w:rsidRPr="00CC5C2A" w:rsidRDefault="00A22B7D" w:rsidP="003F661A">
            <w:pPr>
              <w:rPr>
                <w:rFonts w:cs="Times New Roman"/>
                <w:sz w:val="20"/>
                <w:szCs w:val="20"/>
              </w:rPr>
            </w:pPr>
            <w:r w:rsidRPr="00CC5C2A">
              <w:rPr>
                <w:rFonts w:cs="Times New Roman"/>
                <w:sz w:val="20"/>
                <w:szCs w:val="20"/>
              </w:rPr>
              <w:t>Studies indicate potential diagnostic biases in psychotic illnesses amongst TGD individuals.</w:t>
            </w:r>
          </w:p>
        </w:tc>
      </w:tr>
      <w:tr w:rsidR="00A22B7D" w:rsidRPr="00CC5C2A" w14:paraId="483C6A28" w14:textId="77777777" w:rsidTr="00A22B7D">
        <w:trPr>
          <w:trHeight w:val="511"/>
        </w:trPr>
        <w:tc>
          <w:tcPr>
            <w:tcW w:w="1955" w:type="dxa"/>
          </w:tcPr>
          <w:p w14:paraId="2E205FC6" w14:textId="77777777" w:rsidR="00A22B7D" w:rsidRPr="00CC5C2A" w:rsidRDefault="00A22B7D" w:rsidP="003F661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C5C2A">
              <w:rPr>
                <w:rFonts w:cs="Times New Roman"/>
                <w:b/>
                <w:bCs/>
                <w:sz w:val="20"/>
                <w:szCs w:val="20"/>
              </w:rPr>
              <w:t>Gender Dysphoria</w:t>
            </w:r>
          </w:p>
        </w:tc>
        <w:tc>
          <w:tcPr>
            <w:tcW w:w="2839" w:type="dxa"/>
          </w:tcPr>
          <w:p w14:paraId="46BA6CD1" w14:textId="1E42A91F" w:rsidR="00A22B7D" w:rsidRPr="00CC5C2A" w:rsidRDefault="00A22B7D" w:rsidP="003F661A">
            <w:pPr>
              <w:rPr>
                <w:rFonts w:cs="Times New Roman"/>
                <w:sz w:val="20"/>
                <w:szCs w:val="20"/>
              </w:rPr>
            </w:pPr>
            <w:r w:rsidRPr="00CC5C2A">
              <w:rPr>
                <w:rFonts w:cs="Times New Roman"/>
                <w:sz w:val="20"/>
                <w:szCs w:val="20"/>
              </w:rPr>
              <w:t xml:space="preserve">GAHT has not been associated with worsening gender dysphoria. </w:t>
            </w:r>
          </w:p>
        </w:tc>
        <w:tc>
          <w:tcPr>
            <w:tcW w:w="4561" w:type="dxa"/>
          </w:tcPr>
          <w:p w14:paraId="78ED7207" w14:textId="77777777" w:rsidR="00A22B7D" w:rsidRPr="00CC5C2A" w:rsidRDefault="00A22B7D" w:rsidP="003F661A">
            <w:pPr>
              <w:rPr>
                <w:rFonts w:cs="Times New Roman"/>
                <w:sz w:val="20"/>
                <w:szCs w:val="20"/>
              </w:rPr>
            </w:pPr>
            <w:r w:rsidRPr="00CC5C2A">
              <w:rPr>
                <w:rFonts w:cs="Times New Roman"/>
                <w:sz w:val="20"/>
                <w:szCs w:val="20"/>
              </w:rPr>
              <w:t xml:space="preserve">Studies that demonstrate a negative relationship between GAHT and gender dysphoria suggest that any concurrent increase in dysphoria is related to sociolegal and social factors, rather than the use of GAHT itself. </w:t>
            </w:r>
          </w:p>
        </w:tc>
      </w:tr>
    </w:tbl>
    <w:p w14:paraId="2D60B350" w14:textId="77777777" w:rsidR="00A22B7D" w:rsidRPr="00CC5C2A" w:rsidRDefault="00A22B7D" w:rsidP="00A22B7D">
      <w:pPr>
        <w:rPr>
          <w:rFonts w:cs="Times New Roman"/>
          <w:i/>
          <w:iCs/>
          <w:sz w:val="20"/>
          <w:szCs w:val="20"/>
        </w:rPr>
      </w:pPr>
      <w:r w:rsidRPr="00CC5C2A">
        <w:rPr>
          <w:rFonts w:cs="Times New Roman"/>
          <w:i/>
          <w:iCs/>
          <w:sz w:val="20"/>
          <w:szCs w:val="20"/>
        </w:rPr>
        <w:t>Table 3. Psychiatric and Psychosocial Considerations: Key Points and Challenges</w:t>
      </w:r>
    </w:p>
    <w:p w14:paraId="560C78DA" w14:textId="1D40FD4E" w:rsidR="00A22B7D" w:rsidRPr="00CC5C2A" w:rsidRDefault="00A22B7D">
      <w:pPr>
        <w:rPr>
          <w:rFonts w:eastAsia="Times New Roman" w:cs="Times New Roman"/>
          <w:i/>
          <w:iCs/>
          <w:sz w:val="20"/>
          <w:szCs w:val="20"/>
        </w:rPr>
      </w:pPr>
    </w:p>
    <w:p w14:paraId="61426815" w14:textId="77777777" w:rsidR="00771F66" w:rsidRPr="00CC5C2A" w:rsidRDefault="00771F66">
      <w:pPr>
        <w:rPr>
          <w:rFonts w:eastAsia="Times New Roman" w:cs="Times New Roman"/>
          <w:i/>
          <w:iCs/>
          <w:sz w:val="20"/>
          <w:szCs w:val="20"/>
        </w:rPr>
      </w:pPr>
    </w:p>
    <w:tbl>
      <w:tblPr>
        <w:tblStyle w:val="TableGrid"/>
        <w:tblW w:w="9715" w:type="dxa"/>
        <w:tblInd w:w="-5" w:type="dxa"/>
        <w:tblLook w:val="04A0" w:firstRow="1" w:lastRow="0" w:firstColumn="1" w:lastColumn="0" w:noHBand="0" w:noVBand="1"/>
      </w:tblPr>
      <w:tblGrid>
        <w:gridCol w:w="1594"/>
        <w:gridCol w:w="1883"/>
        <w:gridCol w:w="2004"/>
        <w:gridCol w:w="2296"/>
        <w:gridCol w:w="1938"/>
      </w:tblGrid>
      <w:tr w:rsidR="003E1306" w:rsidRPr="00CC5C2A" w14:paraId="63FC35B2" w14:textId="77777777" w:rsidTr="00771F66">
        <w:trPr>
          <w:trHeight w:val="785"/>
        </w:trPr>
        <w:tc>
          <w:tcPr>
            <w:tcW w:w="1594" w:type="dxa"/>
          </w:tcPr>
          <w:p w14:paraId="62C2E730" w14:textId="77777777" w:rsidR="003E1306" w:rsidRPr="00CC5C2A" w:rsidRDefault="003E1306" w:rsidP="003F661A">
            <w:pPr>
              <w:spacing w:before="24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Topic</w:t>
            </w:r>
          </w:p>
        </w:tc>
        <w:tc>
          <w:tcPr>
            <w:tcW w:w="1883" w:type="dxa"/>
          </w:tcPr>
          <w:p w14:paraId="6A2C088F" w14:textId="77777777" w:rsidR="003E1306" w:rsidRPr="00CC5C2A" w:rsidRDefault="003E1306" w:rsidP="003F661A">
            <w:pPr>
              <w:spacing w:before="24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Significance</w:t>
            </w:r>
          </w:p>
        </w:tc>
        <w:tc>
          <w:tcPr>
            <w:tcW w:w="2004" w:type="dxa"/>
          </w:tcPr>
          <w:p w14:paraId="365133E9" w14:textId="77777777" w:rsidR="003E1306" w:rsidRPr="00CC5C2A" w:rsidRDefault="003E1306" w:rsidP="003F661A">
            <w:pPr>
              <w:spacing w:before="24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Sample Questions</w:t>
            </w:r>
          </w:p>
        </w:tc>
        <w:tc>
          <w:tcPr>
            <w:tcW w:w="2296" w:type="dxa"/>
          </w:tcPr>
          <w:p w14:paraId="644142F1" w14:textId="77777777" w:rsidR="003E1306" w:rsidRPr="00CC5C2A" w:rsidRDefault="003E1306" w:rsidP="003F661A">
            <w:pPr>
              <w:spacing w:before="24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Recommendations</w:t>
            </w:r>
          </w:p>
        </w:tc>
        <w:tc>
          <w:tcPr>
            <w:tcW w:w="1938" w:type="dxa"/>
          </w:tcPr>
          <w:p w14:paraId="36B1F476" w14:textId="77777777" w:rsidR="003E1306" w:rsidRPr="00CC5C2A" w:rsidRDefault="003E1306" w:rsidP="003F661A">
            <w:pPr>
              <w:spacing w:before="24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Comments</w:t>
            </w:r>
          </w:p>
        </w:tc>
      </w:tr>
      <w:tr w:rsidR="003E1306" w:rsidRPr="00CC5C2A" w14:paraId="67A9B9A3" w14:textId="77777777" w:rsidTr="00771F66">
        <w:trPr>
          <w:trHeight w:val="1964"/>
        </w:trPr>
        <w:tc>
          <w:tcPr>
            <w:tcW w:w="1594" w:type="dxa"/>
          </w:tcPr>
          <w:p w14:paraId="5DA4DDE8" w14:textId="77777777" w:rsidR="003E1306" w:rsidRPr="00CC5C2A" w:rsidRDefault="003E1306" w:rsidP="003F661A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883" w:type="dxa"/>
          </w:tcPr>
          <w:p w14:paraId="3BB695BF" w14:textId="4E01287F" w:rsidR="003E1306" w:rsidRPr="00CC5C2A" w:rsidRDefault="003E1306" w:rsidP="003F66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Style w:val="dttext"/>
                <w:rFonts w:cs="Times New Roman"/>
                <w:color w:val="000000" w:themeColor="text1"/>
                <w:sz w:val="20"/>
                <w:szCs w:val="20"/>
              </w:rPr>
              <w:t xml:space="preserve">Utilizing a patient’s chosen name is part of creating a gender-affirming care environment. </w:t>
            </w:r>
          </w:p>
        </w:tc>
        <w:tc>
          <w:tcPr>
            <w:tcW w:w="2004" w:type="dxa"/>
          </w:tcPr>
          <w:p w14:paraId="7B898874" w14:textId="53DCBCDA" w:rsidR="003E1306" w:rsidRPr="00CC5C2A" w:rsidRDefault="003E1306" w:rsidP="003F661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“How would you like me to address you today?”</w:t>
            </w:r>
          </w:p>
          <w:p w14:paraId="6644C206" w14:textId="77777777" w:rsidR="003E1306" w:rsidRPr="00CC5C2A" w:rsidRDefault="003E1306" w:rsidP="003F661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“What is your preferred name?”</w:t>
            </w:r>
          </w:p>
        </w:tc>
        <w:tc>
          <w:tcPr>
            <w:tcW w:w="2296" w:type="dxa"/>
          </w:tcPr>
          <w:p w14:paraId="4A5A7A1B" w14:textId="78D721D9" w:rsidR="003E1306" w:rsidRPr="00CC5C2A" w:rsidRDefault="003E1306" w:rsidP="003F661A">
            <w:pPr>
              <w:rPr>
                <w:rStyle w:val="dttext"/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>Policies that facilitate a more seamless social transition (</w:t>
            </w:r>
            <w:r w:rsidR="00BC0150" w:rsidRPr="00CC5C2A">
              <w:rPr>
                <w:rFonts w:cs="Times New Roman"/>
                <w:color w:val="000000" w:themeColor="text1"/>
                <w:sz w:val="20"/>
                <w:szCs w:val="20"/>
              </w:rPr>
              <w:t>i.e.</w:t>
            </w: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 xml:space="preserve">: utilization of a chosen name rather than a legal name) can improve the safety and emotional well-being of TGD patients. </w:t>
            </w:r>
          </w:p>
        </w:tc>
        <w:tc>
          <w:tcPr>
            <w:tcW w:w="1938" w:type="dxa"/>
          </w:tcPr>
          <w:p w14:paraId="232F4654" w14:textId="5645C771" w:rsidR="003E1306" w:rsidRPr="00CC5C2A" w:rsidRDefault="003E1306" w:rsidP="003F66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Style w:val="dttext"/>
                <w:rFonts w:cs="Times New Roman"/>
                <w:color w:val="000000" w:themeColor="text1"/>
                <w:sz w:val="20"/>
                <w:szCs w:val="20"/>
              </w:rPr>
              <w:t xml:space="preserve">A “deadname” is the name that a TGD or gender-non-binary individual was given at birth but no longer uses. </w:t>
            </w:r>
          </w:p>
        </w:tc>
      </w:tr>
      <w:tr w:rsidR="003E1306" w:rsidRPr="00CC5C2A" w14:paraId="18EA9E85" w14:textId="77777777" w:rsidTr="00771F66">
        <w:trPr>
          <w:trHeight w:val="1043"/>
        </w:trPr>
        <w:tc>
          <w:tcPr>
            <w:tcW w:w="1594" w:type="dxa"/>
          </w:tcPr>
          <w:p w14:paraId="75439A19" w14:textId="77777777" w:rsidR="003E1306" w:rsidRPr="00CC5C2A" w:rsidRDefault="003E1306" w:rsidP="003F661A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Pronouns </w:t>
            </w:r>
          </w:p>
        </w:tc>
        <w:tc>
          <w:tcPr>
            <w:tcW w:w="1883" w:type="dxa"/>
          </w:tcPr>
          <w:p w14:paraId="4B252819" w14:textId="71F1FDDB" w:rsidR="003E1306" w:rsidRPr="00CC5C2A" w:rsidRDefault="003E1306" w:rsidP="003F66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 xml:space="preserve">Ensuring the use of preferred pronouns is part of creating a gender-affirming care environment. </w:t>
            </w:r>
          </w:p>
        </w:tc>
        <w:tc>
          <w:tcPr>
            <w:tcW w:w="2004" w:type="dxa"/>
          </w:tcPr>
          <w:p w14:paraId="6B80190D" w14:textId="77777777" w:rsidR="003E1306" w:rsidRPr="00CC5C2A" w:rsidRDefault="003E1306" w:rsidP="003F661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“To promote a more inclusive environment for our patients, we like to ask everyone their pronouns. What pronouns do you use?”</w:t>
            </w:r>
          </w:p>
        </w:tc>
        <w:tc>
          <w:tcPr>
            <w:tcW w:w="2296" w:type="dxa"/>
          </w:tcPr>
          <w:p w14:paraId="46EF33BA" w14:textId="7E5EC5C0" w:rsidR="003E1306" w:rsidRPr="00CC5C2A" w:rsidRDefault="003E1306" w:rsidP="003F66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 xml:space="preserve">If pronouns are not known or not specifically indicated, consider utilizing gender-neutral pronouns like they/them. </w:t>
            </w:r>
          </w:p>
        </w:tc>
        <w:tc>
          <w:tcPr>
            <w:tcW w:w="1938" w:type="dxa"/>
          </w:tcPr>
          <w:p w14:paraId="5AFC3784" w14:textId="65FD10A2" w:rsidR="003E1306" w:rsidRPr="00CC5C2A" w:rsidRDefault="003E1306" w:rsidP="003F66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>Like deadnaming, utilization of assumed pronouns may be interpreted as an effort to deny or invalidate an individual’s gender identity.</w:t>
            </w:r>
          </w:p>
        </w:tc>
      </w:tr>
      <w:tr w:rsidR="003E1306" w:rsidRPr="00CC5C2A" w14:paraId="39498207" w14:textId="77777777" w:rsidTr="00771F66">
        <w:trPr>
          <w:trHeight w:val="1583"/>
        </w:trPr>
        <w:tc>
          <w:tcPr>
            <w:tcW w:w="1594" w:type="dxa"/>
          </w:tcPr>
          <w:p w14:paraId="7BD00671" w14:textId="77777777" w:rsidR="003E1306" w:rsidRPr="00CC5C2A" w:rsidRDefault="003E1306" w:rsidP="003F661A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Gender Identity</w:t>
            </w:r>
          </w:p>
        </w:tc>
        <w:tc>
          <w:tcPr>
            <w:tcW w:w="1883" w:type="dxa"/>
          </w:tcPr>
          <w:p w14:paraId="76940ABE" w14:textId="77777777" w:rsidR="003E1306" w:rsidRPr="00CC5C2A" w:rsidRDefault="003E1306" w:rsidP="003F661A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CC5C2A">
              <w:rPr>
                <w:color w:val="000000" w:themeColor="text1"/>
                <w:sz w:val="20"/>
                <w:szCs w:val="20"/>
              </w:rPr>
              <w:t xml:space="preserve">Gender identity should not be assumed. </w:t>
            </w:r>
          </w:p>
        </w:tc>
        <w:tc>
          <w:tcPr>
            <w:tcW w:w="2004" w:type="dxa"/>
          </w:tcPr>
          <w:p w14:paraId="7C4756FD" w14:textId="22094B01" w:rsidR="003E1306" w:rsidRPr="00CC5C2A" w:rsidRDefault="003E1306" w:rsidP="003F661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“How would you describe your gender identity?”</w:t>
            </w:r>
          </w:p>
          <w:p w14:paraId="57E113A8" w14:textId="77777777" w:rsidR="003E1306" w:rsidRPr="00CC5C2A" w:rsidRDefault="003E1306" w:rsidP="003F661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“What is your gender identity?”</w:t>
            </w:r>
          </w:p>
        </w:tc>
        <w:tc>
          <w:tcPr>
            <w:tcW w:w="2296" w:type="dxa"/>
          </w:tcPr>
          <w:p w14:paraId="75CC483B" w14:textId="086EE9BA" w:rsidR="003E1306" w:rsidRPr="00CC5C2A" w:rsidRDefault="003E1306" w:rsidP="003F66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 xml:space="preserve">Utilize open-ended questions when asking about gender identity. </w:t>
            </w:r>
          </w:p>
          <w:p w14:paraId="38FBF8BE" w14:textId="77777777" w:rsidR="003E1306" w:rsidRPr="00CC5C2A" w:rsidRDefault="003E1306" w:rsidP="003F66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>Do not assume a binary gender identity (man/woman).</w:t>
            </w:r>
          </w:p>
        </w:tc>
        <w:tc>
          <w:tcPr>
            <w:tcW w:w="1938" w:type="dxa"/>
          </w:tcPr>
          <w:p w14:paraId="69032905" w14:textId="598F354F" w:rsidR="003E1306" w:rsidRPr="00CC5C2A" w:rsidRDefault="003E1306" w:rsidP="003F66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 xml:space="preserve">Because gender identity refers to </w:t>
            </w:r>
            <w:proofErr w:type="spellStart"/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>ones</w:t>
            </w:r>
            <w:proofErr w:type="spellEnd"/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 xml:space="preserve"> subjective and internal sense of self, it may not be outwardly visible to others.</w:t>
            </w:r>
          </w:p>
        </w:tc>
      </w:tr>
      <w:tr w:rsidR="003E1306" w:rsidRPr="00CC5C2A" w14:paraId="32DA7CE4" w14:textId="77777777" w:rsidTr="00771F66">
        <w:trPr>
          <w:trHeight w:val="980"/>
        </w:trPr>
        <w:tc>
          <w:tcPr>
            <w:tcW w:w="1594" w:type="dxa"/>
          </w:tcPr>
          <w:p w14:paraId="540E1EE2" w14:textId="77777777" w:rsidR="003E1306" w:rsidRPr="00CC5C2A" w:rsidRDefault="003E1306" w:rsidP="003F661A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Discrimination</w:t>
            </w:r>
          </w:p>
        </w:tc>
        <w:tc>
          <w:tcPr>
            <w:tcW w:w="1883" w:type="dxa"/>
          </w:tcPr>
          <w:p w14:paraId="0A902976" w14:textId="2DFFE45A" w:rsidR="003E1306" w:rsidRPr="00370B72" w:rsidRDefault="003E1306" w:rsidP="003F661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 xml:space="preserve">Though discrimination may be experienced as traumatic, </w:t>
            </w:r>
            <w:r w:rsidR="00370B72">
              <w:rPr>
                <w:rFonts w:cs="Times New Roman"/>
                <w:color w:val="000000" w:themeColor="text1"/>
                <w:sz w:val="20"/>
                <w:szCs w:val="20"/>
              </w:rPr>
              <w:t xml:space="preserve">it </w:t>
            </w: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 xml:space="preserve">is important to distinguish </w:t>
            </w:r>
            <w:r w:rsidRPr="00CC5C2A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trauma </w:t>
            </w: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>from</w:t>
            </w:r>
            <w:r w:rsidRPr="00CC5C2A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 discrimination. </w:t>
            </w:r>
          </w:p>
        </w:tc>
        <w:tc>
          <w:tcPr>
            <w:tcW w:w="2004" w:type="dxa"/>
          </w:tcPr>
          <w:p w14:paraId="4AD6AD9A" w14:textId="4B7FFF38" w:rsidR="003E1306" w:rsidRPr="00CC5C2A" w:rsidRDefault="003E1306" w:rsidP="003F661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“Many transgender patients report a history of trauma. Have you ever experienced or witnessed a traumatic event?</w:t>
            </w:r>
          </w:p>
          <w:p w14:paraId="20DD90FC" w14:textId="4312E197" w:rsidR="003E1306" w:rsidRPr="00CC5C2A" w:rsidRDefault="003E1306" w:rsidP="003F661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“Have you ever experienced bias or discrimination based on your gender identity?”</w:t>
            </w:r>
          </w:p>
        </w:tc>
        <w:tc>
          <w:tcPr>
            <w:tcW w:w="2296" w:type="dxa"/>
          </w:tcPr>
          <w:p w14:paraId="4EC85B05" w14:textId="729A462A" w:rsidR="003E1306" w:rsidRPr="00CC5C2A" w:rsidRDefault="003E1306" w:rsidP="003F66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>For patients who report a diagnosis of PTSD, consider utilizing objective measures (</w:t>
            </w:r>
            <w:r w:rsidR="00D64D57" w:rsidRPr="00CC5C2A">
              <w:rPr>
                <w:rFonts w:cs="Times New Roman"/>
                <w:color w:val="000000" w:themeColor="text1"/>
                <w:sz w:val="20"/>
                <w:szCs w:val="20"/>
              </w:rPr>
              <w:t>e.g.,</w:t>
            </w: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 xml:space="preserve"> PCL5) or a structured clinical interview to further assess.</w:t>
            </w:r>
          </w:p>
          <w:p w14:paraId="1EC10CEA" w14:textId="38C75FB7" w:rsidR="003E1306" w:rsidRPr="00CC5C2A" w:rsidRDefault="003E1306" w:rsidP="003F66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>Similarly, an objective tool (</w:t>
            </w:r>
            <w:r w:rsidR="00D64D57" w:rsidRPr="00CC5C2A">
              <w:rPr>
                <w:rFonts w:cs="Times New Roman"/>
                <w:color w:val="000000" w:themeColor="text1"/>
                <w:sz w:val="20"/>
                <w:szCs w:val="20"/>
              </w:rPr>
              <w:t>i.e.</w:t>
            </w:r>
            <w:r w:rsidR="00D64D57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 xml:space="preserve"> The Trans Discrimination Scale or The Experience of Transgender Discrimination Scale), may be helpful in screening for experiences with anti-TGD bias and discrimination.</w:t>
            </w:r>
          </w:p>
        </w:tc>
        <w:tc>
          <w:tcPr>
            <w:tcW w:w="1938" w:type="dxa"/>
          </w:tcPr>
          <w:p w14:paraId="6F19262D" w14:textId="77777777" w:rsidR="003E1306" w:rsidRPr="00CC5C2A" w:rsidRDefault="003E1306" w:rsidP="003F66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>Conflation of trauma and discrimination can lead to over-pathologizing of responses to stress.</w:t>
            </w:r>
          </w:p>
        </w:tc>
      </w:tr>
      <w:tr w:rsidR="003E1306" w:rsidRPr="00CC5C2A" w14:paraId="56AD2D48" w14:textId="77777777" w:rsidTr="00771F66">
        <w:trPr>
          <w:trHeight w:val="109"/>
        </w:trPr>
        <w:tc>
          <w:tcPr>
            <w:tcW w:w="1594" w:type="dxa"/>
          </w:tcPr>
          <w:p w14:paraId="02F60A14" w14:textId="77777777" w:rsidR="003E1306" w:rsidRPr="00CC5C2A" w:rsidRDefault="003E1306" w:rsidP="003F661A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Menstruation</w:t>
            </w:r>
          </w:p>
        </w:tc>
        <w:tc>
          <w:tcPr>
            <w:tcW w:w="1883" w:type="dxa"/>
            <w:shd w:val="clear" w:color="auto" w:fill="auto"/>
          </w:tcPr>
          <w:p w14:paraId="33ED4D2D" w14:textId="77777777" w:rsidR="003E1306" w:rsidRPr="00CC5C2A" w:rsidRDefault="003E1306" w:rsidP="003F66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>While experiences and feelings about menstruation amongst TGD-</w:t>
            </w: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AFAB individuals are diverse, some may experience an exacerbation of gender dysphoria, or an incongruence between gender identity and perception of their bodies during menses.</w:t>
            </w:r>
          </w:p>
        </w:tc>
        <w:tc>
          <w:tcPr>
            <w:tcW w:w="2004" w:type="dxa"/>
          </w:tcPr>
          <w:p w14:paraId="40B6AC1A" w14:textId="3E90134A" w:rsidR="003E1306" w:rsidRPr="00CC5C2A" w:rsidRDefault="003E1306" w:rsidP="003F661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Are you still menstruating?</w:t>
            </w:r>
          </w:p>
          <w:p w14:paraId="69EAF3FA" w14:textId="11F351A6" w:rsidR="003E1306" w:rsidRPr="00CC5C2A" w:rsidRDefault="003E1306" w:rsidP="003F661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How do you feel when this happens?</w:t>
            </w:r>
          </w:p>
          <w:p w14:paraId="5C01C61C" w14:textId="3C5E8A7A" w:rsidR="003E1306" w:rsidRPr="00CC5C2A" w:rsidRDefault="003E1306" w:rsidP="003F661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How has testosterone impacted your menstrual cycle?</w:t>
            </w:r>
          </w:p>
        </w:tc>
        <w:tc>
          <w:tcPr>
            <w:tcW w:w="2296" w:type="dxa"/>
          </w:tcPr>
          <w:p w14:paraId="4B1A05A0" w14:textId="28A0FCE7" w:rsidR="003E1306" w:rsidRPr="00CC5C2A" w:rsidRDefault="003E1306" w:rsidP="003F66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Options for </w:t>
            </w:r>
            <w:r w:rsidR="00771F66" w:rsidRPr="00CC5C2A">
              <w:rPr>
                <w:rFonts w:cs="Times New Roman"/>
                <w:color w:val="000000" w:themeColor="text1"/>
                <w:sz w:val="20"/>
                <w:szCs w:val="20"/>
              </w:rPr>
              <w:t>menstrual</w:t>
            </w: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 xml:space="preserve"> suppression should be individualized, developmentally </w:t>
            </w: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appropriate, and consistent with available treatment guidelines. </w:t>
            </w:r>
          </w:p>
        </w:tc>
        <w:tc>
          <w:tcPr>
            <w:tcW w:w="1938" w:type="dxa"/>
          </w:tcPr>
          <w:p w14:paraId="4056A2B7" w14:textId="31F5E0EF" w:rsidR="003E1306" w:rsidRPr="00CC5C2A" w:rsidRDefault="003E1306" w:rsidP="003F661A">
            <w:pPr>
              <w:rPr>
                <w:rFonts w:cs="Times New Roman"/>
                <w:color w:val="1F1F1F"/>
                <w:sz w:val="20"/>
                <w:szCs w:val="20"/>
                <w:shd w:val="clear" w:color="auto" w:fill="E6E6E6"/>
              </w:rPr>
            </w:pP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Engaging TGD-AFB individuals in conversations about menstrual </w:t>
            </w: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suppression can also provide a forum to explore readiness for gender-</w:t>
            </w:r>
            <w:r w:rsidR="00370B72">
              <w:rPr>
                <w:rFonts w:cs="Times New Roman"/>
                <w:color w:val="000000" w:themeColor="text1"/>
                <w:sz w:val="20"/>
                <w:szCs w:val="20"/>
              </w:rPr>
              <w:t>affirming</w:t>
            </w: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 xml:space="preserve"> treatment and any associated mental health needs.</w:t>
            </w:r>
          </w:p>
        </w:tc>
      </w:tr>
      <w:tr w:rsidR="003E1306" w:rsidRPr="00CC5C2A" w14:paraId="3AC5162B" w14:textId="77777777" w:rsidTr="00771F66">
        <w:trPr>
          <w:trHeight w:val="109"/>
        </w:trPr>
        <w:tc>
          <w:tcPr>
            <w:tcW w:w="1594" w:type="dxa"/>
          </w:tcPr>
          <w:p w14:paraId="4CAF0516" w14:textId="77777777" w:rsidR="003E1306" w:rsidRPr="00CC5C2A" w:rsidRDefault="003E1306" w:rsidP="003F661A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Pelvic Pain</w:t>
            </w:r>
          </w:p>
        </w:tc>
        <w:tc>
          <w:tcPr>
            <w:tcW w:w="1883" w:type="dxa"/>
          </w:tcPr>
          <w:p w14:paraId="71630657" w14:textId="4CCC56F8" w:rsidR="003E1306" w:rsidRPr="00CC5C2A" w:rsidRDefault="003E1306" w:rsidP="003F66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>Higher rates o</w:t>
            </w:r>
            <w:r w:rsidR="00370B72">
              <w:rPr>
                <w:rFonts w:cs="Times New Roman"/>
                <w:color w:val="000000" w:themeColor="text1"/>
                <w:sz w:val="20"/>
                <w:szCs w:val="20"/>
              </w:rPr>
              <w:t>f</w:t>
            </w: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 xml:space="preserve"> pelvic pain have been reported in adult trans cohorts.</w:t>
            </w:r>
          </w:p>
        </w:tc>
        <w:tc>
          <w:tcPr>
            <w:tcW w:w="2004" w:type="dxa"/>
          </w:tcPr>
          <w:p w14:paraId="699E3A8D" w14:textId="64C1709C" w:rsidR="003E1306" w:rsidRPr="00CC5C2A" w:rsidRDefault="003E1306" w:rsidP="003F661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Do you experience any pelvic pain? </w:t>
            </w:r>
          </w:p>
          <w:p w14:paraId="0AE6F4BD" w14:textId="3346C0C8" w:rsidR="003E1306" w:rsidRPr="00CC5C2A" w:rsidRDefault="003E1306" w:rsidP="003F661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Is there a correlation between your pelvic pain and your menstrual cycle? What about with orgasm? </w:t>
            </w:r>
          </w:p>
        </w:tc>
        <w:tc>
          <w:tcPr>
            <w:tcW w:w="2296" w:type="dxa"/>
          </w:tcPr>
          <w:p w14:paraId="2F67BA98" w14:textId="230EEED4" w:rsidR="003E1306" w:rsidRPr="00CC5C2A" w:rsidRDefault="003E1306" w:rsidP="003F66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>Providers should inquire about pelvic pain, especially in those patients on GAHT, with a personal history of PTSD, experiences of pain with orgasm, and/or continued menstruation.</w:t>
            </w:r>
          </w:p>
          <w:p w14:paraId="396E153D" w14:textId="77777777" w:rsidR="003E1306" w:rsidRPr="00CC5C2A" w:rsidRDefault="003E1306" w:rsidP="003F66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>Pelvic pain may be more common in patients with a history of PTSD.</w:t>
            </w:r>
          </w:p>
        </w:tc>
        <w:tc>
          <w:tcPr>
            <w:tcW w:w="1938" w:type="dxa"/>
          </w:tcPr>
          <w:p w14:paraId="4F318B98" w14:textId="456283B7" w:rsidR="003E1306" w:rsidRPr="00CC5C2A" w:rsidRDefault="003E1306" w:rsidP="003F66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TGD-AFAB individuals may seek a hysterectomy in response to pelvic pain</w:t>
            </w:r>
            <w:r w:rsidR="00D64D5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3E1306" w:rsidRPr="00CC5C2A" w14:paraId="3B710587" w14:textId="77777777" w:rsidTr="00771F66">
        <w:trPr>
          <w:trHeight w:val="1043"/>
        </w:trPr>
        <w:tc>
          <w:tcPr>
            <w:tcW w:w="1594" w:type="dxa"/>
          </w:tcPr>
          <w:p w14:paraId="35F04231" w14:textId="77777777" w:rsidR="003E1306" w:rsidRPr="00CC5C2A" w:rsidRDefault="003E1306" w:rsidP="003F661A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Fertility preservation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A163920" w14:textId="0EECF384" w:rsidR="003E1306" w:rsidRPr="00CC5C2A" w:rsidRDefault="003E1306" w:rsidP="003F66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>Given the majority of TGD individuals express parental desire, it is vital discuss family planning before initiating testosterone, a known teratogen.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719A773C" w14:textId="77777777" w:rsidR="003E1306" w:rsidRPr="00CC5C2A" w:rsidRDefault="003E1306" w:rsidP="003F661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Have you considered having biological children in the future?</w:t>
            </w: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4DDD273E" w14:textId="77777777" w:rsidR="003E1306" w:rsidRPr="00CC5C2A" w:rsidRDefault="003E1306" w:rsidP="003F66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>Review various fertility preservation options, as well as insurance coverage and cost.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14:paraId="38374579" w14:textId="77777777" w:rsidR="003E1306" w:rsidRPr="00CC5C2A" w:rsidRDefault="003E1306" w:rsidP="003F66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>Ensuring patients are offered fertility preservation options creates an inclusive space for TGD people to consider family planning.</w:t>
            </w:r>
          </w:p>
        </w:tc>
      </w:tr>
      <w:tr w:rsidR="003E1306" w:rsidRPr="00CC5C2A" w14:paraId="66DD4E5E" w14:textId="77777777" w:rsidTr="00771F66">
        <w:trPr>
          <w:trHeight w:val="1043"/>
        </w:trPr>
        <w:tc>
          <w:tcPr>
            <w:tcW w:w="1594" w:type="dxa"/>
          </w:tcPr>
          <w:p w14:paraId="79EDEC53" w14:textId="77777777" w:rsidR="003E1306" w:rsidRPr="00CC5C2A" w:rsidRDefault="003E1306" w:rsidP="003F661A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Contraception</w:t>
            </w:r>
          </w:p>
        </w:tc>
        <w:tc>
          <w:tcPr>
            <w:tcW w:w="1883" w:type="dxa"/>
            <w:shd w:val="clear" w:color="auto" w:fill="auto"/>
          </w:tcPr>
          <w:p w14:paraId="40543A74" w14:textId="4B9FEA29" w:rsidR="003E1306" w:rsidRPr="00CC5C2A" w:rsidRDefault="003E1306" w:rsidP="003F661A">
            <w:pPr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>The irregular nature of ovulation while on GAHT makes pregnancy harder to anticipate, increasing the risk for unplanned pregnancies amongst TGD-AFAB individuals.</w:t>
            </w:r>
          </w:p>
        </w:tc>
        <w:tc>
          <w:tcPr>
            <w:tcW w:w="2004" w:type="dxa"/>
            <w:shd w:val="clear" w:color="auto" w:fill="auto"/>
          </w:tcPr>
          <w:p w14:paraId="7A5343F0" w14:textId="4800E0EB" w:rsidR="003E1306" w:rsidRPr="00CC5C2A" w:rsidRDefault="003E1306" w:rsidP="003F661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“What methods are you currently using for contraception or pregnancy</w:t>
            </w:r>
            <w:r w:rsidR="00370B72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C5C2A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prevention?”</w:t>
            </w:r>
          </w:p>
          <w:p w14:paraId="6762392F" w14:textId="77777777" w:rsidR="003E1306" w:rsidRPr="00CC5C2A" w:rsidRDefault="003E1306" w:rsidP="003F661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14:paraId="3E38A89A" w14:textId="77777777" w:rsidR="003E1306" w:rsidRPr="00CC5C2A" w:rsidRDefault="003E1306" w:rsidP="003F661A">
            <w:pP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4F663A2B" w14:textId="486D4578" w:rsidR="003E1306" w:rsidRPr="00CC5C2A" w:rsidRDefault="003E1306" w:rsidP="003F66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>Do not assume a patients sexual identity or sexual practices.</w:t>
            </w:r>
          </w:p>
          <w:p w14:paraId="1FD274EA" w14:textId="77777777" w:rsidR="003E1306" w:rsidRPr="00CC5C2A" w:rsidRDefault="003E1306" w:rsidP="003F661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C5C2A">
              <w:rPr>
                <w:rFonts w:cs="Times New Roman"/>
                <w:color w:val="000000" w:themeColor="text1"/>
                <w:sz w:val="20"/>
                <w:szCs w:val="20"/>
              </w:rPr>
              <w:t>Providers should review various contraception options that are available to TGD-AFAB individuals.</w:t>
            </w:r>
          </w:p>
        </w:tc>
        <w:tc>
          <w:tcPr>
            <w:tcW w:w="1938" w:type="dxa"/>
            <w:shd w:val="clear" w:color="auto" w:fill="auto"/>
          </w:tcPr>
          <w:p w14:paraId="7E21844C" w14:textId="50E6FC63" w:rsidR="003E1306" w:rsidRPr="00CC5C2A" w:rsidRDefault="003E1306" w:rsidP="003F661A">
            <w:pPr>
              <w:rPr>
                <w:rFonts w:eastAsia="Times New Roman" w:cs="Times New Roman"/>
                <w:sz w:val="20"/>
                <w:szCs w:val="20"/>
              </w:rPr>
            </w:pPr>
            <w:r w:rsidRPr="00CC5C2A">
              <w:rPr>
                <w:rFonts w:eastAsia="Times New Roman" w:cs="Times New Roman"/>
                <w:sz w:val="20"/>
                <w:szCs w:val="20"/>
              </w:rPr>
              <w:t xml:space="preserve">A common misconception amongst TGD-AFAB patients and providers is that testosterone provides reliable contraception. </w:t>
            </w:r>
          </w:p>
        </w:tc>
      </w:tr>
    </w:tbl>
    <w:p w14:paraId="1F6E1A5F" w14:textId="7A8FBFC1" w:rsidR="003E1306" w:rsidRPr="00A52F07" w:rsidRDefault="00A22B7D" w:rsidP="006821BE">
      <w:pPr>
        <w:rPr>
          <w:rFonts w:cs="Times New Roman"/>
          <w:i/>
          <w:iCs/>
          <w:sz w:val="20"/>
          <w:szCs w:val="20"/>
        </w:rPr>
      </w:pPr>
      <w:r w:rsidRPr="00A52F07">
        <w:rPr>
          <w:rFonts w:cs="Times New Roman"/>
          <w:i/>
          <w:iCs/>
          <w:sz w:val="20"/>
          <w:szCs w:val="20"/>
        </w:rPr>
        <w:t xml:space="preserve">Table 4. The Clinical Evaluation of Transgender and </w:t>
      </w:r>
      <w:r w:rsidR="00771F66" w:rsidRPr="00A52F07">
        <w:rPr>
          <w:rFonts w:cs="Times New Roman"/>
          <w:i/>
          <w:iCs/>
          <w:sz w:val="20"/>
          <w:szCs w:val="20"/>
        </w:rPr>
        <w:t>Gender Diverse</w:t>
      </w:r>
      <w:r w:rsidRPr="00A52F07">
        <w:rPr>
          <w:rFonts w:cs="Times New Roman"/>
          <w:i/>
          <w:iCs/>
          <w:sz w:val="20"/>
          <w:szCs w:val="20"/>
        </w:rPr>
        <w:t xml:space="preserve"> </w:t>
      </w:r>
      <w:r w:rsidR="00771F66" w:rsidRPr="00A52F07">
        <w:rPr>
          <w:rFonts w:cs="Times New Roman"/>
          <w:i/>
          <w:iCs/>
          <w:sz w:val="20"/>
          <w:szCs w:val="20"/>
        </w:rPr>
        <w:t>Menstruators</w:t>
      </w:r>
      <w:r w:rsidRPr="00A52F07">
        <w:rPr>
          <w:rFonts w:cs="Times New Roman"/>
          <w:i/>
          <w:iCs/>
          <w:sz w:val="20"/>
          <w:szCs w:val="20"/>
        </w:rPr>
        <w:t xml:space="preserve">: Relevant Considerations &amp; Recommendations </w:t>
      </w:r>
      <w:r w:rsidR="0072441D" w:rsidRPr="00A52F07">
        <w:rPr>
          <w:rFonts w:cs="Times New Roman"/>
          <w:i/>
          <w:iCs/>
          <w:sz w:val="20"/>
          <w:szCs w:val="20"/>
        </w:rPr>
        <w:t>for</w:t>
      </w:r>
      <w:r w:rsidRPr="00A52F07">
        <w:rPr>
          <w:rFonts w:cs="Times New Roman"/>
          <w:i/>
          <w:iCs/>
          <w:sz w:val="20"/>
          <w:szCs w:val="20"/>
        </w:rPr>
        <w:t xml:space="preserve"> Patient Assessment</w:t>
      </w:r>
    </w:p>
    <w:sectPr w:rsidR="003E1306" w:rsidRPr="00A52F0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B6C04"/>
    <w:multiLevelType w:val="hybridMultilevel"/>
    <w:tmpl w:val="2F5E6F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8B29B6"/>
    <w:multiLevelType w:val="multilevel"/>
    <w:tmpl w:val="E8CA1F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9B6E40"/>
    <w:multiLevelType w:val="multilevel"/>
    <w:tmpl w:val="A45E4C02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CAD2D1F"/>
    <w:multiLevelType w:val="multilevel"/>
    <w:tmpl w:val="92286D4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2"/>
  </w:num>
  <w:num w:numId="2">
    <w:abstractNumId w:val="1"/>
    <w:lvlOverride w:ilvl="0">
      <w:lvl w:ilvl="0"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>
    <w:abstractNumId w:val="1"/>
  </w:num>
  <w:num w:numId="4">
    <w:abstractNumId w:val="1"/>
    <w:lvlOverride w:ilvl="0">
      <w:lvl w:ilvl="0"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lvl w:ilvl="1"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26"/>
    <w:rsid w:val="00265BCD"/>
    <w:rsid w:val="00370B72"/>
    <w:rsid w:val="003B0768"/>
    <w:rsid w:val="003E1306"/>
    <w:rsid w:val="00591FA4"/>
    <w:rsid w:val="0066460B"/>
    <w:rsid w:val="006821BE"/>
    <w:rsid w:val="0072441D"/>
    <w:rsid w:val="00771F66"/>
    <w:rsid w:val="00787283"/>
    <w:rsid w:val="007A5649"/>
    <w:rsid w:val="009F66C8"/>
    <w:rsid w:val="00A22B7D"/>
    <w:rsid w:val="00A52F07"/>
    <w:rsid w:val="00BC0150"/>
    <w:rsid w:val="00C630F1"/>
    <w:rsid w:val="00CC5C2A"/>
    <w:rsid w:val="00D64D57"/>
    <w:rsid w:val="00E75E26"/>
    <w:rsid w:val="00FB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9D8B7"/>
  <w15:chartTrackingRefBased/>
  <w15:docId w15:val="{96FF9F5B-6857-C54B-AAF9-06A22C56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E26"/>
    <w:pPr>
      <w:spacing w:before="120" w:after="240"/>
    </w:pPr>
    <w:rPr>
      <w:rFonts w:ascii="Times New Roman" w:hAnsi="Times New Roman"/>
      <w:szCs w:val="22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E75E26"/>
    <w:pPr>
      <w:numPr>
        <w:numId w:val="2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E75E26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E75E26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E75E26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E75E26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75E26"/>
    <w:rPr>
      <w:rFonts w:ascii="Times New Roman" w:eastAsia="Cambria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2"/>
    <w:rsid w:val="00E75E26"/>
    <w:rPr>
      <w:rFonts w:ascii="Times New Roman" w:eastAsia="Cambria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2"/>
    <w:rsid w:val="00E75E26"/>
    <w:rPr>
      <w:rFonts w:ascii="Times New Roman" w:eastAsiaTheme="majorEastAsia" w:hAnsi="Times New Roman" w:cstheme="majorBidi"/>
      <w:b/>
    </w:rPr>
  </w:style>
  <w:style w:type="character" w:customStyle="1" w:styleId="Heading4Char">
    <w:name w:val="Heading 4 Char"/>
    <w:basedOn w:val="DefaultParagraphFont"/>
    <w:link w:val="Heading4"/>
    <w:uiPriority w:val="2"/>
    <w:rsid w:val="00E75E26"/>
    <w:rPr>
      <w:rFonts w:ascii="Times New Roman" w:eastAsiaTheme="majorEastAsia" w:hAnsi="Times New Roman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2"/>
    <w:rsid w:val="00E75E26"/>
    <w:rPr>
      <w:rFonts w:ascii="Times New Roman" w:eastAsiaTheme="majorEastAsia" w:hAnsi="Times New Roman" w:cstheme="majorBidi"/>
      <w:b/>
      <w:iCs/>
    </w:rPr>
  </w:style>
  <w:style w:type="paragraph" w:styleId="ListParagraph">
    <w:name w:val="List Paragraph"/>
    <w:basedOn w:val="Normal"/>
    <w:uiPriority w:val="3"/>
    <w:qFormat/>
    <w:rsid w:val="00E75E26"/>
    <w:pPr>
      <w:numPr>
        <w:numId w:val="1"/>
      </w:numPr>
      <w:ind w:left="1434" w:hanging="357"/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E75E26"/>
    <w:pPr>
      <w:numPr>
        <w:numId w:val="3"/>
      </w:numPr>
    </w:pPr>
  </w:style>
  <w:style w:type="table" w:styleId="TableGrid">
    <w:name w:val="Table Grid"/>
    <w:basedOn w:val="TableNormal"/>
    <w:uiPriority w:val="39"/>
    <w:rsid w:val="003E1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ttext">
    <w:name w:val="dttext"/>
    <w:basedOn w:val="DefaultParagraphFont"/>
    <w:rsid w:val="003E1306"/>
  </w:style>
  <w:style w:type="paragraph" w:styleId="NormalWeb">
    <w:name w:val="Normal (Web)"/>
    <w:basedOn w:val="Normal"/>
    <w:uiPriority w:val="99"/>
    <w:unhideWhenUsed/>
    <w:rsid w:val="003E130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22B7D"/>
    <w:pPr>
      <w:tabs>
        <w:tab w:val="center" w:pos="4680"/>
        <w:tab w:val="right" w:pos="9360"/>
      </w:tabs>
      <w:spacing w:before="0" w:after="0"/>
    </w:pPr>
    <w:rPr>
      <w:rFonts w:asciiTheme="minorHAnsi" w:hAnsiTheme="minorHAns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22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Arshed, Arslaan</dc:creator>
  <cp:keywords/>
  <dc:description/>
  <cp:lastModifiedBy>Arshed, Arslaan</cp:lastModifiedBy>
  <cp:revision>10</cp:revision>
  <dcterms:created xsi:type="dcterms:W3CDTF">2024-08-10T00:15:00Z</dcterms:created>
  <dcterms:modified xsi:type="dcterms:W3CDTF">2024-10-04T16:12:00Z</dcterms:modified>
</cp:coreProperties>
</file>