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49E4C8" w14:textId="77777777" w:rsidR="00474677" w:rsidRDefault="00E1205C">
      <w:pPr>
        <w:pStyle w:val="SupplementaryMaterial"/>
        <w:rPr>
          <w:b w:val="0"/>
        </w:rPr>
      </w:pPr>
      <w:r>
        <w:t>Supplementary Material</w:t>
      </w:r>
    </w:p>
    <w:p w14:paraId="21DA79FD" w14:textId="77777777" w:rsidR="00474677" w:rsidRDefault="00E1205C">
      <w:pPr>
        <w:pStyle w:val="11"/>
        <w:numPr>
          <w:ilvl w:val="0"/>
          <w:numId w:val="1"/>
        </w:numPr>
        <w:rPr>
          <w:kern w:val="36"/>
        </w:rPr>
      </w:pPr>
      <w:r>
        <w:rPr>
          <w:kern w:val="36"/>
        </w:rPr>
        <w:t>Supplementary Figures and Tables</w:t>
      </w:r>
    </w:p>
    <w:p w14:paraId="5586B4A1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2BCC5689" w14:textId="77777777" w:rsidR="00474677" w:rsidRDefault="00E1205C">
      <w:pPr>
        <w:pStyle w:val="21"/>
        <w:numPr>
          <w:ilvl w:val="1"/>
          <w:numId w:val="2"/>
        </w:numPr>
      </w:pPr>
      <w:r>
        <w:t>Supplementary Figures</w:t>
      </w:r>
    </w:p>
    <w:p w14:paraId="59209BA3" w14:textId="77777777" w:rsidR="00474677" w:rsidRDefault="00474677">
      <w:pPr>
        <w:pStyle w:val="10"/>
        <w:jc w:val="both"/>
        <w:rPr>
          <w:b/>
        </w:rPr>
      </w:pPr>
    </w:p>
    <w:p w14:paraId="52FF9C32" w14:textId="77777777" w:rsidR="00FA285B" w:rsidRPr="00481103" w:rsidRDefault="00FA285B" w:rsidP="00FA285B">
      <w:pPr>
        <w:widowControl/>
        <w:spacing w:after="200" w:line="276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</w:rPr>
      </w:pPr>
      <w:r w:rsidRPr="00481103">
        <w:rPr>
          <w:rFonts w:ascii="Times New Roman" w:eastAsia="Calibri" w:hAnsi="Times New Roman" w:cs="Times New Roman"/>
          <w:b/>
          <w:color w:val="000000" w:themeColor="text1"/>
          <w:kern w:val="0"/>
          <w:sz w:val="24"/>
          <w:szCs w:val="24"/>
        </w:rPr>
        <w:t>Supplementary Figure 1</w:t>
      </w:r>
      <w:r w:rsidRPr="00481103">
        <w:rPr>
          <w:rFonts w:ascii="Times New Roman" w:eastAsia="Calibri" w:hAnsi="Times New Roman" w:cs="Times New Roman"/>
          <w:bCs/>
          <w:color w:val="000000" w:themeColor="text1"/>
          <w:kern w:val="0"/>
          <w:sz w:val="24"/>
          <w:szCs w:val="24"/>
        </w:rPr>
        <w:t xml:space="preserve"> The levels of P21</w:t>
      </w:r>
      <w:r w:rsidRPr="00481103">
        <w:rPr>
          <w:rFonts w:ascii="Times New Roman" w:eastAsia="Calibri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Cip1/Waf1</w:t>
      </w:r>
      <w:r w:rsidRPr="00481103">
        <w:rPr>
          <w:rFonts w:ascii="Times New Roman" w:eastAsia="Calibri" w:hAnsi="Times New Roman" w:cs="Times New Roman"/>
          <w:bCs/>
          <w:color w:val="000000" w:themeColor="text1"/>
          <w:kern w:val="0"/>
          <w:sz w:val="24"/>
          <w:szCs w:val="24"/>
        </w:rPr>
        <w:t>, p16</w:t>
      </w:r>
      <w:r w:rsidRPr="00481103">
        <w:rPr>
          <w:rFonts w:ascii="Times New Roman" w:eastAsia="Calibri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Ink4a</w:t>
      </w:r>
      <w:r w:rsidRPr="00481103">
        <w:rPr>
          <w:rFonts w:ascii="Times New Roman" w:eastAsia="Calibri" w:hAnsi="Times New Roman" w:cs="Times New Roman"/>
          <w:bCs/>
          <w:color w:val="000000" w:themeColor="text1"/>
          <w:kern w:val="0"/>
          <w:sz w:val="24"/>
          <w:szCs w:val="24"/>
        </w:rPr>
        <w:t>, P53, and γ-H2AX were determined by Western blotting in NCs and SCs.</w:t>
      </w:r>
      <w:r w:rsidRPr="00481103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>Data were normalized to β-actin and presented as the mean ± SD (n = 3),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0.05, 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0.01 and 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***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>P &lt; 0.001 versus NCs.</w:t>
      </w:r>
    </w:p>
    <w:p w14:paraId="33181E27" w14:textId="77777777" w:rsidR="00FA285B" w:rsidRDefault="006C707D" w:rsidP="00FA285B">
      <w:pPr>
        <w:widowControl/>
        <w:spacing w:before="120" w:after="240"/>
        <w:jc w:val="center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F04A3D1" wp14:editId="600D556D">
            <wp:extent cx="3333750" cy="3194685"/>
            <wp:effectExtent l="0" t="0" r="0" b="5715"/>
            <wp:docPr id="3" name="Picture 3" descr="F:\仙芝楼2\final data publication\TC Paper\submission\Response to reviwers\Revised Manuscript 3\Supplementary Material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仙芝楼2\final data publication\TC Paper\submission\Response to reviwers\Revised Manuscript 3\Supplementary Material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9EE7" w14:textId="77777777" w:rsidR="00474677" w:rsidRDefault="00FA285B" w:rsidP="00FA285B">
      <w:pPr>
        <w:pStyle w:val="10"/>
      </w:pPr>
      <w:r>
        <w:rPr>
          <w:noProof/>
        </w:rPr>
        <w:t xml:space="preserve"> </w:t>
      </w:r>
    </w:p>
    <w:p w14:paraId="0661CA81" w14:textId="77777777" w:rsidR="00112620" w:rsidRDefault="00112620" w:rsidP="00D128D6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70A26E62" w14:textId="77777777" w:rsidR="00112620" w:rsidRDefault="00112620" w:rsidP="00D128D6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2271964C" w14:textId="77777777" w:rsidR="00112620" w:rsidRDefault="00112620" w:rsidP="00D128D6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7A9F9C46" w14:textId="77777777" w:rsidR="00112620" w:rsidRDefault="00112620" w:rsidP="00D128D6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583B323F" w14:textId="77777777" w:rsidR="00112620" w:rsidRDefault="00112620" w:rsidP="00D128D6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72038ECC" w14:textId="77777777" w:rsidR="00112620" w:rsidRDefault="00112620" w:rsidP="00D128D6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0D8A283D" w14:textId="77777777" w:rsidR="00474677" w:rsidRPr="00481103" w:rsidRDefault="00D128D6" w:rsidP="00990E2C">
      <w:pPr>
        <w:widowControl/>
        <w:spacing w:after="200" w:line="276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lastRenderedPageBreak/>
        <w:t xml:space="preserve">Supplementary Figure 2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NCs and SCs were treated with various concentrations of navitoclax and TC for 48 h, and cell viability was analyzed by MTT assay.</w:t>
      </w:r>
      <w:r w:rsidR="00990E2C" w:rsidRPr="00481103">
        <w:rPr>
          <w:color w:val="000000" w:themeColor="text1"/>
        </w:rPr>
        <w:t xml:space="preserve"> </w:t>
      </w:r>
      <w:r w:rsidR="00990E2C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Data were presented as the mean ± SD (n = 3), </w:t>
      </w:r>
      <w:r w:rsidR="00990E2C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</w:t>
      </w:r>
      <w:r w:rsidR="00990E2C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0.05, </w:t>
      </w:r>
      <w:r w:rsidR="00990E2C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</w:t>
      </w:r>
      <w:r w:rsidR="00990E2C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0.01 and </w:t>
      </w:r>
      <w:r w:rsidR="00990E2C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***</w:t>
      </w:r>
      <w:r w:rsidR="00990E2C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>P &lt; 0.001 versus the control.</w:t>
      </w:r>
    </w:p>
    <w:p w14:paraId="08367704" w14:textId="77777777" w:rsidR="00474677" w:rsidRDefault="006C707D" w:rsidP="00112620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kern w:val="0"/>
          <w:sz w:val="24"/>
          <w:szCs w:val="24"/>
        </w:rPr>
        <w:drawing>
          <wp:inline distT="0" distB="0" distL="0" distR="0" wp14:anchorId="7A9321E4" wp14:editId="79882C39">
            <wp:extent cx="3993515" cy="3020695"/>
            <wp:effectExtent l="0" t="0" r="6985" b="8255"/>
            <wp:docPr id="4" name="Picture 4" descr="F:\仙芝楼2\final data publication\TC Paper\submission\Response to reviwers\Revised Manuscript 3\Supplementary Material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仙芝楼2\final data publication\TC Paper\submission\Response to reviwers\Revised Manuscript 3\Supplementary Material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998A" w14:textId="77777777" w:rsidR="009B0DC4" w:rsidRDefault="009B0DC4" w:rsidP="000B5657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5C8F08BD" w14:textId="77777777" w:rsidR="009B0DC4" w:rsidRDefault="009B0DC4" w:rsidP="000B5657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764F310B" w14:textId="77777777" w:rsidR="00B30BF0" w:rsidRPr="00481103" w:rsidRDefault="00B30BF0" w:rsidP="00B30BF0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Supplementary Figure 3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The quantification of western blots of Figure 3B. Data were normalized to β-actin and presented as the mean ± SD (n = 3),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NCs,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</w:t>
      </w:r>
      <w:proofErr w:type="spellStart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Ctl</w:t>
      </w:r>
      <w:proofErr w:type="spellEnd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.</w:t>
      </w:r>
    </w:p>
    <w:p w14:paraId="571972E6" w14:textId="77777777" w:rsidR="009B0DC4" w:rsidRDefault="001920A3" w:rsidP="00B30BF0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 wp14:anchorId="78158568" wp14:editId="6CABECFA">
            <wp:extent cx="4427220" cy="1211580"/>
            <wp:effectExtent l="0" t="0" r="0" b="7620"/>
            <wp:docPr id="27" name="Picture 27" descr="F:\仙芝楼2\final data publication\TC Paper\submission\Response to reviwers\Revised Manuscript 3\Supplementary Material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仙芝楼2\final data publication\TC Paper\submission\Response to reviwers\Revised Manuscript 3\Supplementary Material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BDCC" w14:textId="77777777" w:rsidR="009B0DC4" w:rsidRDefault="009B0DC4" w:rsidP="000B5657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3BD2DF3A" w14:textId="77777777" w:rsidR="009B0DC4" w:rsidRDefault="009B0DC4" w:rsidP="000B5657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23CA7CAE" w14:textId="77777777" w:rsidR="009B0DC4" w:rsidRDefault="009B0DC4" w:rsidP="000B5657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2A1DD310" w14:textId="77777777" w:rsidR="009B0DC4" w:rsidRDefault="009B0DC4" w:rsidP="000B5657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5536DAF6" w14:textId="77777777" w:rsidR="009B0DC4" w:rsidRDefault="009B0DC4" w:rsidP="000B5657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347AFA84" w14:textId="77777777" w:rsidR="00B30BF0" w:rsidRPr="00481103" w:rsidRDefault="00B30BF0" w:rsidP="00947A98">
      <w:pPr>
        <w:pStyle w:val="10"/>
        <w:jc w:val="both"/>
        <w:rPr>
          <w:color w:val="000000" w:themeColor="text1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</w:rPr>
        <w:lastRenderedPageBreak/>
        <w:t xml:space="preserve">Supplementary Figure 4 </w:t>
      </w:r>
      <w:r w:rsidRPr="00481103">
        <w:rPr>
          <w:rFonts w:asciiTheme="majorBidi" w:hAnsiTheme="majorBidi" w:cstheme="majorBidi"/>
          <w:color w:val="000000" w:themeColor="text1"/>
        </w:rPr>
        <w:t>The quantification of western blots of Figure 3C. Data were normalized to β-actin and presented as the mean ± SD (n = 3),</w:t>
      </w:r>
      <w:r w:rsidR="00947A98" w:rsidRPr="00481103">
        <w:rPr>
          <w:rFonts w:asciiTheme="majorBidi" w:hAnsiTheme="majorBidi" w:cstheme="majorBidi"/>
          <w:color w:val="000000" w:themeColor="text1"/>
          <w:vertAlign w:val="superscript"/>
        </w:rPr>
        <w:t xml:space="preserve"> &amp;</w:t>
      </w:r>
      <w:r w:rsidR="00947A98" w:rsidRPr="00481103">
        <w:rPr>
          <w:rFonts w:asciiTheme="majorBidi" w:hAnsiTheme="majorBidi" w:cstheme="majorBidi"/>
          <w:color w:val="000000" w:themeColor="text1"/>
        </w:rPr>
        <w:t xml:space="preserve">P &lt; 0.05 and </w:t>
      </w:r>
      <w:r w:rsidR="00947A98" w:rsidRPr="00481103">
        <w:rPr>
          <w:rFonts w:asciiTheme="majorBidi" w:hAnsiTheme="majorBidi" w:cstheme="majorBidi"/>
          <w:color w:val="000000" w:themeColor="text1"/>
          <w:vertAlign w:val="superscript"/>
        </w:rPr>
        <w:t>&amp;&amp;</w:t>
      </w:r>
      <w:r w:rsidR="00947A98" w:rsidRPr="00481103">
        <w:rPr>
          <w:rFonts w:asciiTheme="majorBidi" w:hAnsiTheme="majorBidi" w:cstheme="majorBidi"/>
          <w:color w:val="000000" w:themeColor="text1"/>
        </w:rPr>
        <w:t>P &lt; 0.01 versus TC treatment.</w:t>
      </w:r>
    </w:p>
    <w:p w14:paraId="6CE96A0D" w14:textId="77777777" w:rsidR="009B0DC4" w:rsidRDefault="006C707D" w:rsidP="00947A98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 wp14:anchorId="1AAF18F3" wp14:editId="4A5CEBEE">
            <wp:extent cx="4155440" cy="1360170"/>
            <wp:effectExtent l="0" t="0" r="0" b="0"/>
            <wp:docPr id="8" name="Picture 8" descr="F:\仙芝楼2\final data publication\TC Paper\submission\Response to reviwers\Revised Manuscript 3\Supplementary Material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仙芝楼2\final data publication\TC Paper\submission\Response to reviwers\Revised Manuscript 3\Supplementary Material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553B" w14:textId="77777777" w:rsidR="00947A98" w:rsidRPr="00481103" w:rsidRDefault="00947A98" w:rsidP="00947A98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Supplementary Figure 5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The quantification of western blots of Figure 3F. Data were normalized to β-actin and presented as the mean ± SD (n = 3),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NCs,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</w:t>
      </w:r>
      <w:proofErr w:type="spellStart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Ctl</w:t>
      </w:r>
      <w:proofErr w:type="spellEnd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.</w:t>
      </w:r>
    </w:p>
    <w:p w14:paraId="0F50907A" w14:textId="77777777" w:rsidR="00947A98" w:rsidRDefault="006C707D" w:rsidP="00947A98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 wp14:anchorId="69D3F881" wp14:editId="03F14E0D">
            <wp:extent cx="4120515" cy="1273175"/>
            <wp:effectExtent l="0" t="0" r="0" b="3175"/>
            <wp:docPr id="10" name="Picture 10" descr="F:\仙芝楼2\final data publication\TC Paper\submission\Response to reviwers\Revised Manuscript 3\Supplementary Material\Supplementary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仙芝楼2\final data publication\TC Paper\submission\Response to reviwers\Revised Manuscript 3\Supplementary Material\Supplementary Figure 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5C35" w14:textId="77777777" w:rsidR="00474677" w:rsidRPr="00481103" w:rsidRDefault="000B5657" w:rsidP="00947A98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Supplementary Figure </w:t>
      </w:r>
      <w:r w:rsidR="00947A98"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6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The expressions of </w:t>
      </w:r>
      <w:proofErr w:type="spellStart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Bcl</w:t>
      </w:r>
      <w:proofErr w:type="spellEnd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-xl, Bcl-2, and </w:t>
      </w:r>
      <w:proofErr w:type="spellStart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Bcl</w:t>
      </w:r>
      <w:proofErr w:type="spellEnd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-w proteins</w:t>
      </w:r>
      <w:r w:rsidRPr="00481103">
        <w:rPr>
          <w:color w:val="000000" w:themeColor="text1"/>
        </w:rPr>
        <w:t xml:space="preserve">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in NCs, SCs, and TC</w:t>
      </w:r>
      <w:r w:rsidR="00947A98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,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 and navitoclax-treated SCs.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Data were normalized to β-actin and presented as the mean ± SD (n = 3), 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0.01 and 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***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0.001 versus NCs, 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#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0.05, 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##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>P &lt; 0.01 and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 xml:space="preserve"> ###</w:t>
      </w:r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0.001 versus </w:t>
      </w:r>
      <w:proofErr w:type="spellStart"/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>Ctl</w:t>
      </w:r>
      <w:proofErr w:type="spellEnd"/>
      <w:r w:rsidR="009B0DC4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1B52677" w14:textId="77777777" w:rsidR="00474677" w:rsidRDefault="00827A75" w:rsidP="000B5657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kern w:val="0"/>
          <w:sz w:val="24"/>
          <w:szCs w:val="24"/>
        </w:rPr>
        <w:drawing>
          <wp:inline distT="0" distB="0" distL="0" distR="0" wp14:anchorId="5B4BEC63" wp14:editId="0AB87D7E">
            <wp:extent cx="3340308" cy="2882096"/>
            <wp:effectExtent l="0" t="0" r="0" b="0"/>
            <wp:docPr id="13" name="Picture 13" descr="F:\仙芝楼2\final data publication\TC Paper\supplementary\TC navitoclax\TC NAITOCLAX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仙芝楼2\final data publication\TC Paper\supplementary\TC navitoclax\TC NAITOCLAX-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93" cy="288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421A" w14:textId="77777777" w:rsidR="00947A98" w:rsidRPr="00481103" w:rsidRDefault="00947A98" w:rsidP="00947A98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lastRenderedPageBreak/>
        <w:t xml:space="preserve">Supplementary Figure 7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The quantification of western blots of Figure 3G. Data were normalized to β-actin and presented as the mean ± SD (n = 3),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NCs,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</w:t>
      </w:r>
      <w:proofErr w:type="spellStart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Ctl</w:t>
      </w:r>
      <w:proofErr w:type="spellEnd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.</w:t>
      </w:r>
    </w:p>
    <w:p w14:paraId="68A1B2FE" w14:textId="77777777" w:rsidR="009B0DC4" w:rsidRDefault="006C707D" w:rsidP="00947A98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kern w:val="0"/>
          <w:sz w:val="24"/>
          <w:szCs w:val="24"/>
        </w:rPr>
        <w:drawing>
          <wp:inline distT="0" distB="0" distL="0" distR="0" wp14:anchorId="62B2F0FC" wp14:editId="05D3E5D1">
            <wp:extent cx="4120515" cy="1267460"/>
            <wp:effectExtent l="0" t="0" r="0" b="8890"/>
            <wp:docPr id="12" name="Picture 12" descr="F:\仙芝楼2\final data publication\TC Paper\submission\Response to reviwers\Revised Manuscript 3\Supplementary Material\Supplementary 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仙芝楼2\final data publication\TC Paper\submission\Response to reviwers\Revised Manuscript 3\Supplementary Material\Supplementary Figure 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990F" w14:textId="77777777" w:rsidR="00474677" w:rsidRPr="00481103" w:rsidRDefault="00E1205C" w:rsidP="00947A98">
      <w:pPr>
        <w:widowControl/>
        <w:spacing w:after="200" w:line="276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Supplementary Figure </w:t>
      </w:r>
      <w:r w:rsidR="00947A98"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>8</w:t>
      </w: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Autophagy blocking enhanced apoptosis induced by TC in SCs. (</w:t>
      </w:r>
      <w:r w:rsidRPr="00481103">
        <w:rPr>
          <w:rFonts w:asciiTheme="majorBidi" w:hAnsiTheme="majorBidi" w:cstheme="majorBidi" w:hint="eastAsia"/>
          <w:color w:val="000000" w:themeColor="text1"/>
          <w:kern w:val="0"/>
          <w:sz w:val="24"/>
          <w:szCs w:val="24"/>
        </w:rPr>
        <w:t>A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) Flow cytometry analysis was used to quantify the percentage of apoptotic cells induced by CQ, TC, or a combination of them. (</w:t>
      </w:r>
      <w:r w:rsidRPr="00481103">
        <w:rPr>
          <w:rFonts w:asciiTheme="majorBidi" w:hAnsiTheme="majorBidi" w:cstheme="majorBidi" w:hint="eastAsia"/>
          <w:b/>
          <w:bCs/>
          <w:color w:val="000000" w:themeColor="text1"/>
          <w:kern w:val="0"/>
          <w:sz w:val="24"/>
          <w:szCs w:val="24"/>
        </w:rPr>
        <w:t>B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) The expressions of cleaved PARP and cleaved caspase-3 were determined by Western blotting. Data were presented as the mean ± SD (n = 3), </w:t>
      </w:r>
      <w:r w:rsidR="00163ABC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</w:t>
      </w:r>
      <w:r w:rsidR="00163ABC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0.01 and </w:t>
      </w:r>
      <w:r w:rsidR="00163ABC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***</w:t>
      </w:r>
      <w:r w:rsidR="00163ABC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0.001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versus TC treatment.</w:t>
      </w:r>
    </w:p>
    <w:p w14:paraId="6168A5AB" w14:textId="77777777" w:rsidR="00474677" w:rsidRDefault="006C707D" w:rsidP="00947A98">
      <w:pPr>
        <w:widowControl/>
        <w:spacing w:after="200" w:line="276" w:lineRule="auto"/>
        <w:jc w:val="center"/>
        <w:rPr>
          <w:rFonts w:asciiTheme="majorBidi" w:hAnsiTheme="majorBidi" w:cstheme="majorBidi"/>
          <w:kern w:val="0"/>
          <w:sz w:val="24"/>
          <w:szCs w:val="24"/>
        </w:rPr>
      </w:pPr>
      <w:r>
        <w:rPr>
          <w:rFonts w:asciiTheme="majorBidi" w:hAnsiTheme="majorBidi" w:cstheme="majorBidi"/>
          <w:noProof/>
          <w:kern w:val="0"/>
          <w:sz w:val="24"/>
          <w:szCs w:val="24"/>
        </w:rPr>
        <w:drawing>
          <wp:inline distT="0" distB="0" distL="0" distR="0" wp14:anchorId="2D24367A" wp14:editId="614ABEF5">
            <wp:extent cx="4993162" cy="4502552"/>
            <wp:effectExtent l="0" t="0" r="0" b="0"/>
            <wp:docPr id="14" name="Picture 14" descr="F:\仙芝楼2\final data publication\TC Paper\submission\Response to reviwers\Revised Manuscript 3\Supplementary Material\Supplementary 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仙芝楼2\final data publication\TC Paper\submission\Response to reviwers\Revised Manuscript 3\Supplementary Material\Supplementary Figure 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52" cy="45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8D6E" w14:textId="77777777" w:rsidR="00947A98" w:rsidRPr="00481103" w:rsidRDefault="00947A98" w:rsidP="00942BD0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lastRenderedPageBreak/>
        <w:t xml:space="preserve">Supplementary Figure 9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The quantification of western blots of Figure</w:t>
      </w:r>
      <w:r w:rsidR="00942BD0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s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 5C</w:t>
      </w:r>
      <w:r w:rsidR="00942BD0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 and D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. Data were normalized to β-actin and presented as the mean ± SD (n = 3),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p &lt; 0.05</w:t>
      </w:r>
      <w:r w:rsidR="00E806F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,</w:t>
      </w:r>
      <w:r w:rsidR="00E806FD" w:rsidRPr="00481103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**</w:t>
      </w:r>
      <w:r w:rsidR="00E806FD" w:rsidRPr="0048110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 &lt; 0.01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NCs,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</w:t>
      </w:r>
      <w:proofErr w:type="spellStart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Ctl</w:t>
      </w:r>
      <w:proofErr w:type="spellEnd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.</w:t>
      </w:r>
    </w:p>
    <w:p w14:paraId="0B46758D" w14:textId="77777777" w:rsidR="00474677" w:rsidRDefault="002D67C1" w:rsidP="00E806FD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kern w:val="0"/>
          <w:sz w:val="24"/>
          <w:szCs w:val="24"/>
        </w:rPr>
        <w:drawing>
          <wp:inline distT="0" distB="0" distL="0" distR="0" wp14:anchorId="0B8CB8A4" wp14:editId="309413D1">
            <wp:extent cx="5943600" cy="1456771"/>
            <wp:effectExtent l="0" t="0" r="0" b="0"/>
            <wp:docPr id="17" name="Picture 17" descr="F:\仙芝楼2\final data publication\TC Paper\submission\Response to reviwers\Revised Manuscript 3\Supplementary Material\Supplementary Figure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仙芝楼2\final data publication\TC Paper\submission\Response to reviwers\Revised Manuscript 3\Supplementary Material\Supplementary Figure 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86BBB" w14:textId="77777777" w:rsidR="000727E1" w:rsidRPr="00481103" w:rsidRDefault="000727E1" w:rsidP="00E806FD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>Supplementary Figure 1</w:t>
      </w:r>
      <w:r w:rsidR="00E806FD"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>0</w:t>
      </w: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The quantification of western blots of Figure </w:t>
      </w:r>
      <w:r w:rsidR="00145000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5F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. Data were normalized to β-actin and presented as the mean ± SD (n = 3),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NCs,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</w:t>
      </w:r>
      <w:proofErr w:type="spellStart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Ctl</w:t>
      </w:r>
      <w:proofErr w:type="spellEnd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.</w:t>
      </w:r>
    </w:p>
    <w:p w14:paraId="28E99FAE" w14:textId="77777777" w:rsidR="00474677" w:rsidRDefault="002D67C1" w:rsidP="00E806FD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kern w:val="0"/>
          <w:sz w:val="24"/>
          <w:szCs w:val="24"/>
        </w:rPr>
        <w:drawing>
          <wp:inline distT="0" distB="0" distL="0" distR="0" wp14:anchorId="3BC90128" wp14:editId="293E3945">
            <wp:extent cx="4103370" cy="2633345"/>
            <wp:effectExtent l="0" t="0" r="0" b="0"/>
            <wp:docPr id="22" name="Picture 22" descr="F:\仙芝楼2\final data publication\TC Paper\submission\Response to reviwers\Revised Manuscript 3\Supplementary Material\Supplementary Figure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仙芝楼2\final data publication\TC Paper\submission\Response to reviwers\Revised Manuscript 3\Supplementary Material\Supplementary Figure 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9946" w14:textId="77777777" w:rsidR="00145000" w:rsidRPr="00481103" w:rsidRDefault="00145000" w:rsidP="00E806FD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>Supplementary Figure 1</w:t>
      </w:r>
      <w:r w:rsidR="00E806FD"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>1</w:t>
      </w: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The quantification of western blots of Figure 5G. Data were normalized to β-actin and presented as the mean ± SD (n = 3),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***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NCs,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0.05,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###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</w:t>
      </w:r>
      <w:proofErr w:type="spellStart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Ctl</w:t>
      </w:r>
      <w:proofErr w:type="spellEnd"/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.</w:t>
      </w:r>
    </w:p>
    <w:p w14:paraId="76C7DBB5" w14:textId="77777777" w:rsidR="009B0DC4" w:rsidRDefault="002D67C1" w:rsidP="00145000">
      <w:pPr>
        <w:widowControl/>
        <w:spacing w:after="200" w:line="276" w:lineRule="auto"/>
        <w:jc w:val="center"/>
        <w:rPr>
          <w:rFonts w:asciiTheme="majorBidi" w:hAnsiTheme="majorBidi" w:cstheme="majorBidi"/>
          <w:b/>
          <w:bCs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kern w:val="0"/>
          <w:sz w:val="24"/>
          <w:szCs w:val="24"/>
        </w:rPr>
        <w:drawing>
          <wp:inline distT="0" distB="0" distL="0" distR="0" wp14:anchorId="5327C875" wp14:editId="384219C7">
            <wp:extent cx="4716780" cy="1308100"/>
            <wp:effectExtent l="0" t="0" r="7620" b="6350"/>
            <wp:docPr id="23" name="Picture 23" descr="F:\仙芝楼2\final data publication\TC Paper\submission\Response to reviwers\Revised Manuscript 3\Supplementary Material\Supplementary Figure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仙芝楼2\final data publication\TC Paper\submission\Response to reviwers\Revised Manuscript 3\Supplementary Material\Supplementary Figure 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A151" w14:textId="77777777" w:rsidR="00781C7D" w:rsidRPr="00481103" w:rsidRDefault="00E1205C" w:rsidP="00781C7D">
      <w:pPr>
        <w:widowControl/>
        <w:spacing w:after="200" w:line="276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</w:pP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lastRenderedPageBreak/>
        <w:t xml:space="preserve">Supplementary Figure </w:t>
      </w:r>
      <w:r w:rsidR="00145000"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>1</w:t>
      </w:r>
      <w:r w:rsidR="00E806FD"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>2</w:t>
      </w:r>
      <w:r w:rsidRPr="00481103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 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TC attenuated the growth stimulation induced by SCs </w:t>
      </w:r>
      <w:r w:rsidR="00781C7D" w:rsidRPr="00481103">
        <w:rPr>
          <w:rFonts w:asciiTheme="majorBidi" w:hAnsiTheme="majorBidi" w:cstheme="majorBidi"/>
          <w:i/>
          <w:iCs/>
          <w:color w:val="000000" w:themeColor="text1"/>
          <w:kern w:val="0"/>
          <w:sz w:val="24"/>
          <w:szCs w:val="24"/>
        </w:rPr>
        <w:t>in vitro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 and </w:t>
      </w:r>
      <w:r w:rsidR="00781C7D" w:rsidRPr="00481103">
        <w:rPr>
          <w:rFonts w:asciiTheme="majorBidi" w:hAnsiTheme="majorBidi" w:cstheme="majorBidi"/>
          <w:i/>
          <w:iCs/>
          <w:color w:val="000000" w:themeColor="text1"/>
          <w:kern w:val="0"/>
          <w:sz w:val="24"/>
          <w:szCs w:val="24"/>
        </w:rPr>
        <w:t>in vivo</w:t>
      </w:r>
      <w:r w:rsidR="00781C7D" w:rsidRPr="00481103">
        <w:rPr>
          <w:rFonts w:asciiTheme="majorBidi" w:hAnsiTheme="majorBidi" w:cstheme="majorBidi"/>
          <w:b/>
          <w:bCs/>
          <w:i/>
          <w:iCs/>
          <w:color w:val="000000" w:themeColor="text1"/>
          <w:kern w:val="0"/>
          <w:sz w:val="24"/>
          <w:szCs w:val="24"/>
        </w:rPr>
        <w:t xml:space="preserve"> 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(</w:t>
      </w:r>
      <w:r w:rsidR="00781C7D" w:rsidRPr="00481103">
        <w:rPr>
          <w:rFonts w:asciiTheme="majorBidi" w:hAnsiTheme="majorBidi" w:cstheme="majorBidi" w:hint="eastAsia"/>
          <w:b/>
          <w:bCs/>
          <w:color w:val="000000" w:themeColor="text1"/>
          <w:kern w:val="0"/>
          <w:sz w:val="24"/>
          <w:szCs w:val="24"/>
        </w:rPr>
        <w:t>A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) </w:t>
      </w:r>
      <w:r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The colony formation assay was used to detect the growth stimulation effect of SCs on NCs in the absence and presence of TC-treated SCs. 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(</w:t>
      </w:r>
      <w:r w:rsidR="00781C7D" w:rsidRPr="00481103">
        <w:rPr>
          <w:rFonts w:asciiTheme="majorBidi" w:hAnsiTheme="majorBidi" w:cstheme="majorBidi" w:hint="eastAsia"/>
          <w:b/>
          <w:bCs/>
          <w:color w:val="000000" w:themeColor="text1"/>
          <w:kern w:val="0"/>
          <w:sz w:val="24"/>
          <w:szCs w:val="24"/>
        </w:rPr>
        <w:t>B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) Stimulation of tumor growth was measured in nude mice injected with NCs and SCs alone or in combination in the absence and presence of TC-treated SCs. Data were presented as the mean ± SD,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 xml:space="preserve"> *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P &lt; 0.05,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 xml:space="preserve"> **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0.01 and 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***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 &lt; 0.001 versus NCs, </w:t>
      </w:r>
      <w:r w:rsidR="00781C7D" w:rsidRPr="00481103">
        <w:rPr>
          <w:rFonts w:asciiTheme="majorBidi" w:hAnsiTheme="majorBidi" w:cstheme="majorBidi" w:hint="eastAsia"/>
          <w:color w:val="000000" w:themeColor="text1"/>
          <w:kern w:val="0"/>
          <w:sz w:val="24"/>
          <w:szCs w:val="24"/>
          <w:vertAlign w:val="superscript"/>
        </w:rPr>
        <w:t>#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P&lt; 0.01 and </w:t>
      </w:r>
      <w:r w:rsidR="00781C7D" w:rsidRPr="00481103">
        <w:rPr>
          <w:rFonts w:asciiTheme="majorBidi" w:hAnsiTheme="majorBidi" w:cstheme="majorBidi" w:hint="eastAsia"/>
          <w:color w:val="000000" w:themeColor="text1"/>
          <w:kern w:val="0"/>
          <w:sz w:val="24"/>
          <w:szCs w:val="24"/>
          <w:vertAlign w:val="superscript"/>
        </w:rPr>
        <w:t>#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  <w:vertAlign w:val="superscript"/>
        </w:rPr>
        <w:t>##</w:t>
      </w:r>
      <w:r w:rsidR="00781C7D" w:rsidRPr="00481103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P&lt; 0.001 versus NCs + SCs group.</w:t>
      </w:r>
    </w:p>
    <w:p w14:paraId="1FED964A" w14:textId="77777777" w:rsidR="00781C7D" w:rsidRDefault="00781C7D" w:rsidP="00E806FD">
      <w:pPr>
        <w:widowControl/>
        <w:spacing w:after="200" w:line="276" w:lineRule="auto"/>
        <w:rPr>
          <w:rFonts w:asciiTheme="majorBidi" w:hAnsiTheme="majorBidi" w:cstheme="majorBidi"/>
          <w:kern w:val="0"/>
          <w:sz w:val="24"/>
          <w:szCs w:val="24"/>
        </w:rPr>
      </w:pPr>
      <w:r>
        <w:rPr>
          <w:rFonts w:asciiTheme="majorBidi" w:hAnsiTheme="majorBidi" w:cstheme="majorBidi"/>
          <w:noProof/>
          <w:kern w:val="0"/>
          <w:sz w:val="24"/>
          <w:szCs w:val="24"/>
        </w:rPr>
        <w:drawing>
          <wp:inline distT="0" distB="0" distL="0" distR="0" wp14:anchorId="5AE3C900" wp14:editId="6FA2D971">
            <wp:extent cx="5943600" cy="4885809"/>
            <wp:effectExtent l="0" t="0" r="0" b="0"/>
            <wp:docPr id="1" name="Picture 1" descr="F:\仙芝楼2\final data publication\TC Paper\submission\Response to reviwers\Revised Manuscript 2\Submission final\Supplementary Material\Supplementary Figure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仙芝楼2\final data publication\TC Paper\submission\Response to reviwers\Revised Manuscript 2\Submission final\Supplementary Material\Supplementary Figure 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6414" w14:textId="77777777" w:rsidR="00145000" w:rsidRPr="0007630F" w:rsidRDefault="00145000" w:rsidP="0007630F">
      <w:pPr>
        <w:widowControl/>
        <w:spacing w:after="200" w:line="276" w:lineRule="auto"/>
        <w:jc w:val="center"/>
        <w:rPr>
          <w:rFonts w:asciiTheme="majorBidi" w:hAnsiTheme="majorBidi" w:cstheme="majorBidi"/>
          <w:kern w:val="0"/>
          <w:sz w:val="24"/>
          <w:szCs w:val="24"/>
        </w:rPr>
      </w:pPr>
    </w:p>
    <w:p w14:paraId="622B533E" w14:textId="77777777" w:rsidR="00474677" w:rsidRPr="0007630F" w:rsidRDefault="00474677" w:rsidP="0007630F">
      <w:pPr>
        <w:pStyle w:val="10"/>
        <w:jc w:val="center"/>
      </w:pPr>
    </w:p>
    <w:p w14:paraId="332554A8" w14:textId="77777777" w:rsidR="00E806FD" w:rsidRDefault="00E806FD" w:rsidP="00E806FD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3A2D706C" w14:textId="77777777" w:rsidR="00E806FD" w:rsidRDefault="00E806FD" w:rsidP="00E806FD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7C3EAC55" w14:textId="77777777" w:rsidR="00E806FD" w:rsidRDefault="00E806FD" w:rsidP="00E806FD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0B663590" w14:textId="77777777" w:rsidR="00E806FD" w:rsidRDefault="00E806FD" w:rsidP="00E806FD">
      <w:pPr>
        <w:widowControl/>
        <w:spacing w:after="200" w:line="276" w:lineRule="auto"/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6B219260" w14:textId="77777777" w:rsidR="00474677" w:rsidRPr="00DF1E35" w:rsidRDefault="00E1205C" w:rsidP="00781C7D">
      <w:pPr>
        <w:widowControl/>
        <w:spacing w:after="200" w:line="276" w:lineRule="auto"/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</w:pPr>
      <w:r w:rsidRPr="00DF1E35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lastRenderedPageBreak/>
        <w:t xml:space="preserve">Supplementary Figure </w:t>
      </w:r>
      <w:r w:rsidR="0007630F" w:rsidRPr="00DF1E3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="00781C7D" w:rsidRPr="00DF1E3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3</w:t>
      </w:r>
      <w:r w:rsidRPr="00DF1E35">
        <w:rPr>
          <w:rFonts w:asciiTheme="majorBidi" w:hAnsiTheme="majorBidi" w:cstheme="majorBidi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DF1E35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ADR induced </w:t>
      </w:r>
      <w:r w:rsidRPr="00DF1E35">
        <w:rPr>
          <w:rFonts w:asciiTheme="majorBidi" w:hAnsiTheme="majorBidi" w:cstheme="majorBidi"/>
          <w:i/>
          <w:iCs/>
          <w:color w:val="000000" w:themeColor="text1"/>
          <w:kern w:val="0"/>
          <w:sz w:val="24"/>
          <w:szCs w:val="24"/>
        </w:rPr>
        <w:t>in vivo</w:t>
      </w:r>
      <w:r w:rsidRPr="00DF1E35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 xml:space="preserve"> senescence in HepG2 xenograft model. (</w:t>
      </w:r>
      <w:r w:rsidRPr="00DF1E35">
        <w:rPr>
          <w:rFonts w:asciiTheme="majorBidi" w:hAnsiTheme="majorBidi" w:cstheme="majorBidi" w:hint="eastAsia"/>
          <w:color w:val="000000" w:themeColor="text1"/>
          <w:kern w:val="0"/>
          <w:sz w:val="24"/>
          <w:szCs w:val="24"/>
        </w:rPr>
        <w:t>A</w:t>
      </w:r>
      <w:r w:rsidRPr="00DF1E35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) SA-β-Gal staining of control and ADR-induced senescence in tumors and frozen sections from HepG2 xenograft. (</w:t>
      </w:r>
      <w:r w:rsidRPr="00DF1E35">
        <w:rPr>
          <w:rFonts w:asciiTheme="majorBidi" w:hAnsiTheme="majorBidi" w:cstheme="majorBidi" w:hint="eastAsia"/>
          <w:b/>
          <w:bCs/>
          <w:color w:val="000000" w:themeColor="text1"/>
          <w:kern w:val="0"/>
          <w:sz w:val="24"/>
          <w:szCs w:val="24"/>
        </w:rPr>
        <w:t>B</w:t>
      </w:r>
      <w:r w:rsidRPr="00DF1E35">
        <w:rPr>
          <w:rFonts w:asciiTheme="majorBidi" w:hAnsiTheme="majorBidi" w:cstheme="majorBidi"/>
          <w:color w:val="000000" w:themeColor="text1"/>
          <w:kern w:val="0"/>
          <w:sz w:val="24"/>
          <w:szCs w:val="24"/>
        </w:rPr>
        <w:t>) Ki67 staining in frozen sections from HepG2 xenograft treated with vehicle or ADR.</w:t>
      </w:r>
    </w:p>
    <w:p w14:paraId="01F96E81" w14:textId="77777777" w:rsidR="00474677" w:rsidRDefault="00E40DC1">
      <w:pPr>
        <w:widowControl/>
        <w:spacing w:after="200" w:line="276" w:lineRule="auto"/>
        <w:jc w:val="left"/>
        <w:rPr>
          <w:rFonts w:asciiTheme="majorBidi" w:hAnsiTheme="majorBidi" w:cstheme="majorBidi"/>
          <w:color w:val="000000"/>
          <w:kern w:val="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kern w:val="0"/>
          <w:sz w:val="24"/>
          <w:szCs w:val="24"/>
        </w:rPr>
        <w:drawing>
          <wp:inline distT="0" distB="0" distL="0" distR="0" wp14:anchorId="557CB916" wp14:editId="2CD576B5">
            <wp:extent cx="5943600" cy="1964471"/>
            <wp:effectExtent l="0" t="0" r="0" b="0"/>
            <wp:docPr id="6" name="Picture 6" descr="F:\仙芝楼2\final data publication\TC Paper\supplementary\sbgal ADR\Supplementary Figure 5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仙芝楼2\final data publication\TC Paper\supplementary\sbgal ADR\Supplementary Figure 5-0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107A1" w14:textId="77777777" w:rsidR="0007630F" w:rsidRPr="000B5657" w:rsidRDefault="0007630F" w:rsidP="006C707D">
      <w:pPr>
        <w:pStyle w:val="10"/>
        <w:jc w:val="both"/>
        <w:rPr>
          <w:color w:val="FF0000"/>
        </w:rPr>
      </w:pPr>
      <w:r w:rsidRPr="00DF1E35">
        <w:rPr>
          <w:rFonts w:asciiTheme="majorBidi" w:hAnsiTheme="majorBidi" w:cstheme="majorBidi"/>
          <w:b/>
          <w:bCs/>
          <w:color w:val="000000" w:themeColor="text1"/>
        </w:rPr>
        <w:t>Supplementary Figure 1</w:t>
      </w:r>
      <w:r w:rsidR="00781C7D" w:rsidRPr="00DF1E35">
        <w:rPr>
          <w:rFonts w:asciiTheme="majorBidi" w:hAnsiTheme="majorBidi" w:cstheme="majorBidi"/>
          <w:b/>
          <w:bCs/>
          <w:color w:val="000000" w:themeColor="text1"/>
        </w:rPr>
        <w:t>4</w:t>
      </w:r>
      <w:r w:rsidRPr="00DF1E35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DF1E35">
        <w:rPr>
          <w:rFonts w:asciiTheme="majorBidi" w:hAnsiTheme="majorBidi" w:cstheme="majorBidi"/>
          <w:color w:val="000000" w:themeColor="text1"/>
        </w:rPr>
        <w:t>The quantification of western blots of Figure</w:t>
      </w:r>
      <w:r w:rsidR="00E806FD" w:rsidRPr="00DF1E35">
        <w:rPr>
          <w:rFonts w:asciiTheme="majorBidi" w:hAnsiTheme="majorBidi" w:cstheme="majorBidi"/>
          <w:color w:val="000000" w:themeColor="text1"/>
        </w:rPr>
        <w:t>s</w:t>
      </w:r>
      <w:r w:rsidRPr="00DF1E35">
        <w:rPr>
          <w:rFonts w:asciiTheme="majorBidi" w:hAnsiTheme="majorBidi" w:cstheme="majorBidi"/>
          <w:color w:val="000000" w:themeColor="text1"/>
        </w:rPr>
        <w:t xml:space="preserve"> 6G</w:t>
      </w:r>
      <w:r w:rsidR="00E806FD" w:rsidRPr="00DF1E35">
        <w:rPr>
          <w:rFonts w:asciiTheme="majorBidi" w:hAnsiTheme="majorBidi" w:cstheme="majorBidi"/>
          <w:color w:val="000000" w:themeColor="text1"/>
        </w:rPr>
        <w:t xml:space="preserve"> and K</w:t>
      </w:r>
      <w:r w:rsidRPr="00DF1E35">
        <w:rPr>
          <w:rFonts w:asciiTheme="majorBidi" w:hAnsiTheme="majorBidi" w:cstheme="majorBidi"/>
          <w:color w:val="000000" w:themeColor="text1"/>
        </w:rPr>
        <w:t xml:space="preserve">. Data were normalized to β-actin and presented as the </w:t>
      </w:r>
      <w:r w:rsidRPr="004D52F2">
        <w:rPr>
          <w:rFonts w:asciiTheme="majorBidi" w:hAnsiTheme="majorBidi" w:cstheme="majorBidi"/>
        </w:rPr>
        <w:t>mean ± SD (n = 3),</w:t>
      </w:r>
      <w:r w:rsidRPr="004D52F2">
        <w:rPr>
          <w:rFonts w:asciiTheme="majorBidi" w:eastAsiaTheme="minorEastAsia" w:hAnsiTheme="majorBidi" w:cstheme="majorBidi" w:hint="eastAsia"/>
          <w:vertAlign w:val="superscript"/>
        </w:rPr>
        <w:t xml:space="preserve"> </w:t>
      </w:r>
      <w:r w:rsidR="006C707D" w:rsidRPr="004D52F2">
        <w:rPr>
          <w:rFonts w:asciiTheme="majorBidi" w:hAnsiTheme="majorBidi" w:cstheme="majorBidi"/>
          <w:vertAlign w:val="superscript"/>
        </w:rPr>
        <w:t>*</w:t>
      </w:r>
      <w:r w:rsidR="006C707D" w:rsidRPr="004D52F2">
        <w:rPr>
          <w:rFonts w:asciiTheme="majorBidi" w:hAnsiTheme="majorBidi" w:cstheme="majorBidi"/>
        </w:rPr>
        <w:t>P &lt; 0.05</w:t>
      </w:r>
      <w:r w:rsidR="006C707D" w:rsidRPr="004D52F2">
        <w:rPr>
          <w:rFonts w:asciiTheme="majorBidi" w:eastAsiaTheme="minorEastAsia" w:hAnsiTheme="majorBidi" w:cstheme="majorBidi" w:hint="eastAsia"/>
        </w:rPr>
        <w:t xml:space="preserve"> and </w:t>
      </w:r>
      <w:r w:rsidR="006C707D" w:rsidRPr="004D52F2">
        <w:rPr>
          <w:rFonts w:asciiTheme="majorBidi" w:hAnsiTheme="majorBidi" w:cstheme="majorBidi"/>
          <w:vertAlign w:val="superscript"/>
        </w:rPr>
        <w:t>**</w:t>
      </w:r>
      <w:r w:rsidR="006C707D" w:rsidRPr="004D52F2">
        <w:rPr>
          <w:rFonts w:asciiTheme="majorBidi" w:hAnsiTheme="majorBidi" w:cstheme="majorBidi"/>
        </w:rPr>
        <w:t xml:space="preserve">P &lt; 0.01 </w:t>
      </w:r>
      <w:r w:rsidRPr="004D52F2">
        <w:rPr>
          <w:rFonts w:asciiTheme="majorBidi" w:hAnsiTheme="majorBidi" w:cstheme="majorBidi"/>
        </w:rPr>
        <w:t>versus</w:t>
      </w:r>
      <w:r w:rsidRPr="004D52F2">
        <w:rPr>
          <w:rFonts w:asciiTheme="majorBidi" w:eastAsiaTheme="minorEastAsia" w:hAnsiTheme="majorBidi" w:cstheme="majorBidi" w:hint="eastAsia"/>
        </w:rPr>
        <w:t xml:space="preserve"> </w:t>
      </w:r>
      <w:r w:rsidRPr="004D52F2">
        <w:rPr>
          <w:rFonts w:asciiTheme="majorBidi" w:eastAsiaTheme="minorEastAsia" w:hAnsiTheme="majorBidi" w:cstheme="majorBidi"/>
        </w:rPr>
        <w:t xml:space="preserve">the </w:t>
      </w:r>
      <w:r w:rsidRPr="004D52F2">
        <w:rPr>
          <w:rFonts w:asciiTheme="majorBidi" w:eastAsiaTheme="minorEastAsia" w:hAnsiTheme="majorBidi" w:cstheme="majorBidi" w:hint="eastAsia"/>
        </w:rPr>
        <w:t>control</w:t>
      </w:r>
      <w:r w:rsidRPr="004D52F2">
        <w:rPr>
          <w:rFonts w:asciiTheme="majorBidi" w:hAnsiTheme="majorBidi" w:cstheme="majorBidi"/>
        </w:rPr>
        <w:t>，</w:t>
      </w:r>
      <w:r w:rsidR="006C707D" w:rsidRPr="004D52F2">
        <w:rPr>
          <w:rFonts w:asciiTheme="majorBidi" w:hAnsiTheme="majorBidi" w:cstheme="majorBidi"/>
          <w:vertAlign w:val="superscript"/>
        </w:rPr>
        <w:t>#</w:t>
      </w:r>
      <w:r w:rsidR="006C707D" w:rsidRPr="004D52F2">
        <w:rPr>
          <w:rFonts w:asciiTheme="majorBidi" w:hAnsiTheme="majorBidi" w:cstheme="majorBidi"/>
        </w:rPr>
        <w:t>P &lt; 0.05</w:t>
      </w:r>
      <w:r w:rsidR="006C707D" w:rsidRPr="004D52F2">
        <w:rPr>
          <w:rFonts w:asciiTheme="majorBidi" w:eastAsiaTheme="minorEastAsia" w:hAnsiTheme="majorBidi" w:cstheme="majorBidi" w:hint="eastAsia"/>
        </w:rPr>
        <w:t xml:space="preserve"> and</w:t>
      </w:r>
      <w:r w:rsidR="006C707D" w:rsidRPr="004D52F2">
        <w:rPr>
          <w:rFonts w:asciiTheme="majorBidi" w:hAnsiTheme="majorBidi" w:cstheme="majorBidi"/>
        </w:rPr>
        <w:t xml:space="preserve"> </w:t>
      </w:r>
      <w:r w:rsidR="006C707D" w:rsidRPr="004D52F2">
        <w:rPr>
          <w:rFonts w:asciiTheme="majorBidi" w:hAnsiTheme="majorBidi" w:cstheme="majorBidi"/>
          <w:vertAlign w:val="superscript"/>
        </w:rPr>
        <w:t>##</w:t>
      </w:r>
      <w:r w:rsidR="006C707D" w:rsidRPr="004D52F2">
        <w:rPr>
          <w:rFonts w:asciiTheme="majorBidi" w:hAnsiTheme="majorBidi" w:cstheme="majorBidi"/>
        </w:rPr>
        <w:t xml:space="preserve">P &lt; 0.01 </w:t>
      </w:r>
      <w:r w:rsidRPr="004D52F2">
        <w:rPr>
          <w:rFonts w:asciiTheme="majorBidi" w:hAnsiTheme="majorBidi" w:cstheme="majorBidi"/>
        </w:rPr>
        <w:t>versus</w:t>
      </w:r>
      <w:r w:rsidRPr="004D52F2">
        <w:rPr>
          <w:rFonts w:asciiTheme="majorBidi" w:eastAsiaTheme="minorEastAsia" w:hAnsiTheme="majorBidi" w:cstheme="majorBidi" w:hint="eastAsia"/>
        </w:rPr>
        <w:t xml:space="preserve"> ADR treatment</w:t>
      </w:r>
      <w:r w:rsidRPr="004D52F2">
        <w:rPr>
          <w:rFonts w:asciiTheme="majorBidi" w:hAnsiTheme="majorBidi" w:cstheme="majorBidi"/>
        </w:rPr>
        <w:t>.</w:t>
      </w:r>
    </w:p>
    <w:p w14:paraId="7D5E913D" w14:textId="77777777" w:rsidR="00474677" w:rsidRDefault="006C707D" w:rsidP="0007630F">
      <w:pPr>
        <w:jc w:val="center"/>
        <w:rPr>
          <w:rFonts w:asciiTheme="majorBidi" w:hAnsiTheme="majorBidi" w:cstheme="majorBidi"/>
          <w:b/>
          <w:bCs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kern w:val="0"/>
          <w:sz w:val="24"/>
          <w:szCs w:val="24"/>
        </w:rPr>
        <w:drawing>
          <wp:inline distT="0" distB="0" distL="0" distR="0" wp14:anchorId="1437BEF2" wp14:editId="39A4FE71">
            <wp:extent cx="4068445" cy="1313815"/>
            <wp:effectExtent l="0" t="0" r="8255" b="635"/>
            <wp:docPr id="2" name="Picture 2" descr="F:\仙芝楼2\final data publication\TC Paper\submission\Response to reviwers\Revised Manuscript 3\Supplementary Material\Supplementary Figure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仙芝楼2\final data publication\TC Paper\submission\Response to reviwers\Revised Manuscript 3\Supplementary Material\Supplementary Figure 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DBA1" w14:textId="77777777" w:rsidR="00731726" w:rsidRDefault="00731726" w:rsidP="000B5657">
      <w:pPr>
        <w:rPr>
          <w:rFonts w:asciiTheme="majorBidi" w:hAnsiTheme="majorBidi" w:cstheme="majorBidi"/>
          <w:b/>
          <w:bCs/>
          <w:kern w:val="0"/>
          <w:sz w:val="24"/>
          <w:szCs w:val="24"/>
        </w:rPr>
      </w:pPr>
    </w:p>
    <w:p w14:paraId="2C547CBE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404242EA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490DE632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3544E82D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2F8BE249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2474DF7D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32AE9780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6EF6E236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10513438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164D12E6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25DAD121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5695B514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4850B527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5B4280CB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2153CD9B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27036F54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49D2AFF3" w14:textId="77777777" w:rsidR="004D2AF0" w:rsidRDefault="004D2AF0" w:rsidP="00781C7D">
      <w:pPr>
        <w:rPr>
          <w:rFonts w:asciiTheme="majorBidi" w:hAnsiTheme="majorBidi" w:cstheme="majorBidi"/>
          <w:b/>
          <w:bCs/>
          <w:color w:val="FF0000"/>
          <w:kern w:val="0"/>
          <w:sz w:val="24"/>
          <w:szCs w:val="24"/>
        </w:rPr>
      </w:pPr>
    </w:p>
    <w:p w14:paraId="32B4CD3A" w14:textId="77777777" w:rsidR="00474677" w:rsidRPr="004D52F2" w:rsidRDefault="00E1205C" w:rsidP="00183A95">
      <w:pPr>
        <w:rPr>
          <w:rFonts w:asciiTheme="majorBidi" w:hAnsiTheme="majorBidi" w:cstheme="majorBidi"/>
          <w:b/>
          <w:bCs/>
          <w:kern w:val="0"/>
          <w:sz w:val="24"/>
          <w:szCs w:val="24"/>
        </w:rPr>
      </w:pPr>
      <w:r w:rsidRPr="004D52F2">
        <w:rPr>
          <w:rFonts w:asciiTheme="majorBidi" w:hAnsiTheme="majorBidi" w:cstheme="majorBidi"/>
          <w:b/>
          <w:bCs/>
          <w:kern w:val="0"/>
          <w:sz w:val="24"/>
          <w:szCs w:val="24"/>
        </w:rPr>
        <w:lastRenderedPageBreak/>
        <w:t xml:space="preserve">Supplementary Figure </w:t>
      </w:r>
      <w:r w:rsidR="0007630F" w:rsidRPr="004D52F2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781C7D" w:rsidRPr="004D52F2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4D52F2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r w:rsidR="008668CD" w:rsidRPr="004D52F2">
        <w:rPr>
          <w:rFonts w:asciiTheme="majorBidi" w:hAnsiTheme="majorBidi" w:cstheme="majorBidi"/>
          <w:kern w:val="0"/>
          <w:sz w:val="24"/>
          <w:szCs w:val="24"/>
        </w:rPr>
        <w:t>The quantification</w:t>
      </w:r>
      <w:r w:rsidR="008668CD" w:rsidRPr="004D52F2">
        <w:rPr>
          <w:rFonts w:asciiTheme="majorBidi" w:hAnsiTheme="majorBidi" w:cstheme="majorBidi"/>
          <w:b/>
          <w:bCs/>
          <w:kern w:val="0"/>
          <w:sz w:val="24"/>
          <w:szCs w:val="24"/>
        </w:rPr>
        <w:t xml:space="preserve"> </w:t>
      </w:r>
      <w:r w:rsidR="008668CD" w:rsidRPr="004D52F2">
        <w:rPr>
          <w:rFonts w:asciiTheme="majorBidi" w:hAnsiTheme="majorBidi" w:cstheme="majorBidi"/>
          <w:sz w:val="24"/>
          <w:szCs w:val="24"/>
        </w:rPr>
        <w:t>of SCs in PBMCs following ADR treatment</w:t>
      </w:r>
      <w:r w:rsidR="008668CD" w:rsidRPr="004D52F2">
        <w:t xml:space="preserve"> </w:t>
      </w:r>
      <w:r w:rsidR="008668CD" w:rsidRPr="004D52F2">
        <w:rPr>
          <w:rFonts w:asciiTheme="majorBidi" w:hAnsiTheme="majorBidi" w:cstheme="majorBidi"/>
          <w:sz w:val="24"/>
          <w:szCs w:val="24"/>
        </w:rPr>
        <w:t>at different time points</w:t>
      </w:r>
      <w:r w:rsidR="00183A95" w:rsidRPr="004D52F2">
        <w:t xml:space="preserve"> </w:t>
      </w:r>
      <w:r w:rsidR="00183A95" w:rsidRPr="004D52F2">
        <w:rPr>
          <w:rFonts w:asciiTheme="majorBidi" w:hAnsiTheme="majorBidi" w:cstheme="majorBidi"/>
          <w:sz w:val="24"/>
          <w:szCs w:val="24"/>
        </w:rPr>
        <w:t xml:space="preserve">by flow cytometry. (A) </w:t>
      </w:r>
      <w:r w:rsidR="008668CD" w:rsidRPr="004D52F2">
        <w:rPr>
          <w:rFonts w:asciiTheme="majorBidi" w:hAnsiTheme="majorBidi" w:cstheme="majorBidi"/>
          <w:sz w:val="24"/>
          <w:szCs w:val="24"/>
        </w:rPr>
        <w:t xml:space="preserve"> </w:t>
      </w:r>
      <w:r w:rsidR="00183A95" w:rsidRPr="004D52F2">
        <w:rPr>
          <w:rFonts w:asciiTheme="majorBidi" w:hAnsiTheme="majorBidi" w:cstheme="majorBidi"/>
          <w:sz w:val="24"/>
          <w:szCs w:val="24"/>
        </w:rPr>
        <w:t>Gating data plot</w:t>
      </w:r>
      <w:r w:rsidR="00EB1437" w:rsidRPr="004D52F2">
        <w:rPr>
          <w:rFonts w:asciiTheme="majorBidi" w:hAnsiTheme="majorBidi" w:cstheme="majorBidi"/>
          <w:sz w:val="24"/>
          <w:szCs w:val="24"/>
        </w:rPr>
        <w:t>s</w:t>
      </w:r>
      <w:r w:rsidR="00183A95" w:rsidRPr="004D52F2">
        <w:rPr>
          <w:rFonts w:asciiTheme="majorBidi" w:hAnsiTheme="majorBidi" w:cstheme="majorBidi"/>
          <w:sz w:val="24"/>
          <w:szCs w:val="24"/>
        </w:rPr>
        <w:t xml:space="preserve"> for PBMCs to identify SCs. (B) </w:t>
      </w:r>
      <w:r w:rsidRPr="004D52F2">
        <w:rPr>
          <w:rFonts w:asciiTheme="majorBidi" w:hAnsiTheme="majorBidi" w:cstheme="majorBidi"/>
          <w:kern w:val="0"/>
          <w:sz w:val="24"/>
          <w:szCs w:val="24"/>
        </w:rPr>
        <w:t>Histogram and</w:t>
      </w:r>
      <w:r w:rsidRPr="004D52F2">
        <w:rPr>
          <w:rFonts w:asciiTheme="majorBidi" w:hAnsiTheme="majorBidi" w:cstheme="majorBidi"/>
          <w:kern w:val="0"/>
          <w:sz w:val="24"/>
          <w:szCs w:val="24"/>
          <w:lang w:val="en-GB"/>
        </w:rPr>
        <w:t xml:space="preserve"> </w:t>
      </w:r>
      <w:r w:rsidR="00183A95" w:rsidRPr="004D52F2">
        <w:rPr>
          <w:rFonts w:asciiTheme="majorBidi" w:hAnsiTheme="majorBidi" w:cstheme="majorBidi"/>
          <w:kern w:val="0"/>
          <w:sz w:val="24"/>
          <w:szCs w:val="24"/>
          <w:lang w:val="en-GB"/>
        </w:rPr>
        <w:t xml:space="preserve">analysis of </w:t>
      </w:r>
      <w:r w:rsidRPr="004D52F2">
        <w:rPr>
          <w:rFonts w:asciiTheme="majorBidi" w:hAnsiTheme="majorBidi" w:cstheme="majorBidi"/>
          <w:kern w:val="0"/>
          <w:sz w:val="24"/>
          <w:szCs w:val="24"/>
        </w:rPr>
        <w:t>senescent subsets of PBMCs from control and ADR</w:t>
      </w:r>
      <w:r w:rsidRPr="004D52F2">
        <w:rPr>
          <w:rFonts w:asciiTheme="majorBidi" w:hAnsiTheme="majorBidi" w:cstheme="majorBidi"/>
          <w:kern w:val="0"/>
          <w:sz w:val="24"/>
          <w:szCs w:val="24"/>
          <w:lang w:val="en-GB"/>
        </w:rPr>
        <w:t>-</w:t>
      </w:r>
      <w:r w:rsidRPr="004D52F2">
        <w:rPr>
          <w:rFonts w:asciiTheme="majorBidi" w:hAnsiTheme="majorBidi" w:cstheme="majorBidi"/>
          <w:kern w:val="0"/>
          <w:sz w:val="24"/>
          <w:szCs w:val="24"/>
        </w:rPr>
        <w:t>treated animals.</w:t>
      </w:r>
      <w:r w:rsidR="008668CD" w:rsidRPr="004D52F2">
        <w:t xml:space="preserve"> </w:t>
      </w:r>
    </w:p>
    <w:p w14:paraId="5D31FCA4" w14:textId="77777777" w:rsidR="00E40DC1" w:rsidRDefault="004D2AF0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kern w:val="0"/>
          <w:sz w:val="24"/>
          <w:szCs w:val="24"/>
        </w:rPr>
        <w:drawing>
          <wp:inline distT="0" distB="0" distL="0" distR="0" wp14:anchorId="09C1F531" wp14:editId="70E81EDB">
            <wp:extent cx="5943600" cy="4277203"/>
            <wp:effectExtent l="0" t="0" r="0" b="9525"/>
            <wp:docPr id="26" name="Picture 26" descr="F:\仙芝楼2\final data publication\TC Paper\submission\Response to reviwers\Revised Manuscript 3\Supplementary Material\Supplementary Figure 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仙芝楼2\final data publication\TC Paper\submission\Response to reviwers\Revised Manuscript 3\Supplementary Material\Supplementary Figure 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C665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2917383D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6581ED79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019C1CEC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061B549F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0922C639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2A9D82B5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2002B0E8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79292097" w14:textId="77777777" w:rsidR="00A4692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1AE29B76" w14:textId="77777777" w:rsidR="00A4692F" w:rsidRPr="0007630F" w:rsidRDefault="00A4692F" w:rsidP="0007630F">
      <w:pPr>
        <w:widowControl/>
        <w:spacing w:after="200" w:line="276" w:lineRule="auto"/>
        <w:rPr>
          <w:rFonts w:asciiTheme="majorBidi" w:hAnsiTheme="majorBidi" w:cstheme="majorBidi"/>
          <w:color w:val="000000"/>
          <w:kern w:val="0"/>
          <w:sz w:val="24"/>
          <w:szCs w:val="24"/>
        </w:rPr>
      </w:pPr>
    </w:p>
    <w:p w14:paraId="6F1B5F74" w14:textId="77777777" w:rsidR="00474677" w:rsidRDefault="00E1205C">
      <w:pPr>
        <w:pStyle w:val="21"/>
        <w:numPr>
          <w:ilvl w:val="1"/>
          <w:numId w:val="2"/>
        </w:numPr>
      </w:pPr>
      <w:r>
        <w:lastRenderedPageBreak/>
        <w:t xml:space="preserve">Supplementary Tables </w:t>
      </w:r>
    </w:p>
    <w:p w14:paraId="0829C979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4622E2D3" w14:textId="77777777" w:rsidR="00474677" w:rsidRDefault="00E1205C">
      <w:pPr>
        <w:rPr>
          <w:rFonts w:ascii="Times New Roman" w:eastAsia="SimHei" w:hAnsi="Times New Roman" w:cs="Times New Roman"/>
          <w:color w:val="000000"/>
          <w:kern w:val="0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</w:t>
      </w:r>
      <w:r>
        <w:rPr>
          <w:rFonts w:ascii="Times New Roman" w:eastAsia="SimHei" w:hAnsi="Times New Roman" w:cs="Times New Roman"/>
          <w:b/>
          <w:bCs/>
          <w:color w:val="000000"/>
          <w:kern w:val="0"/>
          <w:sz w:val="24"/>
          <w:szCs w:val="24"/>
          <w:lang w:val="en-GB"/>
        </w:rPr>
        <w:t xml:space="preserve"> Table 1 </w:t>
      </w:r>
      <w:r>
        <w:rPr>
          <w:rFonts w:ascii="Times New Roman" w:eastAsia="SimHei" w:hAnsi="Times New Roman" w:cs="Times New Roman"/>
          <w:color w:val="000000"/>
          <w:kern w:val="0"/>
          <w:sz w:val="24"/>
          <w:szCs w:val="24"/>
        </w:rPr>
        <w:t>One-two punch scheme of ADR and TC for HCC xe</w:t>
      </w:r>
      <w:smartTag w:uri="urn:schemas-microsoft-com:office:smarttags" w:element="metricconverter">
        <w:smartTagPr>
          <w:attr w:name="ProductID" w:val="3 in"/>
        </w:smartTagPr>
        <w:r>
          <w:rPr>
            <w:rFonts w:ascii="Times New Roman" w:eastAsia="SimHei" w:hAnsi="Times New Roman" w:cs="Times New Roman"/>
            <w:color w:val="000000"/>
            <w:kern w:val="0"/>
            <w:sz w:val="24"/>
            <w:szCs w:val="24"/>
          </w:rPr>
          <w:t>nogr</w:t>
        </w:r>
      </w:smartTag>
      <w:r>
        <w:rPr>
          <w:rFonts w:ascii="Times New Roman" w:eastAsia="SimHei" w:hAnsi="Times New Roman" w:cs="Times New Roman"/>
          <w:color w:val="000000"/>
          <w:kern w:val="0"/>
          <w:sz w:val="24"/>
          <w:szCs w:val="24"/>
        </w:rPr>
        <w:t>aft model</w:t>
      </w:r>
    </w:p>
    <w:tbl>
      <w:tblPr>
        <w:tblStyle w:val="TableGrid"/>
        <w:tblW w:w="9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2729"/>
        <w:gridCol w:w="1915"/>
        <w:gridCol w:w="1915"/>
        <w:gridCol w:w="1915"/>
      </w:tblGrid>
      <w:tr w:rsidR="00474677" w14:paraId="1F739E63" w14:textId="77777777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49783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Groups</w:t>
            </w:r>
          </w:p>
        </w:tc>
        <w:tc>
          <w:tcPr>
            <w:tcW w:w="2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554C9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Treatment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24E7B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Tumor growth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6985A6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First punch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8F74A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Second punch</w:t>
            </w:r>
          </w:p>
        </w:tc>
      </w:tr>
      <w:tr w:rsidR="00474677" w14:paraId="24E1559A" w14:textId="77777777"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14:paraId="319000E6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</w:t>
            </w:r>
          </w:p>
        </w:tc>
        <w:tc>
          <w:tcPr>
            <w:tcW w:w="2729" w:type="dxa"/>
            <w:tcBorders>
              <w:top w:val="single" w:sz="4" w:space="0" w:color="auto"/>
            </w:tcBorders>
            <w:vAlign w:val="center"/>
          </w:tcPr>
          <w:p w14:paraId="7C7F5596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saline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vAlign w:val="center"/>
          </w:tcPr>
          <w:p w14:paraId="3C035A1F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 mm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vAlign w:val="center"/>
          </w:tcPr>
          <w:p w14:paraId="67A53033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 weeks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vAlign w:val="center"/>
          </w:tcPr>
          <w:p w14:paraId="473705AB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 weeks</w:t>
            </w:r>
          </w:p>
        </w:tc>
      </w:tr>
      <w:tr w:rsidR="00474677" w14:paraId="1558207C" w14:textId="77777777">
        <w:tc>
          <w:tcPr>
            <w:tcW w:w="1101" w:type="dxa"/>
            <w:vAlign w:val="center"/>
          </w:tcPr>
          <w:p w14:paraId="739DBEAC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b</w:t>
            </w:r>
          </w:p>
        </w:tc>
        <w:tc>
          <w:tcPr>
            <w:tcW w:w="2729" w:type="dxa"/>
            <w:vAlign w:val="center"/>
          </w:tcPr>
          <w:p w14:paraId="05A8C280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TC 100 mg/kg/day,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i.p.</w:t>
            </w:r>
            <w:proofErr w:type="spellEnd"/>
          </w:p>
        </w:tc>
        <w:tc>
          <w:tcPr>
            <w:tcW w:w="1915" w:type="dxa"/>
            <w:vAlign w:val="center"/>
          </w:tcPr>
          <w:p w14:paraId="363A5F46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 mm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  <w:vAlign w:val="center"/>
          </w:tcPr>
          <w:p w14:paraId="7865D1CC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－</w:t>
            </w:r>
          </w:p>
        </w:tc>
        <w:tc>
          <w:tcPr>
            <w:tcW w:w="1915" w:type="dxa"/>
            <w:vAlign w:val="center"/>
          </w:tcPr>
          <w:p w14:paraId="752E8959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 weeks</w:t>
            </w:r>
          </w:p>
        </w:tc>
      </w:tr>
      <w:tr w:rsidR="00474677" w14:paraId="55BF9577" w14:textId="77777777">
        <w:tc>
          <w:tcPr>
            <w:tcW w:w="1101" w:type="dxa"/>
            <w:vAlign w:val="center"/>
          </w:tcPr>
          <w:p w14:paraId="70E2DFFA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c</w:t>
            </w:r>
          </w:p>
        </w:tc>
        <w:tc>
          <w:tcPr>
            <w:tcW w:w="2729" w:type="dxa"/>
            <w:vAlign w:val="center"/>
          </w:tcPr>
          <w:p w14:paraId="4AB77D18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TC 250 mg/kg/day,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i.g</w:t>
            </w:r>
            <w:proofErr w:type="spellEnd"/>
          </w:p>
        </w:tc>
        <w:tc>
          <w:tcPr>
            <w:tcW w:w="1915" w:type="dxa"/>
            <w:vAlign w:val="center"/>
          </w:tcPr>
          <w:p w14:paraId="7C46E48C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 mm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  <w:vAlign w:val="center"/>
          </w:tcPr>
          <w:p w14:paraId="46BABF1A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－</w:t>
            </w:r>
          </w:p>
        </w:tc>
        <w:tc>
          <w:tcPr>
            <w:tcW w:w="1915" w:type="dxa"/>
            <w:vAlign w:val="center"/>
          </w:tcPr>
          <w:p w14:paraId="0542262F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 weeks</w:t>
            </w:r>
          </w:p>
        </w:tc>
      </w:tr>
      <w:tr w:rsidR="00474677" w14:paraId="33E70E4A" w14:textId="77777777">
        <w:tc>
          <w:tcPr>
            <w:tcW w:w="1101" w:type="dxa"/>
            <w:vAlign w:val="center"/>
          </w:tcPr>
          <w:p w14:paraId="31D5DF82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d</w:t>
            </w:r>
          </w:p>
        </w:tc>
        <w:tc>
          <w:tcPr>
            <w:tcW w:w="2729" w:type="dxa"/>
            <w:vAlign w:val="center"/>
          </w:tcPr>
          <w:p w14:paraId="74EC3991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ADR 6 mg/kg/week,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i.p.</w:t>
            </w:r>
            <w:proofErr w:type="spellEnd"/>
          </w:p>
        </w:tc>
        <w:tc>
          <w:tcPr>
            <w:tcW w:w="1915" w:type="dxa"/>
            <w:vAlign w:val="center"/>
          </w:tcPr>
          <w:p w14:paraId="25696A7C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 mm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  <w:vAlign w:val="center"/>
          </w:tcPr>
          <w:p w14:paraId="5826E5CC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 weeks</w:t>
            </w:r>
          </w:p>
        </w:tc>
        <w:tc>
          <w:tcPr>
            <w:tcW w:w="1915" w:type="dxa"/>
            <w:vAlign w:val="center"/>
          </w:tcPr>
          <w:p w14:paraId="674A9946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－</w:t>
            </w:r>
          </w:p>
        </w:tc>
      </w:tr>
      <w:tr w:rsidR="00474677" w14:paraId="5FFDF11B" w14:textId="77777777">
        <w:tc>
          <w:tcPr>
            <w:tcW w:w="1101" w:type="dxa"/>
            <w:vAlign w:val="center"/>
          </w:tcPr>
          <w:p w14:paraId="421BEA06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e</w:t>
            </w:r>
          </w:p>
        </w:tc>
        <w:tc>
          <w:tcPr>
            <w:tcW w:w="2729" w:type="dxa"/>
            <w:vAlign w:val="center"/>
          </w:tcPr>
          <w:p w14:paraId="43EDCA69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ADR 6 mg/kg/week,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i.p.</w:t>
            </w:r>
            <w:proofErr w:type="spellEnd"/>
          </w:p>
        </w:tc>
        <w:tc>
          <w:tcPr>
            <w:tcW w:w="1915" w:type="dxa"/>
            <w:vAlign w:val="center"/>
          </w:tcPr>
          <w:p w14:paraId="147AFD02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 mm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  <w:vAlign w:val="center"/>
          </w:tcPr>
          <w:p w14:paraId="4D48E78E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 weeks</w:t>
            </w:r>
          </w:p>
        </w:tc>
        <w:tc>
          <w:tcPr>
            <w:tcW w:w="1915" w:type="dxa"/>
            <w:vAlign w:val="center"/>
          </w:tcPr>
          <w:p w14:paraId="00E80469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－</w:t>
            </w:r>
          </w:p>
        </w:tc>
      </w:tr>
      <w:tr w:rsidR="00474677" w14:paraId="4AE24608" w14:textId="77777777">
        <w:tc>
          <w:tcPr>
            <w:tcW w:w="1101" w:type="dxa"/>
            <w:vAlign w:val="center"/>
          </w:tcPr>
          <w:p w14:paraId="2C178528" w14:textId="77777777" w:rsidR="00474677" w:rsidRDefault="004746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729" w:type="dxa"/>
            <w:vAlign w:val="center"/>
          </w:tcPr>
          <w:p w14:paraId="1D5C2780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TC 100 mg/kg/day,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i.p.</w:t>
            </w:r>
            <w:proofErr w:type="spellEnd"/>
          </w:p>
        </w:tc>
        <w:tc>
          <w:tcPr>
            <w:tcW w:w="1915" w:type="dxa"/>
            <w:vAlign w:val="center"/>
          </w:tcPr>
          <w:p w14:paraId="7364166A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 mm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  <w:vAlign w:val="center"/>
          </w:tcPr>
          <w:p w14:paraId="61BCD432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－</w:t>
            </w:r>
          </w:p>
        </w:tc>
        <w:tc>
          <w:tcPr>
            <w:tcW w:w="1915" w:type="dxa"/>
            <w:vAlign w:val="center"/>
          </w:tcPr>
          <w:p w14:paraId="24256D63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 weeks</w:t>
            </w:r>
          </w:p>
        </w:tc>
      </w:tr>
      <w:tr w:rsidR="00474677" w14:paraId="0819BEA7" w14:textId="77777777">
        <w:tc>
          <w:tcPr>
            <w:tcW w:w="1101" w:type="dxa"/>
            <w:vAlign w:val="center"/>
          </w:tcPr>
          <w:p w14:paraId="65A57D4A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f</w:t>
            </w:r>
          </w:p>
        </w:tc>
        <w:tc>
          <w:tcPr>
            <w:tcW w:w="2729" w:type="dxa"/>
            <w:vAlign w:val="center"/>
          </w:tcPr>
          <w:p w14:paraId="18C47EAA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ADR 6 mg/kg/week,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i.p.</w:t>
            </w:r>
            <w:proofErr w:type="spellEnd"/>
          </w:p>
        </w:tc>
        <w:tc>
          <w:tcPr>
            <w:tcW w:w="1915" w:type="dxa"/>
            <w:vAlign w:val="center"/>
          </w:tcPr>
          <w:p w14:paraId="453C001F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 mm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  <w:vAlign w:val="center"/>
          </w:tcPr>
          <w:p w14:paraId="29DD803A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 weeks</w:t>
            </w:r>
          </w:p>
        </w:tc>
        <w:tc>
          <w:tcPr>
            <w:tcW w:w="1915" w:type="dxa"/>
            <w:vAlign w:val="center"/>
          </w:tcPr>
          <w:p w14:paraId="318CF82E" w14:textId="77777777" w:rsidR="00474677" w:rsidRDefault="00474677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474677" w14:paraId="69111ABE" w14:textId="77777777"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14:paraId="5EB3BA26" w14:textId="77777777" w:rsidR="00474677" w:rsidRDefault="0047467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729" w:type="dxa"/>
            <w:tcBorders>
              <w:bottom w:val="single" w:sz="4" w:space="0" w:color="auto"/>
            </w:tcBorders>
            <w:vAlign w:val="center"/>
          </w:tcPr>
          <w:p w14:paraId="2FF92776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TC 250 mg/kg/day,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i.g</w:t>
            </w:r>
            <w:proofErr w:type="spellEnd"/>
          </w:p>
        </w:tc>
        <w:tc>
          <w:tcPr>
            <w:tcW w:w="1915" w:type="dxa"/>
            <w:tcBorders>
              <w:bottom w:val="single" w:sz="4" w:space="0" w:color="auto"/>
            </w:tcBorders>
            <w:vAlign w:val="center"/>
          </w:tcPr>
          <w:p w14:paraId="046BA3AD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100 mm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vAlign w:val="center"/>
          </w:tcPr>
          <w:p w14:paraId="3072D41A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24"/>
                <w:sz w:val="24"/>
                <w:szCs w:val="24"/>
              </w:rPr>
              <w:t>－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vAlign w:val="center"/>
          </w:tcPr>
          <w:p w14:paraId="403FC263" w14:textId="77777777" w:rsidR="00474677" w:rsidRDefault="00E1205C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 weeks</w:t>
            </w:r>
          </w:p>
        </w:tc>
      </w:tr>
    </w:tbl>
    <w:p w14:paraId="503BCF80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21945198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520B03DE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0BA038B7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1CAC6886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1D329E52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39F067C3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56C9719D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091882B5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0C5B1819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1DB82F5B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3DFD7958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40250327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66F6D55E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26646E10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75DF1967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0ADE6A19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1199074B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36B9834A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05EE8CD2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2B9D0D16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430BD2B1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379EB801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5F05C0D3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p w14:paraId="7AC33CE9" w14:textId="77777777" w:rsidR="00474677" w:rsidRDefault="00474677">
      <w:pPr>
        <w:rPr>
          <w:rFonts w:asciiTheme="majorBidi" w:hAnsiTheme="majorBidi" w:cstheme="majorBidi"/>
          <w:sz w:val="24"/>
          <w:szCs w:val="24"/>
        </w:rPr>
      </w:pPr>
    </w:p>
    <w:sectPr w:rsidR="00474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3110EE"/>
    <w:multiLevelType w:val="multilevel"/>
    <w:tmpl w:val="283110EE"/>
    <w:lvl w:ilvl="0">
      <w:start w:val="1"/>
      <w:numFmt w:val="decimal"/>
      <w:lvlText w:val="%1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75AF0891"/>
    <w:multiLevelType w:val="multilevel"/>
    <w:tmpl w:val="75AF0891"/>
    <w:lvl w:ilvl="0">
      <w:start w:val="1"/>
      <w:numFmt w:val="decimal"/>
      <w:lvlText w:val="%1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ascii="Times New Roman" w:hAnsi="Times New Roman" w:cs="Times New Roman" w:hint="default"/>
      </w:rPr>
    </w:lvl>
  </w:abstractNum>
  <w:num w:numId="1" w16cid:durableId="5646055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7696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E4M2M1NTRjYTJlMWQ3YjBiOGFiZWVkZjk5MTMwMjYifQ=="/>
  </w:docVars>
  <w:rsids>
    <w:rsidRoot w:val="00C63AD2"/>
    <w:rsid w:val="00026387"/>
    <w:rsid w:val="000727E1"/>
    <w:rsid w:val="0007630F"/>
    <w:rsid w:val="00092D8E"/>
    <w:rsid w:val="000A2EFC"/>
    <w:rsid w:val="000B2EC8"/>
    <w:rsid w:val="000B5657"/>
    <w:rsid w:val="000E23B7"/>
    <w:rsid w:val="000E47DF"/>
    <w:rsid w:val="00112620"/>
    <w:rsid w:val="00141570"/>
    <w:rsid w:val="00145000"/>
    <w:rsid w:val="00163ABC"/>
    <w:rsid w:val="00183A95"/>
    <w:rsid w:val="001920A3"/>
    <w:rsid w:val="001C2880"/>
    <w:rsid w:val="001C4418"/>
    <w:rsid w:val="001D1E74"/>
    <w:rsid w:val="00275474"/>
    <w:rsid w:val="002D67C1"/>
    <w:rsid w:val="00366A90"/>
    <w:rsid w:val="00372D01"/>
    <w:rsid w:val="003844DF"/>
    <w:rsid w:val="003E1A04"/>
    <w:rsid w:val="003E3398"/>
    <w:rsid w:val="0040303A"/>
    <w:rsid w:val="00420EEA"/>
    <w:rsid w:val="00461D0E"/>
    <w:rsid w:val="00474677"/>
    <w:rsid w:val="00481103"/>
    <w:rsid w:val="004B2765"/>
    <w:rsid w:val="004D2AF0"/>
    <w:rsid w:val="004D4969"/>
    <w:rsid w:val="004D52F2"/>
    <w:rsid w:val="004E0EAB"/>
    <w:rsid w:val="00526330"/>
    <w:rsid w:val="00536A24"/>
    <w:rsid w:val="00573809"/>
    <w:rsid w:val="0057757E"/>
    <w:rsid w:val="005858C7"/>
    <w:rsid w:val="006072E2"/>
    <w:rsid w:val="00632759"/>
    <w:rsid w:val="006543B6"/>
    <w:rsid w:val="0067170F"/>
    <w:rsid w:val="00690F10"/>
    <w:rsid w:val="006955F7"/>
    <w:rsid w:val="006C707D"/>
    <w:rsid w:val="00727473"/>
    <w:rsid w:val="00731726"/>
    <w:rsid w:val="00781C7D"/>
    <w:rsid w:val="007C5ECD"/>
    <w:rsid w:val="007E0D36"/>
    <w:rsid w:val="0082286B"/>
    <w:rsid w:val="00827A75"/>
    <w:rsid w:val="00863333"/>
    <w:rsid w:val="008668CD"/>
    <w:rsid w:val="0089323E"/>
    <w:rsid w:val="008C05FC"/>
    <w:rsid w:val="00942962"/>
    <w:rsid w:val="00942BD0"/>
    <w:rsid w:val="00947A98"/>
    <w:rsid w:val="00960691"/>
    <w:rsid w:val="00972514"/>
    <w:rsid w:val="009807EA"/>
    <w:rsid w:val="00987D1B"/>
    <w:rsid w:val="00990E2C"/>
    <w:rsid w:val="009B0DC4"/>
    <w:rsid w:val="009B3E65"/>
    <w:rsid w:val="009F3D7D"/>
    <w:rsid w:val="00A12344"/>
    <w:rsid w:val="00A21693"/>
    <w:rsid w:val="00A34107"/>
    <w:rsid w:val="00A4692F"/>
    <w:rsid w:val="00B30BF0"/>
    <w:rsid w:val="00BF44F8"/>
    <w:rsid w:val="00C63AD2"/>
    <w:rsid w:val="00C80B12"/>
    <w:rsid w:val="00D04F88"/>
    <w:rsid w:val="00D128D6"/>
    <w:rsid w:val="00DA7D52"/>
    <w:rsid w:val="00DE375D"/>
    <w:rsid w:val="00DE5952"/>
    <w:rsid w:val="00DF1E35"/>
    <w:rsid w:val="00E1205C"/>
    <w:rsid w:val="00E30BFE"/>
    <w:rsid w:val="00E40DC1"/>
    <w:rsid w:val="00E777DC"/>
    <w:rsid w:val="00E806FD"/>
    <w:rsid w:val="00EA1CA0"/>
    <w:rsid w:val="00EB1437"/>
    <w:rsid w:val="00EF613B"/>
    <w:rsid w:val="00F22180"/>
    <w:rsid w:val="00F3726A"/>
    <w:rsid w:val="00FA285B"/>
    <w:rsid w:val="7727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78C56303"/>
  <w15:docId w15:val="{40263A93-A914-446D-BDAE-658A47F1E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customStyle="1" w:styleId="Ahmed">
    <w:name w:val="Ahmed"/>
    <w:basedOn w:val="Normal"/>
    <w:qFormat/>
    <w:pPr>
      <w:autoSpaceDE w:val="0"/>
      <w:autoSpaceDN w:val="0"/>
      <w:adjustRightInd w:val="0"/>
      <w:jc w:val="left"/>
    </w:pPr>
    <w:rPr>
      <w:rFonts w:ascii="Times New Roman" w:eastAsia="Times" w:hAnsi="Times New Roman" w:cs="Times New Roman"/>
      <w:kern w:val="0"/>
      <w:sz w:val="24"/>
      <w:szCs w:val="24"/>
    </w:rPr>
  </w:style>
  <w:style w:type="paragraph" w:customStyle="1" w:styleId="1">
    <w:name w:val="1"/>
    <w:basedOn w:val="Normal"/>
    <w:qFormat/>
    <w:pPr>
      <w:widowControl/>
      <w:spacing w:after="200" w:line="276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AHMED0">
    <w:name w:val="AHMED"/>
    <w:basedOn w:val="Normal"/>
    <w:qFormat/>
    <w:pPr>
      <w:widowControl/>
      <w:spacing w:after="200" w:line="276" w:lineRule="auto"/>
      <w:jc w:val="left"/>
    </w:pPr>
    <w:rPr>
      <w:rFonts w:asciiTheme="majorBidi" w:hAnsiTheme="majorBidi" w:cstheme="majorBidi"/>
      <w:b/>
      <w:bCs/>
      <w:kern w:val="0"/>
      <w:sz w:val="24"/>
      <w:szCs w:val="24"/>
    </w:rPr>
  </w:style>
  <w:style w:type="paragraph" w:customStyle="1" w:styleId="SupplementaryMaterial">
    <w:name w:val="Supplementary Material"/>
    <w:basedOn w:val="Normal"/>
    <w:next w:val="Normal"/>
    <w:pPr>
      <w:suppressLineNumbers/>
      <w:spacing w:before="240" w:after="120"/>
      <w:jc w:val="center"/>
    </w:pPr>
    <w:rPr>
      <w:rFonts w:ascii="Times New Roman" w:eastAsia="Calibri" w:hAnsi="Times New Roman" w:cs="Times New Roman"/>
      <w:b/>
      <w:i/>
      <w:kern w:val="0"/>
      <w:sz w:val="32"/>
      <w:szCs w:val="32"/>
    </w:rPr>
  </w:style>
  <w:style w:type="paragraph" w:customStyle="1" w:styleId="11">
    <w:name w:val="标题 11"/>
    <w:basedOn w:val="ListParagraph"/>
    <w:next w:val="Normal"/>
    <w:pPr>
      <w:widowControl/>
      <w:spacing w:before="240" w:after="240"/>
      <w:ind w:left="567" w:hanging="567"/>
      <w:contextualSpacing w:val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21">
    <w:name w:val="标题 21"/>
    <w:basedOn w:val="Normal"/>
    <w:next w:val="Normal"/>
    <w:pPr>
      <w:widowControl/>
      <w:spacing w:before="240" w:after="200"/>
      <w:ind w:left="567" w:hanging="567"/>
      <w:jc w:val="left"/>
      <w:outlineLvl w:val="1"/>
    </w:pPr>
    <w:rPr>
      <w:rFonts w:ascii="Times New Roman" w:eastAsia="Cambria" w:hAnsi="Times New Roman" w:cs="Times New Roman"/>
      <w:b/>
      <w:kern w:val="0"/>
      <w:sz w:val="24"/>
      <w:szCs w:val="24"/>
    </w:rPr>
  </w:style>
  <w:style w:type="paragraph" w:customStyle="1" w:styleId="10">
    <w:name w:val="正文1"/>
    <w:pPr>
      <w:spacing w:before="120" w:after="24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01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8952</TotalTime>
  <Pages>9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米度</dc:creator>
  <cp:lastModifiedBy>Laura Davis</cp:lastModifiedBy>
  <cp:revision>109</cp:revision>
  <dcterms:created xsi:type="dcterms:W3CDTF">2024-04-20T17:04:00Z</dcterms:created>
  <dcterms:modified xsi:type="dcterms:W3CDTF">2024-09-09T12:37:00Z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2F119065029A4D40B04C30326636463F_12</vt:lpwstr>
  </property>
</Properties>
</file>