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ind w:firstLine="0"/>
        <w:jc w:val="center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5940000" cy="4457700"/>
            <wp:effectExtent b="0" l="0" r="0" t="0"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firstLine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firstLine="0"/>
        <w:jc w:val="center"/>
        <w:rPr/>
      </w:pPr>
      <w:r w:rsidDel="00000000" w:rsidR="00000000" w:rsidRPr="00000000">
        <w:rPr>
          <w:b w:val="1"/>
          <w:rtl w:val="0"/>
        </w:rPr>
        <w:t xml:space="preserve">Figure S1. </w:t>
      </w:r>
      <w:r w:rsidDel="00000000" w:rsidR="00000000" w:rsidRPr="00000000">
        <w:rPr>
          <w:rtl w:val="0"/>
        </w:rPr>
        <w:t xml:space="preserve">Hematoxylin-eosin staining of a tumor sample, magnified at ×200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04">
      <w:pPr>
        <w:ind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firstLine="0"/>
        <w:jc w:val="center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5940000" cy="4457700"/>
            <wp:effectExtent b="0" l="0" r="0" t="0"/>
            <wp:docPr id="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firstLine="720"/>
        <w:jc w:val="center"/>
        <w:rPr/>
      </w:pPr>
      <w:r w:rsidDel="00000000" w:rsidR="00000000" w:rsidRPr="00000000">
        <w:rPr>
          <w:b w:val="1"/>
          <w:rtl w:val="0"/>
        </w:rPr>
        <w:t xml:space="preserve">Figure S2.</w:t>
      </w:r>
      <w:r w:rsidDel="00000000" w:rsidR="00000000" w:rsidRPr="00000000">
        <w:rPr>
          <w:rtl w:val="0"/>
        </w:rPr>
        <w:t xml:space="preserve"> Ki-67 staining of a tumor sample, magnified at ×400.</w:t>
      </w:r>
    </w:p>
    <w:sectPr>
      <w:pgSz w:h="16838" w:w="11906" w:orient="portrait"/>
      <w:pgMar w:bottom="1133.8582677165355" w:top="1133.8582677165355" w:left="1700.7874015748032" w:right="850.3937007874016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