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0C071FB5" w:rsidR="00994A3D" w:rsidRPr="00994A3D" w:rsidRDefault="00654E8F" w:rsidP="0001436A">
      <w:pPr>
        <w:pStyle w:val="1"/>
      </w:pPr>
      <w:r w:rsidRPr="00994A3D">
        <w:t>Supplementary Table</w:t>
      </w:r>
    </w:p>
    <w:p w14:paraId="7CBAFB89" w14:textId="2B75E563" w:rsidR="00F42793" w:rsidRDefault="004B266F" w:rsidP="002B4A57">
      <w:r w:rsidRPr="00F42793">
        <w:rPr>
          <w:rFonts w:eastAsia="宋体" w:cs="Times New Roman"/>
          <w:b/>
          <w:bCs/>
          <w:color w:val="000000"/>
          <w:szCs w:val="24"/>
          <w:lang w:eastAsia="zh-CN"/>
        </w:rPr>
        <w:t>SUPPLYMENTARY TABLE</w:t>
      </w:r>
      <w:r w:rsidR="00F42793" w:rsidRPr="00F42793">
        <w:rPr>
          <w:rFonts w:eastAsia="宋体" w:cs="Times New Roman"/>
          <w:b/>
          <w:bCs/>
          <w:color w:val="000000"/>
          <w:szCs w:val="24"/>
          <w:lang w:eastAsia="zh-CN"/>
        </w:rPr>
        <w:t xml:space="preserve"> 1</w:t>
      </w:r>
      <w:r w:rsidR="00F42793" w:rsidRPr="00F42793">
        <w:rPr>
          <w:rFonts w:eastAsia="宋体" w:cs="Times New Roman" w:hint="eastAsia"/>
          <w:b/>
          <w:bCs/>
          <w:color w:val="000000"/>
          <w:szCs w:val="24"/>
          <w:lang w:eastAsia="zh-CN"/>
        </w:rPr>
        <w:t>.</w:t>
      </w:r>
      <w:r w:rsidR="00F42793" w:rsidRPr="00F42793">
        <w:rPr>
          <w:rFonts w:eastAsia="宋体" w:cs="Times New Roman"/>
          <w:b/>
          <w:bCs/>
          <w:color w:val="000000"/>
          <w:szCs w:val="24"/>
          <w:lang w:eastAsia="zh-CN"/>
        </w:rPr>
        <w:t xml:space="preserve"> </w:t>
      </w:r>
      <w:r w:rsidR="00F42793" w:rsidRPr="00F42793">
        <w:rPr>
          <w:rFonts w:eastAsia="宋体" w:cs="Times New Roman"/>
          <w:color w:val="000000"/>
          <w:szCs w:val="24"/>
          <w:lang w:eastAsia="zh-CN"/>
        </w:rPr>
        <w:t>Pharmacological mechanism of trial drugs on diabetes</w:t>
      </w:r>
    </w:p>
    <w:tbl>
      <w:tblPr>
        <w:tblW w:w="13041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8080"/>
        <w:gridCol w:w="1134"/>
        <w:gridCol w:w="1559"/>
      </w:tblGrid>
      <w:tr w:rsidR="005113BC" w:rsidRPr="005113BC" w14:paraId="7B9F3544" w14:textId="77777777" w:rsidTr="005113BC">
        <w:trPr>
          <w:trHeight w:val="648"/>
        </w:trPr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FBBFE" w14:textId="77777777" w:rsidR="005113BC" w:rsidRPr="005113BC" w:rsidRDefault="005113BC" w:rsidP="005113BC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Category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BF48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Drug(number)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10FF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 xml:space="preserve">Number of </w:t>
            </w:r>
            <w:proofErr w:type="gramStart"/>
            <w:r w:rsidRPr="005113BC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drug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DB17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Number of clinical trials</w:t>
            </w:r>
          </w:p>
        </w:tc>
      </w:tr>
      <w:tr w:rsidR="005113BC" w:rsidRPr="005113BC" w14:paraId="6641E5E8" w14:textId="77777777" w:rsidTr="005113BC">
        <w:trPr>
          <w:trHeight w:val="1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73B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Single agent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9FE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DPP-4i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114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Sitagliptin (46), Vildagliptin (37),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Retagliptin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(24),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Alogliptin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(20), Linagliptin (18),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Fotagliptin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(14),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Prusogliptin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(14),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Trelagliptin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(13),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Saxagliptin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(11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),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Cetagliptin</w:t>
            </w:r>
            <w:proofErr w:type="spellEnd"/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(10), 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Yogliptin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(9), HSK7653 (9), Teneligliptin(5),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Evogliptin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(4), TQ05510 (2),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Bogliptin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(2),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Singletine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(2), HD118(1), HL012MA(1), TQ-F3083(1),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Dorzagliatin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(1), Gemigliptin(1), Anagliptin(1)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A3E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262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245</w:t>
            </w:r>
          </w:p>
        </w:tc>
      </w:tr>
      <w:tr w:rsidR="005113BC" w:rsidRPr="005113BC" w14:paraId="5780FA80" w14:textId="77777777" w:rsidTr="005113BC">
        <w:trPr>
          <w:trHeight w:val="213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EE8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13B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5F6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Semaglutide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(27), Liraglutide(24), Exenatide(18), TG103(8),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Loxenatide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(7), GMA102(6),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Ecnoglutide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(6), Recombinant Insulin Secretagogue(5),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Albenatide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(5),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Supaglutide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(5),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Noiiglutide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(4), Dulaglutide(4), JY09(4), Recombinant GLP-1 Receptor Agonist Injection(4)</w:t>
            </w:r>
            <w:r w:rsidRPr="005113BC">
              <w:rPr>
                <w:rFonts w:ascii="宋体" w:eastAsia="宋体" w:hAnsi="宋体" w:cs="Times New Roman" w:hint="eastAsia"/>
                <w:color w:val="000000"/>
                <w:sz w:val="22"/>
                <w:lang w:eastAsia="zh-CN"/>
              </w:rPr>
              <w:t>，</w:t>
            </w: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Efpeglenatide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(3)</w:t>
            </w:r>
            <w:r w:rsidRPr="005113BC">
              <w:rPr>
                <w:rFonts w:ascii="宋体" w:eastAsia="宋体" w:hAnsi="宋体" w:cs="Times New Roman" w:hint="eastAsia"/>
                <w:color w:val="000000"/>
                <w:sz w:val="22"/>
                <w:lang w:eastAsia="zh-CN"/>
              </w:rPr>
              <w:t xml:space="preserve">, </w:t>
            </w: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GZR18(3), HRS-7535(3),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Orforglipron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(3</w:t>
            </w:r>
            <w:r w:rsidRPr="005113BC">
              <w:rPr>
                <w:rFonts w:eastAsia="宋体" w:cs="Times New Roman"/>
                <w:sz w:val="22"/>
                <w:lang w:eastAsia="zh-CN"/>
              </w:rPr>
              <w:t xml:space="preserve">), TTP273(3), PB-119(2),  HL08(2), Exendin-4-Fc fusion protein injection(2), LY05008(2), SL209(2), BGM0504(2), HSK34890(2), VCT220(2), 14028(1), </w:t>
            </w:r>
            <w:proofErr w:type="spellStart"/>
            <w:r w:rsidRPr="005113BC">
              <w:rPr>
                <w:rFonts w:eastAsia="宋体" w:cs="Times New Roman"/>
                <w:sz w:val="22"/>
                <w:lang w:eastAsia="zh-CN"/>
              </w:rPr>
              <w:t>Lixisenatide</w:t>
            </w:r>
            <w:proofErr w:type="spellEnd"/>
            <w:r w:rsidRPr="005113BC">
              <w:rPr>
                <w:rFonts w:eastAsia="宋体" w:cs="Times New Roman"/>
                <w:sz w:val="22"/>
                <w:lang w:eastAsia="zh-CN"/>
              </w:rPr>
              <w:t xml:space="preserve">(1), BPI-3016(1), </w:t>
            </w:r>
            <w:proofErr w:type="spellStart"/>
            <w:r w:rsidRPr="005113BC">
              <w:rPr>
                <w:rFonts w:eastAsia="宋体" w:cs="Times New Roman"/>
                <w:sz w:val="22"/>
                <w:lang w:eastAsia="zh-CN"/>
              </w:rPr>
              <w:t>Beinaglutide</w:t>
            </w:r>
            <w:proofErr w:type="spellEnd"/>
            <w:r w:rsidRPr="005113BC">
              <w:rPr>
                <w:rFonts w:eastAsia="宋体" w:cs="Times New Roman"/>
                <w:sz w:val="22"/>
                <w:lang w:eastAsia="zh-CN"/>
              </w:rPr>
              <w:t xml:space="preserve">(1), MW04(1), SAL015(1), PF-06882961(1), HB1085(1),  SAL0112(1),CJC-1134-PC(1), </w:t>
            </w: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AP026(1), RAY1225(1), HDM1002(1), ZT002(1), KN056(1), SHR-3167(1), BPYT-01(1),THDBH110(1)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C42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5F9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176</w:t>
            </w:r>
          </w:p>
        </w:tc>
      </w:tr>
      <w:tr w:rsidR="005113BC" w:rsidRPr="005113BC" w14:paraId="066CD7A4" w14:textId="77777777" w:rsidTr="005113BC">
        <w:trPr>
          <w:trHeight w:val="9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F2F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C2B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SGLT2i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4C3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Empagliflozin(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54), Dapagliflozin(37),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Henagliflozein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(22), Canagliflozin(20),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Rongliflozin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(10),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Janagliflozin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(8),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Tianagliflozin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(4), LH-1801(3), Ertugliflozin(2),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Bexagliflozin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(2), YL-10069(1), DWP16001(1)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8A0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593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164</w:t>
            </w:r>
          </w:p>
        </w:tc>
      </w:tr>
      <w:tr w:rsidR="005113BC" w:rsidRPr="005113BC" w14:paraId="57A4D53A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677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7B7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Biguanide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A7F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 (135)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A47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90B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135</w:t>
            </w:r>
          </w:p>
        </w:tc>
      </w:tr>
      <w:tr w:rsidR="005113BC" w:rsidRPr="005113BC" w14:paraId="39DEC7F6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06B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2D0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SU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E0A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Gliclazide(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29), Glipizide(26), Repaglinide(18), Glimepiride(17),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Mitiglinide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(14), Gliquidone(10),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Nateglinide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07B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D52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119</w:t>
            </w:r>
          </w:p>
        </w:tc>
      </w:tr>
      <w:tr w:rsidR="005113BC" w:rsidRPr="005113BC" w14:paraId="52BF3874" w14:textId="77777777" w:rsidTr="005113BC">
        <w:trPr>
          <w:trHeight w:val="10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ED1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E16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Insulin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C45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Insulin </w:t>
            </w: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degludec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17), 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aspart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(5), Insulin glargine(5), Recombinant Human Insulin(4), INS068(4), LY900014(3), THDB0206(3), Isophane Protamine Recombinant Human Insulin(2), LY2963016(2), LY3209590(2), CA001(1)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557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30E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48</w:t>
            </w:r>
          </w:p>
        </w:tc>
      </w:tr>
      <w:tr w:rsidR="005113BC" w:rsidRPr="005113BC" w14:paraId="2ADBB08B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A3D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3A7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AGi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BCC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Acarbose(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38), Miglitol(4)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A27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75D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42</w:t>
            </w:r>
          </w:p>
        </w:tc>
      </w:tr>
      <w:tr w:rsidR="005113BC" w:rsidRPr="005113BC" w14:paraId="5B677EE3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8C8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F9B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GKA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EA6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Dorzagliatin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11), PB-201(3),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Globalagliatin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(5),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Dorzagliatin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F30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F31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20</w:t>
            </w:r>
          </w:p>
        </w:tc>
      </w:tr>
      <w:tr w:rsidR="005113BC" w:rsidRPr="005113BC" w14:paraId="468B9E45" w14:textId="77777777" w:rsidTr="005113BC">
        <w:trPr>
          <w:trHeight w:val="11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B9E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F0C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TCM/Nature drug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44A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Ramulus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Mori alkaloids 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tablets(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3),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Zhi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Mu Duo Fen Capsule(1),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Jin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Li Tang Ping Tablet(1),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Jin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Qi Jiang Tang Capsule(1), Hu Huang Jiang Tang Capsule(1), Chi Gan Capsule(1), Shan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Zhuyu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terpene tablets(1), Shu Tang granule(1), San Ye Tang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Zhi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Tablet(1), Tang Mai Jiao Tai Capsule(1), Zi Chun Tablet(1), Lian Mei Granule(1), Berberine(1)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9B8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1EA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15</w:t>
            </w:r>
          </w:p>
        </w:tc>
      </w:tr>
      <w:tr w:rsidR="005113BC" w:rsidRPr="005113BC" w14:paraId="2BC5F80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A05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43A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GIP/GLP-1Ra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6F4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Tirzepatide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6), HRS9531(3), HS-20094(2), HZ010(1), HZ012(1), THDBH120(1)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7A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DA9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14</w:t>
            </w:r>
          </w:p>
        </w:tc>
      </w:tr>
      <w:tr w:rsidR="005113BC" w:rsidRPr="005113BC" w14:paraId="4F61E0DB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D85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42B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PPAR-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γa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86D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Pioglitazone(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67D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36C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12</w:t>
            </w:r>
          </w:p>
        </w:tc>
      </w:tr>
      <w:tr w:rsidR="005113BC" w:rsidRPr="005113BC" w14:paraId="51B5B672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21B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B32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PPARa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116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Chiglitazar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811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3AC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10</w:t>
            </w:r>
          </w:p>
        </w:tc>
      </w:tr>
      <w:tr w:rsidR="005113BC" w:rsidRPr="005113BC" w14:paraId="0FCB8D39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037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B93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GCG/GLP-1RA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C23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Mazdutide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3B7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D22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7</w:t>
            </w:r>
          </w:p>
        </w:tc>
      </w:tr>
      <w:tr w:rsidR="005113BC" w:rsidRPr="005113BC" w14:paraId="4817A36E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6FC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848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SGLT1i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E09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SY-008(7)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439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FB5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7</w:t>
            </w:r>
          </w:p>
        </w:tc>
      </w:tr>
      <w:tr w:rsidR="005113BC" w:rsidRPr="005113BC" w14:paraId="3335CFF5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96F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548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FXRa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B3F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HTD1801(6)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BF4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071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6</w:t>
            </w:r>
          </w:p>
        </w:tc>
      </w:tr>
      <w:tr w:rsidR="005113BC" w:rsidRPr="005113BC" w14:paraId="74EAACEC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BD7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B22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PPAR-α/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γa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A0C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Aleglitazar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2D9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97A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5</w:t>
            </w:r>
          </w:p>
        </w:tc>
      </w:tr>
      <w:tr w:rsidR="005113BC" w:rsidRPr="005113BC" w14:paraId="67BB83E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DB4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5B9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GPRR40a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2C3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Fuglifam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2), TAK-875(1), TSL-1806(1)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0AD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407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</w:tr>
      <w:tr w:rsidR="005113BC" w:rsidRPr="005113BC" w14:paraId="5CC5C2E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167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E6B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SGLT1/2i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938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Sotagliflozin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D56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6FB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</w:tr>
      <w:tr w:rsidR="005113BC" w:rsidRPr="005113BC" w14:paraId="4C1513FE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E2A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850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CALCRa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0FC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Pramlintide(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06D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D6E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</w:tr>
      <w:tr w:rsidR="005113BC" w:rsidRPr="005113BC" w14:paraId="0DAE325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E59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D3E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DRDsa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11C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Bromocriptine(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808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5E1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</w:tr>
      <w:tr w:rsidR="005113BC" w:rsidRPr="005113BC" w14:paraId="59A6AB5C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EE3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AFC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GCGRa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CE8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ISIS449884(2)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957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EB4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</w:tr>
      <w:tr w:rsidR="005113BC" w:rsidRPr="005113BC" w14:paraId="535C881A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BFB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9A6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GCGR/GIPR/GLP-1Ra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7A3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UBT251(2), MWN101(1)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B81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21B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</w:tr>
      <w:tr w:rsidR="005113BC" w:rsidRPr="005113BC" w14:paraId="748B490B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3BB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A9E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GIPRa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365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NNC0480-0389(1)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8F6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6C0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5113BC" w:rsidRPr="005113BC" w14:paraId="731D6DCA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189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355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FGF21 /GLP-1Ra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69E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HEC88473(2)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A33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C50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</w:tr>
      <w:tr w:rsidR="005113BC" w:rsidRPr="005113BC" w14:paraId="7B81CBA7" w14:textId="77777777" w:rsidTr="005113BC">
        <w:trPr>
          <w:trHeight w:val="7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CCD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Compound drug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B0F7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DPP-4i and Biguanide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C64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Sitagliptin/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46), Linagliptin/Metformin(10),Vildagliptin/Metformin(10),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Saxagliptin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/Metformin(6),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Alogliptin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/Metformin(1),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Retagliptin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/Metformin(1)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5841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9F2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74</w:t>
            </w:r>
          </w:p>
        </w:tc>
      </w:tr>
      <w:tr w:rsidR="005113BC" w:rsidRPr="005113BC" w14:paraId="24C76F25" w14:textId="77777777" w:rsidTr="005113BC">
        <w:trPr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AFF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738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SGLT2i and Biguanide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A3C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Empagliflozin/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41), Dapagliflozin/Metformin(41),Canagliflozin/Metformin(4),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Henagliflozein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/Metformin(2)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3FA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3B3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64</w:t>
            </w:r>
          </w:p>
        </w:tc>
      </w:tr>
      <w:tr w:rsidR="005113BC" w:rsidRPr="005113BC" w14:paraId="5656A1F2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A0D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BC4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PPAR-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γa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and Biguanide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EDA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Pioglitazone/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058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66F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18</w:t>
            </w:r>
          </w:p>
        </w:tc>
      </w:tr>
      <w:tr w:rsidR="005113BC" w:rsidRPr="005113BC" w14:paraId="5FC2B874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96EE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166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SU and Biguanide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72F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Glipizide/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9), Glyburide/Metformin(2), Glimepiride/Metformin(2)</w:t>
            </w:r>
            <w:r w:rsidRPr="005113BC">
              <w:rPr>
                <w:rFonts w:ascii="宋体" w:eastAsia="宋体" w:hAnsi="宋体" w:cs="Times New Roman" w:hint="eastAsia"/>
                <w:color w:val="000000"/>
                <w:sz w:val="22"/>
                <w:lang w:eastAsia="zh-CN"/>
              </w:rPr>
              <w:t xml:space="preserve">, </w:t>
            </w: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Repaglinide/Metformin(2)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0F0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657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15</w:t>
            </w:r>
          </w:p>
        </w:tc>
      </w:tr>
      <w:tr w:rsidR="005113BC" w:rsidRPr="005113BC" w14:paraId="11C9764D" w14:textId="77777777" w:rsidTr="005113BC">
        <w:trPr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25A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B75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Insulin type combinations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2A2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Degludec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/Insulin </w:t>
            </w: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Aspart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6), 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Aspart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Protamine/Insulin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Aspart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(2), Insulin Isophane Human/Insulin Human(5), Insulin Lispro Protamine/Insulin Lispro Injectable Suspension(1)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A75B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26B3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14</w:t>
            </w:r>
          </w:p>
        </w:tc>
      </w:tr>
      <w:tr w:rsidR="005113BC" w:rsidRPr="005113BC" w14:paraId="05BE5E4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103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AFD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Insulin and GLP-1Ra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F59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Insulin Glargine/</w:t>
            </w:r>
            <w:proofErr w:type="spellStart"/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Lixisenatide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4), 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Degludec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/Liraglutide(4), HR17031(3), Insulin 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Icodec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/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Semaglutide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9E6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CB6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12</w:t>
            </w:r>
          </w:p>
        </w:tc>
      </w:tr>
      <w:tr w:rsidR="005113BC" w:rsidRPr="005113BC" w14:paraId="733AE856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633C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F88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PPAR-</w:t>
            </w: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γa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and SU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ECB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Pioglitazone/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Glimepiride(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1A8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71C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10</w:t>
            </w:r>
          </w:p>
        </w:tc>
      </w:tr>
      <w:tr w:rsidR="005113BC" w:rsidRPr="005113BC" w14:paraId="4EB59DE0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0D8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99B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DPP-4i and SGLT1/2i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C90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Empagliflozin/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Linagliptin(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23ED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F88A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5113BC" w:rsidRPr="005113BC" w14:paraId="7FA4D31B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68C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6770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SGLT2i and DPP-4i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1DC9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THDBH101(1)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89A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9938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5113BC" w:rsidRPr="005113BC" w14:paraId="48C53F54" w14:textId="77777777" w:rsidTr="005113BC">
        <w:trPr>
          <w:trHeight w:val="552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3A3DF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2A5F6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proofErr w:type="spell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AGi</w:t>
            </w:r>
            <w:proofErr w:type="spell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and Biguanide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5A342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Acarbose/</w:t>
            </w:r>
            <w:proofErr w:type="gramStart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Metformin(</w:t>
            </w:r>
            <w:proofErr w:type="gramEnd"/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51375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872B4" w14:textId="77777777" w:rsidR="005113BC" w:rsidRPr="005113BC" w:rsidRDefault="005113BC" w:rsidP="005113BC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5113BC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</w:tr>
    </w:tbl>
    <w:p w14:paraId="022BD000" w14:textId="65D73E87" w:rsidR="00F42793" w:rsidRDefault="00F42793" w:rsidP="002B4A57"/>
    <w:p w14:paraId="0D86B989" w14:textId="77777777" w:rsidR="00F42793" w:rsidRPr="002B4A57" w:rsidRDefault="00F42793" w:rsidP="002B4A57">
      <w:pPr>
        <w:rPr>
          <w:rFonts w:cs="Times New Roman"/>
          <w:szCs w:val="24"/>
          <w:u w:val="single"/>
        </w:rPr>
      </w:pPr>
    </w:p>
    <w:sectPr w:rsidR="00F42793" w:rsidRPr="002B4A57" w:rsidSect="00F42793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27F3" w14:textId="77777777" w:rsidR="00FE3F35" w:rsidRDefault="00FE3F35" w:rsidP="00117666">
      <w:pPr>
        <w:spacing w:after="0"/>
      </w:pPr>
      <w:r>
        <w:separator/>
      </w:r>
    </w:p>
  </w:endnote>
  <w:endnote w:type="continuationSeparator" w:id="0">
    <w:p w14:paraId="02CEA3C3" w14:textId="77777777" w:rsidR="00FE3F35" w:rsidRDefault="00FE3F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39C5" w14:textId="77777777" w:rsidR="00FE3F35" w:rsidRDefault="00FE3F35" w:rsidP="00117666">
      <w:pPr>
        <w:spacing w:after="0"/>
      </w:pPr>
      <w:r>
        <w:separator/>
      </w:r>
    </w:p>
  </w:footnote>
  <w:footnote w:type="continuationSeparator" w:id="0">
    <w:p w14:paraId="65A7E343" w14:textId="77777777" w:rsidR="00FE3F35" w:rsidRDefault="00FE3F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B266F"/>
    <w:rsid w:val="005113B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20A7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0142"/>
    <w:rsid w:val="00C52A7B"/>
    <w:rsid w:val="00C56BAF"/>
    <w:rsid w:val="00C679AA"/>
    <w:rsid w:val="00C75972"/>
    <w:rsid w:val="00C96180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2793"/>
    <w:rsid w:val="00F46900"/>
    <w:rsid w:val="00F61D89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Renzhi Qi</cp:lastModifiedBy>
  <cp:revision>8</cp:revision>
  <cp:lastPrinted>2013-10-03T12:51:00Z</cp:lastPrinted>
  <dcterms:created xsi:type="dcterms:W3CDTF">2022-11-17T16:58:00Z</dcterms:created>
  <dcterms:modified xsi:type="dcterms:W3CDTF">2024-05-02T03:26:00Z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