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A645" w14:textId="77777777" w:rsidR="001773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cida Sans" w:eastAsia="Lucida Sans" w:hAnsi="Lucida Sans" w:cs="Lucida Sans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404BAF6A" wp14:editId="32953AAB">
            <wp:extent cx="457200" cy="4191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ucida Sans" w:eastAsia="Lucida Sans" w:hAnsi="Lucida Sans" w:cs="Lucida Sans"/>
          <w:color w:val="000000"/>
          <w:sz w:val="24"/>
          <w:szCs w:val="24"/>
        </w:rPr>
        <w:t>PRISMA 2020 Checklist</w:t>
      </w:r>
    </w:p>
    <w:tbl>
      <w:tblPr>
        <w:tblStyle w:val="a"/>
        <w:tblW w:w="15023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6"/>
        <w:gridCol w:w="588"/>
        <w:gridCol w:w="11712"/>
        <w:gridCol w:w="1067"/>
      </w:tblGrid>
      <w:tr w:rsidR="0017739E" w14:paraId="1BC7606E" w14:textId="77777777">
        <w:trPr>
          <w:trHeight w:val="863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5E9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Section and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7DBE73B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Topic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322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Item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74B5EEE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#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69D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Checklist item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010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Location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5E66CA7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FFFFFF"/>
                <w:sz w:val="18"/>
                <w:szCs w:val="18"/>
              </w:rPr>
            </w:pPr>
            <w:proofErr w:type="gramStart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where</w:t>
            </w:r>
            <w:proofErr w:type="gramEnd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2872A62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item </w:t>
            </w:r>
            <w:proofErr w:type="gramStart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is</w:t>
            </w:r>
            <w:proofErr w:type="gramEnd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515DEFD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reported</w:t>
            </w:r>
          </w:p>
        </w:tc>
      </w:tr>
      <w:tr w:rsidR="0017739E" w14:paraId="0AA7127D" w14:textId="77777777">
        <w:trPr>
          <w:trHeight w:val="226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147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 xml:space="preserve">TITLE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A4B1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73764370" w14:textId="77777777">
        <w:trPr>
          <w:trHeight w:val="315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065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Title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56D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026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the report as a systematic review.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D48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1 </w:t>
            </w:r>
          </w:p>
        </w:tc>
      </w:tr>
      <w:tr w:rsidR="0017739E" w14:paraId="34CD84F3" w14:textId="77777777">
        <w:trPr>
          <w:trHeight w:val="226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1E6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 xml:space="preserve">ABSTRACT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C229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1C2555AD" w14:textId="77777777">
        <w:trPr>
          <w:trHeight w:val="601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20E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Abstract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90A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885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See the PRISMA 2020 for Abstracts checklist.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A56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2, </w:t>
            </w:r>
          </w:p>
          <w:p w14:paraId="092644A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S2 File</w:t>
            </w:r>
          </w:p>
        </w:tc>
      </w:tr>
      <w:tr w:rsidR="0017739E" w14:paraId="2C8F5CDF" w14:textId="77777777">
        <w:trPr>
          <w:trHeight w:val="228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837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 xml:space="preserve">INTRODUCTION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7B13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350DFCFC" w14:textId="77777777">
        <w:trPr>
          <w:trHeight w:val="297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B01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Rationale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AE2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372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the rationale for the review in the context of existing knowledge.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DDD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3, 4, 5</w:t>
            </w:r>
          </w:p>
        </w:tc>
      </w:tr>
      <w:tr w:rsidR="0017739E" w14:paraId="12496C22" w14:textId="77777777">
        <w:trPr>
          <w:trHeight w:val="315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29C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Objectives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EBF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342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 an explicit statement of the objective(s) or question(s) the review addresses.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D37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4, 5</w:t>
            </w:r>
          </w:p>
        </w:tc>
      </w:tr>
      <w:tr w:rsidR="0017739E" w14:paraId="4CE99A6B" w14:textId="77777777">
        <w:trPr>
          <w:trHeight w:val="226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024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 xml:space="preserve">METHODS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6B42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3B114190" w14:textId="77777777">
        <w:trPr>
          <w:trHeight w:val="300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D3B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Eligibility criteria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BD7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8D3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Specify the inclusion and exclusion criteria for the review and how studies were grouped for the syntheses.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808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7, 8 </w:t>
            </w:r>
          </w:p>
        </w:tc>
      </w:tr>
      <w:tr w:rsidR="0017739E" w14:paraId="08C98690" w14:textId="77777777">
        <w:trPr>
          <w:trHeight w:val="504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039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Information  </w:t>
            </w:r>
          </w:p>
          <w:p w14:paraId="2E4F55E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sources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528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46E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7" w:firstLin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Specify all databases, registers, websites, </w:t>
            </w:r>
            <w:proofErr w:type="spellStart"/>
            <w:r>
              <w:rPr>
                <w:color w:val="000000"/>
                <w:sz w:val="18"/>
                <w:szCs w:val="18"/>
              </w:rPr>
              <w:t>organisations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reference lists and other sources searched or consulted to identify studies. Specify </w:t>
            </w:r>
            <w:proofErr w:type="gramStart"/>
            <w:r>
              <w:rPr>
                <w:color w:val="000000"/>
                <w:sz w:val="18"/>
                <w:szCs w:val="18"/>
              </w:rPr>
              <w:t>the  date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when each source was last searched or consulted.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224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6, 7 </w:t>
            </w:r>
          </w:p>
        </w:tc>
      </w:tr>
      <w:tr w:rsidR="0017739E" w14:paraId="6C78C536" w14:textId="77777777">
        <w:trPr>
          <w:trHeight w:val="299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FF7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Search strategy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E75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066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the full search strategies for all databases, </w:t>
            </w:r>
            <w:proofErr w:type="gramStart"/>
            <w:r>
              <w:rPr>
                <w:color w:val="000000"/>
                <w:sz w:val="18"/>
                <w:szCs w:val="18"/>
              </w:rPr>
              <w:t>registers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websites, including any filters and limits used.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42B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6, 7</w:t>
            </w:r>
          </w:p>
        </w:tc>
      </w:tr>
      <w:tr w:rsidR="0017739E" w14:paraId="27D80BBB" w14:textId="77777777">
        <w:trPr>
          <w:trHeight w:val="506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8FF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Selection process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FCF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B00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578" w:hanging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Specify the methods used to decide whether a study met the inclusion criteria of the review, including how many reviewers screened </w:t>
            </w:r>
            <w:proofErr w:type="gramStart"/>
            <w:r>
              <w:rPr>
                <w:color w:val="000000"/>
                <w:sz w:val="18"/>
                <w:szCs w:val="18"/>
              </w:rPr>
              <w:t>each  record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each report retrieved, whether they worked independently, and if applicable, details of automation tools used in the process.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DE2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7, 8</w:t>
            </w:r>
          </w:p>
        </w:tc>
      </w:tr>
      <w:tr w:rsidR="0017739E" w14:paraId="37FB2334" w14:textId="77777777">
        <w:trPr>
          <w:trHeight w:val="712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DA0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collection  </w:t>
            </w:r>
          </w:p>
          <w:p w14:paraId="07280BC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process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953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88B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58" w:hanging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Specify the methods used to collect data from reports, including how many reviewers collected data from each report, whether they </w:t>
            </w:r>
            <w:proofErr w:type="gramStart"/>
            <w:r>
              <w:rPr>
                <w:color w:val="000000"/>
                <w:sz w:val="18"/>
                <w:szCs w:val="18"/>
              </w:rPr>
              <w:t>worked  independently</w:t>
            </w:r>
            <w:proofErr w:type="gramEnd"/>
            <w:r>
              <w:rPr>
                <w:color w:val="000000"/>
                <w:sz w:val="18"/>
                <w:szCs w:val="18"/>
              </w:rPr>
              <w:t>, any processes for obtaining or confirming data from study investigators, and if applicable, details of automation tools used in the  process.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81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7, 8</w:t>
            </w:r>
          </w:p>
        </w:tc>
      </w:tr>
      <w:tr w:rsidR="0017739E" w14:paraId="7F17B4A8" w14:textId="77777777">
        <w:trPr>
          <w:trHeight w:val="506"/>
        </w:trPr>
        <w:tc>
          <w:tcPr>
            <w:tcW w:w="16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5FD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items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FF7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10a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61A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89" w:firstLine="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List and define all outcomes for which data were sought. Specify whether all results that were compatible with each outcome domain in </w:t>
            </w:r>
            <w:proofErr w:type="gramStart"/>
            <w:r>
              <w:rPr>
                <w:color w:val="000000"/>
                <w:sz w:val="18"/>
                <w:szCs w:val="18"/>
              </w:rPr>
              <w:t>each  study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were sought (e.g. for all measures, time points, analyses), and if not, the methods used to decide which results to collect.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596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8, 9, 10</w:t>
            </w:r>
          </w:p>
        </w:tc>
      </w:tr>
      <w:tr w:rsidR="0017739E" w14:paraId="440A6556" w14:textId="77777777">
        <w:trPr>
          <w:trHeight w:val="506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94FB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361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10b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6F6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09" w:firstLine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List and define all other variables for which data were sought (e.g. participant and intervention characteristics, funding sources). Describe </w:t>
            </w:r>
            <w:proofErr w:type="gramStart"/>
            <w:r>
              <w:rPr>
                <w:color w:val="000000"/>
                <w:sz w:val="18"/>
                <w:szCs w:val="18"/>
              </w:rPr>
              <w:t>any  assumptions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made about any missing or unclear information.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05C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8, 9, 10</w:t>
            </w:r>
          </w:p>
        </w:tc>
      </w:tr>
      <w:tr w:rsidR="0017739E" w14:paraId="6F11B48A" w14:textId="77777777">
        <w:trPr>
          <w:trHeight w:val="503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623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7" w:firstLin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Study risk of </w:t>
            </w:r>
            <w:proofErr w:type="gramStart"/>
            <w:r>
              <w:rPr>
                <w:color w:val="000000"/>
                <w:sz w:val="18"/>
                <w:szCs w:val="18"/>
              </w:rPr>
              <w:t>bias  assessment</w:t>
            </w:r>
            <w:proofErr w:type="gramEnd"/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C1B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1A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57" w:firstLine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Specify the methods used to assess risk of bias in the included studies, including details of the tool(s) used, how many reviewers assessed </w:t>
            </w:r>
            <w:proofErr w:type="gramStart"/>
            <w:r>
              <w:rPr>
                <w:color w:val="000000"/>
                <w:sz w:val="18"/>
                <w:szCs w:val="18"/>
              </w:rPr>
              <w:t>each  study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whether they worked independently, and if applicable, details of automation tools used in the process.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49F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9</w:t>
            </w:r>
          </w:p>
        </w:tc>
      </w:tr>
      <w:tr w:rsidR="0017739E" w14:paraId="6B1559D0" w14:textId="77777777">
        <w:trPr>
          <w:trHeight w:val="300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FF3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Effect measures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3FE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F64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Specify for each outcome the effect measure(s) (e.g. risk ratio, mean difference) used in the synthesis or presentation of results.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E39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5825B7EA" w14:textId="77777777">
        <w:trPr>
          <w:trHeight w:val="506"/>
        </w:trPr>
        <w:tc>
          <w:tcPr>
            <w:tcW w:w="16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717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Synthesis  </w:t>
            </w:r>
          </w:p>
          <w:p w14:paraId="43C54B5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methods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D8F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13a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5FF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206" w:firstLine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the processes used to decide which studies were eligible for each synthesis (e.g. tabulating the study intervention characteristics </w:t>
            </w:r>
            <w:proofErr w:type="gramStart"/>
            <w:r>
              <w:rPr>
                <w:color w:val="000000"/>
                <w:sz w:val="18"/>
                <w:szCs w:val="18"/>
              </w:rPr>
              <w:t>and  comparing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against the planned groups for each synthesis (item #5)).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FBA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5D6042BA" w14:textId="77777777">
        <w:trPr>
          <w:trHeight w:val="506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7715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29C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13b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DC1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657" w:firstLine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methods required to prepare the data for presentation or synthesis, such as handling of missing summary statistics, or </w:t>
            </w:r>
            <w:proofErr w:type="gramStart"/>
            <w:r>
              <w:rPr>
                <w:color w:val="000000"/>
                <w:sz w:val="18"/>
                <w:szCs w:val="18"/>
              </w:rPr>
              <w:t>data  conversions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CF7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46AE9CFA" w14:textId="77777777">
        <w:trPr>
          <w:trHeight w:val="297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B761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EDF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13c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DB8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methods used to tabulate or visually display results of individual studies and syntheses.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5F6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7, 8, 9</w:t>
            </w:r>
          </w:p>
        </w:tc>
      </w:tr>
      <w:tr w:rsidR="0017739E" w14:paraId="4DFC9C24" w14:textId="77777777">
        <w:trPr>
          <w:trHeight w:val="506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0341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A5B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13d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18F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729" w:firstLin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methods used to synthesize results and provide a rationale for the choice(s). If meta-analysis was performed, describe </w:t>
            </w:r>
            <w:proofErr w:type="gramStart"/>
            <w:r>
              <w:rPr>
                <w:color w:val="000000"/>
                <w:sz w:val="18"/>
                <w:szCs w:val="18"/>
              </w:rPr>
              <w:t>the  model</w:t>
            </w:r>
            <w:proofErr w:type="gramEnd"/>
            <w:r>
              <w:rPr>
                <w:color w:val="000000"/>
                <w:sz w:val="18"/>
                <w:szCs w:val="18"/>
              </w:rPr>
              <w:t>(s), method(s) to identify the presence and extent of statistical heterogeneity, and software package(s) used.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C4B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9, 10</w:t>
            </w:r>
          </w:p>
        </w:tc>
      </w:tr>
      <w:tr w:rsidR="0017739E" w14:paraId="0A1DBEED" w14:textId="77777777">
        <w:trPr>
          <w:trHeight w:val="300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F93A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125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13e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7F9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methods used to explore possible causes of heterogeneity among study results (e.g. subgroup analysis, meta-regression).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20C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 </w:t>
            </w:r>
          </w:p>
        </w:tc>
      </w:tr>
      <w:tr w:rsidR="0017739E" w14:paraId="6378CD26" w14:textId="77777777">
        <w:trPr>
          <w:trHeight w:val="297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3FE6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1E1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13f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3EE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sensitivity analyses conducted to assess robustness of the synthesized results.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FDC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6218D02F" w14:textId="77777777">
        <w:trPr>
          <w:trHeight w:val="506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0FB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Reporting bias  </w:t>
            </w:r>
          </w:p>
          <w:p w14:paraId="6F5DFC9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763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A5B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methods used to assess risk of bias due to missing results in a synthesis (arising from reporting biases).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9B4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</w:tbl>
    <w:p w14:paraId="6CF77489" w14:textId="77777777" w:rsidR="0017739E" w:rsidRDefault="001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3EA753" w14:textId="77777777" w:rsidR="0017739E" w:rsidRDefault="001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A60939" w14:textId="77777777" w:rsidR="001773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cida Sans" w:eastAsia="Lucida Sans" w:hAnsi="Lucida Sans" w:cs="Lucida Sans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21F87EB3" wp14:editId="552164EE">
            <wp:extent cx="457200" cy="4191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ucida Sans" w:eastAsia="Lucida Sans" w:hAnsi="Lucida Sans" w:cs="Lucida Sans"/>
          <w:color w:val="000000"/>
          <w:sz w:val="24"/>
          <w:szCs w:val="24"/>
        </w:rPr>
        <w:t>PRISMA 2020 Checklist</w:t>
      </w:r>
    </w:p>
    <w:tbl>
      <w:tblPr>
        <w:tblStyle w:val="a0"/>
        <w:tblW w:w="15023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6"/>
        <w:gridCol w:w="588"/>
        <w:gridCol w:w="11712"/>
        <w:gridCol w:w="1067"/>
      </w:tblGrid>
      <w:tr w:rsidR="0017739E" w14:paraId="63BD0765" w14:textId="77777777">
        <w:trPr>
          <w:trHeight w:val="863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A31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Section and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75C9FCA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Topic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753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Item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3712F9F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#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942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Checklist item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AB8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Location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361119E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FFFFFF"/>
                <w:sz w:val="18"/>
                <w:szCs w:val="18"/>
              </w:rPr>
            </w:pPr>
            <w:proofErr w:type="gramStart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where</w:t>
            </w:r>
            <w:proofErr w:type="gramEnd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491BE9D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item </w:t>
            </w:r>
            <w:proofErr w:type="gramStart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is</w:t>
            </w:r>
            <w:proofErr w:type="gramEnd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4EE5DF8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reported</w:t>
            </w:r>
          </w:p>
        </w:tc>
      </w:tr>
      <w:tr w:rsidR="0017739E" w14:paraId="4749BB35" w14:textId="77777777">
        <w:trPr>
          <w:trHeight w:val="506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A73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Certainty  </w:t>
            </w:r>
          </w:p>
          <w:p w14:paraId="3709276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566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A70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any methods used to assess certainty (or confidence) in the body of evidence for an outcome.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89E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7C2120BC" w14:textId="77777777">
        <w:trPr>
          <w:trHeight w:val="226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AFE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 xml:space="preserve">RESULTS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0DFA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29DDA938" w14:textId="77777777">
        <w:trPr>
          <w:trHeight w:val="506"/>
        </w:trPr>
        <w:tc>
          <w:tcPr>
            <w:tcW w:w="16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C25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Study selection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2DD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16a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3C1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57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the results of the search and selection process, from the number of records identified in the search to the number of studies included </w:t>
            </w:r>
            <w:proofErr w:type="gramStart"/>
            <w:r>
              <w:rPr>
                <w:color w:val="000000"/>
                <w:sz w:val="18"/>
                <w:szCs w:val="18"/>
              </w:rPr>
              <w:t>in  the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review, ideally using a flow diagram.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086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Fig 1</w:t>
            </w:r>
          </w:p>
        </w:tc>
      </w:tr>
      <w:tr w:rsidR="0017739E" w14:paraId="13B37452" w14:textId="77777777">
        <w:trPr>
          <w:trHeight w:val="300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9399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2EA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16b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568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Cite studies that might appear to meet the inclusion criteria, but which were excluded, and explain why they were excluded.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F95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Fig 1</w:t>
            </w:r>
          </w:p>
        </w:tc>
      </w:tr>
      <w:tr w:rsidR="0017739E" w14:paraId="5DBEA3E4" w14:textId="77777777">
        <w:trPr>
          <w:trHeight w:val="585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2EF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Study  </w:t>
            </w:r>
          </w:p>
          <w:p w14:paraId="2B5107B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characteristics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914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570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Cite each included study and present its characteristics.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C7B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S1 Table, </w:t>
            </w:r>
          </w:p>
          <w:p w14:paraId="759484F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S2 Table</w:t>
            </w:r>
          </w:p>
        </w:tc>
      </w:tr>
      <w:tr w:rsidR="0017739E" w14:paraId="5CAFA12C" w14:textId="77777777">
        <w:trPr>
          <w:trHeight w:val="506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54D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Risk of bias in </w:t>
            </w:r>
          </w:p>
          <w:p w14:paraId="6F9DB55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studies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A08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01E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assessments of risk of bias for each included study.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31F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486C8D5D" w14:textId="77777777">
        <w:trPr>
          <w:trHeight w:val="504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FEC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Results of  </w:t>
            </w:r>
          </w:p>
          <w:p w14:paraId="65292AC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individual studies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F24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78E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60" w:firstLine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 all outcomes, present, for each study: (a) summary statistics for each group (where appropriate) and (b) an effect estimate and its </w:t>
            </w:r>
            <w:proofErr w:type="gramStart"/>
            <w:r>
              <w:rPr>
                <w:color w:val="000000"/>
                <w:sz w:val="18"/>
                <w:szCs w:val="18"/>
              </w:rPr>
              <w:t>precision  (</w:t>
            </w:r>
            <w:proofErr w:type="gramEnd"/>
            <w:r>
              <w:rPr>
                <w:color w:val="000000"/>
                <w:sz w:val="18"/>
                <w:szCs w:val="18"/>
              </w:rPr>
              <w:t>e.g. confidence/credible interval), ideally using structured tables or plots.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5FA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543C34E3" w14:textId="77777777">
        <w:trPr>
          <w:trHeight w:val="299"/>
        </w:trPr>
        <w:tc>
          <w:tcPr>
            <w:tcW w:w="16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F58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Results of  </w:t>
            </w:r>
          </w:p>
          <w:p w14:paraId="20127C6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syntheses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59A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20a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753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 each synthesis, briefly </w:t>
            </w:r>
            <w:proofErr w:type="spellStart"/>
            <w:r>
              <w:rPr>
                <w:color w:val="000000"/>
                <w:sz w:val="18"/>
                <w:szCs w:val="18"/>
              </w:rPr>
              <w:t>summarise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the characteristics and risk of bias among contributing studies.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99C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46F29480" w14:textId="77777777">
        <w:trPr>
          <w:trHeight w:val="506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D603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F9F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20b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B5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284" w:firstLine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 results of all statistical syntheses conducted. If meta-analysis was done, present for each the summary estimate and its precision (e.g. confidence/credible interval) and measures of statistical heterogeneity. If comparing groups, describe the direction of the effect.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5C74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10-13</w:t>
            </w:r>
          </w:p>
        </w:tc>
      </w:tr>
      <w:tr w:rsidR="0017739E" w14:paraId="1F1BD8B4" w14:textId="77777777">
        <w:trPr>
          <w:trHeight w:val="297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BB7A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346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20c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26C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results of all investigations of possible causes of heterogeneity among study results.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B3A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32C0D1EE" w14:textId="77777777">
        <w:trPr>
          <w:trHeight w:val="300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37C0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89B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20d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A1A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results of all sensitivity analyses conducted to assess the robustness of the synthesized results.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570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109EA929" w14:textId="77777777">
        <w:trPr>
          <w:trHeight w:val="299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734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Reporting biases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254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1C7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assessments of risk of bias due to missing results (arising from reporting biases) for each synthesis assessed.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BF6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111C7089" w14:textId="77777777">
        <w:trPr>
          <w:trHeight w:val="519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30D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Certainty of  </w:t>
            </w:r>
          </w:p>
          <w:p w14:paraId="017B2CC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evidence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CBB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549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assessments of certainty (or confidence) in the body of evidence for each outcome assessed.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2F3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09150322" w14:textId="77777777">
        <w:trPr>
          <w:trHeight w:val="228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F9C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 xml:space="preserve">DISCUSSION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4878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1EB5F5BC" w14:textId="77777777">
        <w:trPr>
          <w:trHeight w:val="297"/>
        </w:trPr>
        <w:tc>
          <w:tcPr>
            <w:tcW w:w="16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D32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Discussion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BB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23a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B62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 a general interpretation of the results in the context of other evidence.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CF5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13-20 </w:t>
            </w:r>
          </w:p>
        </w:tc>
      </w:tr>
      <w:tr w:rsidR="0017739E" w14:paraId="415C49BD" w14:textId="77777777">
        <w:trPr>
          <w:trHeight w:val="299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3B2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F88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23b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581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Discuss any limitations of the evidence included in the review.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875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09E45A82" w14:textId="77777777">
        <w:trPr>
          <w:trHeight w:val="297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A5D0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E15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23c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E36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Discuss any limitations of the review processes used.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D38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15, 16</w:t>
            </w:r>
          </w:p>
        </w:tc>
      </w:tr>
      <w:tr w:rsidR="0017739E" w14:paraId="0E6E262B" w14:textId="77777777">
        <w:trPr>
          <w:trHeight w:val="315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ECFE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95D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23d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B44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Discuss implications of the results for practice, policy, and future research.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A05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 21</w:t>
            </w:r>
          </w:p>
        </w:tc>
      </w:tr>
      <w:tr w:rsidR="0017739E" w14:paraId="7494EF8F" w14:textId="77777777">
        <w:trPr>
          <w:trHeight w:val="226"/>
        </w:trPr>
        <w:tc>
          <w:tcPr>
            <w:tcW w:w="139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084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CC"/>
              </w:rPr>
              <w:t>OTHER INFORMATION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5327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shd w:val="clear" w:color="auto" w:fill="FFFFCC"/>
              </w:rPr>
            </w:pPr>
          </w:p>
        </w:tc>
      </w:tr>
      <w:tr w:rsidR="0017739E" w14:paraId="26C1DFFC" w14:textId="77777777">
        <w:trPr>
          <w:trHeight w:val="921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2C7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177" w:firstLine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Registration </w:t>
            </w:r>
            <w:proofErr w:type="gramStart"/>
            <w:r>
              <w:rPr>
                <w:color w:val="000000"/>
                <w:sz w:val="18"/>
                <w:szCs w:val="18"/>
              </w:rPr>
              <w:t>and  protocol</w:t>
            </w:r>
            <w:proofErr w:type="gramEnd"/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EA9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24a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358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 registration information for the review, including register name and registration number, or state that the review was not registered.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EB4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 </w:t>
            </w:r>
          </w:p>
          <w:p w14:paraId="3F6B4EE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review  </w:t>
            </w:r>
          </w:p>
          <w:p w14:paraId="12BE9F4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was </w:t>
            </w:r>
            <w:proofErr w:type="gramStart"/>
            <w:r>
              <w:rPr>
                <w:color w:val="000000"/>
                <w:sz w:val="18"/>
                <w:szCs w:val="18"/>
              </w:rPr>
              <w:t>not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35F22D5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registered.</w:t>
            </w:r>
          </w:p>
        </w:tc>
      </w:tr>
      <w:tr w:rsidR="0017739E" w14:paraId="2FD38927" w14:textId="77777777">
        <w:trPr>
          <w:trHeight w:val="1499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2AC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BF4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24b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DFB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Indicate where the review protocol can be accessed, or state that a protocol was not prepared.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405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 </w:t>
            </w:r>
          </w:p>
          <w:p w14:paraId="5C6869C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79" w:firstLine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protocol </w:t>
            </w:r>
            <w:proofErr w:type="gramStart"/>
            <w:r>
              <w:rPr>
                <w:color w:val="000000"/>
                <w:sz w:val="18"/>
                <w:szCs w:val="18"/>
              </w:rPr>
              <w:t>is  described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in the  </w:t>
            </w:r>
          </w:p>
          <w:p w14:paraId="2CAE0B0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Methods  </w:t>
            </w:r>
          </w:p>
          <w:p w14:paraId="2BE9ACF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(p. 5-10).  </w:t>
            </w:r>
          </w:p>
          <w:p w14:paraId="3E9D33A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 </w:t>
            </w:r>
          </w:p>
        </w:tc>
      </w:tr>
    </w:tbl>
    <w:p w14:paraId="61415DD4" w14:textId="77777777" w:rsidR="0017739E" w:rsidRDefault="001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B984DB" w14:textId="77777777" w:rsidR="0017739E" w:rsidRDefault="001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A7C2F" w14:textId="77777777" w:rsidR="001773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cida Sans" w:eastAsia="Lucida Sans" w:hAnsi="Lucida Sans" w:cs="Lucida Sans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7D29D85F" wp14:editId="495EB384">
            <wp:extent cx="457200" cy="419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ucida Sans" w:eastAsia="Lucida Sans" w:hAnsi="Lucida Sans" w:cs="Lucida Sans"/>
          <w:color w:val="000000"/>
          <w:sz w:val="24"/>
          <w:szCs w:val="24"/>
        </w:rPr>
        <w:t xml:space="preserve">PRISMA 2020 Checklist </w:t>
      </w:r>
    </w:p>
    <w:tbl>
      <w:tblPr>
        <w:tblStyle w:val="a1"/>
        <w:tblW w:w="15023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6"/>
        <w:gridCol w:w="588"/>
        <w:gridCol w:w="11712"/>
        <w:gridCol w:w="1067"/>
      </w:tblGrid>
      <w:tr w:rsidR="0017739E" w14:paraId="0D43E892" w14:textId="77777777">
        <w:trPr>
          <w:trHeight w:val="863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DA8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Section and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3BCD995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Topic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C94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Item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3CB7138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#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986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Checklist item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B09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Location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49D840EA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FFFFFF"/>
                <w:sz w:val="18"/>
                <w:szCs w:val="18"/>
              </w:rPr>
            </w:pPr>
            <w:proofErr w:type="gramStart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where</w:t>
            </w:r>
            <w:proofErr w:type="gramEnd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083F2EB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item </w:t>
            </w:r>
            <w:proofErr w:type="gramStart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is</w:t>
            </w:r>
            <w:proofErr w:type="gramEnd"/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7AF111C7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63639A"/>
              </w:rPr>
              <w:t>reported</w:t>
            </w:r>
          </w:p>
        </w:tc>
      </w:tr>
      <w:tr w:rsidR="0017739E" w14:paraId="583E0531" w14:textId="77777777">
        <w:trPr>
          <w:trHeight w:val="865"/>
        </w:trPr>
        <w:tc>
          <w:tcPr>
            <w:tcW w:w="16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E476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37EB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FCED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8"/>
                <w:szCs w:val="18"/>
                <w:shd w:val="clear" w:color="auto" w:fill="63639A"/>
              </w:rPr>
            </w:pP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EB22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outside  </w:t>
            </w:r>
          </w:p>
          <w:p w14:paraId="7A5F6BC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protocol  </w:t>
            </w:r>
          </w:p>
          <w:p w14:paraId="39B708B6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was  </w:t>
            </w:r>
          </w:p>
          <w:p w14:paraId="3DD6105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prepared.</w:t>
            </w:r>
          </w:p>
        </w:tc>
      </w:tr>
      <w:tr w:rsidR="0017739E" w14:paraId="538DF078" w14:textId="77777777">
        <w:trPr>
          <w:trHeight w:val="297"/>
        </w:trPr>
        <w:tc>
          <w:tcPr>
            <w:tcW w:w="16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00FD" w14:textId="77777777" w:rsidR="0017739E" w:rsidRDefault="00177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E21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24c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9A0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and explain any amendments to information provided at registration or in the protocol.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845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</w:tr>
      <w:tr w:rsidR="0017739E" w14:paraId="38CB7AAB" w14:textId="77777777">
        <w:trPr>
          <w:trHeight w:val="712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16E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Support 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06D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248E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sources of financial or non-financial support for the review, and the role of the funders or sponsors in the review.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0E0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20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Described under funding</w:t>
            </w:r>
          </w:p>
        </w:tc>
      </w:tr>
      <w:tr w:rsidR="0017739E" w14:paraId="12BE389B" w14:textId="77777777">
        <w:trPr>
          <w:trHeight w:val="506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CEA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Competing  </w:t>
            </w:r>
          </w:p>
          <w:p w14:paraId="055DE963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interests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333C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6E71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Declare any competing interests of review authors.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E9C0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22 </w:t>
            </w:r>
          </w:p>
        </w:tc>
      </w:tr>
      <w:tr w:rsidR="0017739E" w14:paraId="2B6A5319" w14:textId="77777777">
        <w:trPr>
          <w:trHeight w:val="720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3B39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Availability of  </w:t>
            </w:r>
          </w:p>
          <w:p w14:paraId="3982B3ED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data, code and  </w:t>
            </w:r>
          </w:p>
          <w:p w14:paraId="663D6A1B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materials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73EF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87C5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290" w:firstLine="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Report which of the following are publicly available and where they can be found: template data collection forms; data extracted from </w:t>
            </w:r>
            <w:proofErr w:type="gramStart"/>
            <w:r>
              <w:rPr>
                <w:color w:val="000000"/>
                <w:sz w:val="18"/>
                <w:szCs w:val="18"/>
              </w:rPr>
              <w:t>included  studies</w:t>
            </w:r>
            <w:proofErr w:type="gramEnd"/>
            <w:r>
              <w:rPr>
                <w:color w:val="000000"/>
                <w:sz w:val="18"/>
                <w:szCs w:val="18"/>
              </w:rPr>
              <w:t>; data used for all analyses; analytic code; any other materials used in the review.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5248" w14:textId="77777777" w:rsidR="001773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S1 </w:t>
            </w:r>
            <w:proofErr w:type="gramStart"/>
            <w:r>
              <w:rPr>
                <w:color w:val="000000"/>
                <w:sz w:val="18"/>
                <w:szCs w:val="18"/>
              </w:rPr>
              <w:t>Table,  S</w:t>
            </w:r>
            <w:proofErr w:type="gramEnd"/>
            <w:r>
              <w:rPr>
                <w:color w:val="000000"/>
                <w:sz w:val="18"/>
                <w:szCs w:val="18"/>
              </w:rPr>
              <w:t>2 Table</w:t>
            </w:r>
          </w:p>
        </w:tc>
      </w:tr>
    </w:tbl>
    <w:p w14:paraId="2902AFBD" w14:textId="77777777" w:rsidR="0017739E" w:rsidRDefault="001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1CAE57" w14:textId="77777777" w:rsidR="0017739E" w:rsidRDefault="001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5920C9" w14:textId="77777777" w:rsidR="001773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58" w:right="72"/>
        <w:jc w:val="center"/>
        <w:rPr>
          <w:color w:val="0563C1"/>
          <w:sz w:val="18"/>
          <w:szCs w:val="18"/>
          <w:u w:val="single"/>
        </w:rPr>
      </w:pPr>
      <w:r>
        <w:rPr>
          <w:i/>
          <w:color w:val="000000"/>
          <w:sz w:val="16"/>
          <w:szCs w:val="16"/>
        </w:rPr>
        <w:t xml:space="preserve">From: </w:t>
      </w:r>
      <w:r>
        <w:rPr>
          <w:color w:val="000000"/>
          <w:sz w:val="16"/>
          <w:szCs w:val="16"/>
        </w:rPr>
        <w:t xml:space="preserve">Page MJ, McKenzie JE, Bossuyt PM, </w:t>
      </w:r>
      <w:proofErr w:type="spellStart"/>
      <w:r>
        <w:rPr>
          <w:color w:val="000000"/>
          <w:sz w:val="16"/>
          <w:szCs w:val="16"/>
        </w:rPr>
        <w:t>Boutron</w:t>
      </w:r>
      <w:proofErr w:type="spellEnd"/>
      <w:r>
        <w:rPr>
          <w:color w:val="000000"/>
          <w:sz w:val="16"/>
          <w:szCs w:val="16"/>
        </w:rPr>
        <w:t xml:space="preserve"> I, Hoffmann TC, Mulrow CD, et al. The PRISMA 2020 statement: an updated guideline for reporting systematic reviews. BMJ 2021;</w:t>
      </w:r>
      <w:proofErr w:type="gramStart"/>
      <w:r>
        <w:rPr>
          <w:color w:val="000000"/>
          <w:sz w:val="16"/>
          <w:szCs w:val="16"/>
        </w:rPr>
        <w:t>372:n</w:t>
      </w:r>
      <w:proofErr w:type="gramEnd"/>
      <w:r>
        <w:rPr>
          <w:color w:val="000000"/>
          <w:sz w:val="16"/>
          <w:szCs w:val="16"/>
        </w:rPr>
        <w:t xml:space="preserve">71. </w:t>
      </w:r>
      <w:proofErr w:type="spellStart"/>
      <w:r>
        <w:rPr>
          <w:color w:val="000000"/>
          <w:sz w:val="16"/>
          <w:szCs w:val="16"/>
        </w:rPr>
        <w:t>doi</w:t>
      </w:r>
      <w:proofErr w:type="spellEnd"/>
      <w:r>
        <w:rPr>
          <w:color w:val="000000"/>
          <w:sz w:val="16"/>
          <w:szCs w:val="16"/>
        </w:rPr>
        <w:t>: 10.1136/</w:t>
      </w:r>
      <w:proofErr w:type="gramStart"/>
      <w:r>
        <w:rPr>
          <w:color w:val="000000"/>
          <w:sz w:val="16"/>
          <w:szCs w:val="16"/>
        </w:rPr>
        <w:t>bmj.n</w:t>
      </w:r>
      <w:proofErr w:type="gramEnd"/>
      <w:r>
        <w:rPr>
          <w:color w:val="000000"/>
          <w:sz w:val="16"/>
          <w:szCs w:val="16"/>
        </w:rPr>
        <w:t xml:space="preserve">71 </w:t>
      </w:r>
      <w:r>
        <w:rPr>
          <w:color w:val="333399"/>
          <w:sz w:val="18"/>
          <w:szCs w:val="18"/>
        </w:rPr>
        <w:t xml:space="preserve">For more information, visit: </w:t>
      </w:r>
      <w:r>
        <w:rPr>
          <w:color w:val="0563C1"/>
          <w:sz w:val="18"/>
          <w:szCs w:val="18"/>
          <w:u w:val="single"/>
        </w:rPr>
        <w:t>http://www.prisma-statement.org/</w:t>
      </w:r>
    </w:p>
    <w:sectPr w:rsidR="0017739E">
      <w:pgSz w:w="15840" w:h="12240" w:orient="landscape"/>
      <w:pgMar w:top="543" w:right="384" w:bottom="484" w:left="38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9E"/>
    <w:rsid w:val="0017739E"/>
    <w:rsid w:val="003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21D3"/>
  <w15:docId w15:val="{5022FD2E-8856-42B5-81F6-C7BBD0D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6578</Characters>
  <Application>Microsoft Office Word</Application>
  <DocSecurity>0</DocSecurity>
  <Lines>160</Lines>
  <Paragraphs>35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 BOYD</dc:creator>
  <cp:lastModifiedBy>Sada Boyd</cp:lastModifiedBy>
  <cp:revision>2</cp:revision>
  <dcterms:created xsi:type="dcterms:W3CDTF">2024-03-12T02:59:00Z</dcterms:created>
  <dcterms:modified xsi:type="dcterms:W3CDTF">2024-03-12T02:59:00Z</dcterms:modified>
</cp:coreProperties>
</file>