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Default="00654E8F" w:rsidP="0001436A">
      <w:pPr>
        <w:pStyle w:val="SupplementaryMaterial"/>
      </w:pPr>
      <w:bookmarkStart w:id="0" w:name="_Hlk165728743"/>
      <w:bookmarkEnd w:id="0"/>
      <w:r w:rsidRPr="001549D3">
        <w:t>Supplementary Material</w:t>
      </w:r>
    </w:p>
    <w:p w14:paraId="4807BA8E" w14:textId="77777777" w:rsidR="00E46274" w:rsidRDefault="00E46274" w:rsidP="00E46274">
      <w:pPr>
        <w:pStyle w:val="Title"/>
      </w:pPr>
    </w:p>
    <w:p w14:paraId="0DAFC696" w14:textId="4516D05D" w:rsidR="00E46274" w:rsidRPr="00E46274" w:rsidRDefault="00E46274" w:rsidP="00E46274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E46274">
        <w:rPr>
          <w:rFonts w:cs="Times New Roman"/>
          <w:szCs w:val="24"/>
        </w:rPr>
        <w:t>This Table shows MCC-specific survival (MSS) and progression-free survival (PFS) in patients with MCC. The prognosis worsens with a higher score on the Merkel cell carcinoma prognosis score (MCC-PS). According to the MCC-PS, a high-risk type of MCC is present with at least 4 points.</w:t>
      </w:r>
    </w:p>
    <w:tbl>
      <w:tblPr>
        <w:tblStyle w:val="HelleSchattierung-Akzent11"/>
        <w:tblW w:w="4846" w:type="pct"/>
        <w:tblInd w:w="-5" w:type="dxa"/>
        <w:tblLook w:val="0660" w:firstRow="1" w:lastRow="1" w:firstColumn="0" w:lastColumn="0" w:noHBand="1" w:noVBand="1"/>
      </w:tblPr>
      <w:tblGrid>
        <w:gridCol w:w="1198"/>
        <w:gridCol w:w="1367"/>
        <w:gridCol w:w="1409"/>
        <w:gridCol w:w="1306"/>
        <w:gridCol w:w="1357"/>
        <w:gridCol w:w="1356"/>
        <w:gridCol w:w="1473"/>
      </w:tblGrid>
      <w:tr w:rsidR="00E46274" w:rsidRPr="00E46274" w14:paraId="119D128F" w14:textId="77777777" w:rsidTr="00E46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F1F9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</w:p>
          <w:p w14:paraId="26BCCB9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595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0</w:t>
            </w:r>
          </w:p>
          <w:p w14:paraId="76D7B1A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 point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455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1 </w:t>
            </w:r>
          </w:p>
          <w:p w14:paraId="4E8F6A6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point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708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2 </w:t>
            </w:r>
          </w:p>
          <w:p w14:paraId="646787C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D0D074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4 </w:t>
            </w:r>
          </w:p>
          <w:p w14:paraId="4FD9F950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3E3F9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5</w:t>
            </w:r>
          </w:p>
          <w:p w14:paraId="071B43CE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04DA54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10 </w:t>
            </w:r>
          </w:p>
          <w:p w14:paraId="21388D9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points</w:t>
            </w:r>
          </w:p>
        </w:tc>
      </w:tr>
      <w:tr w:rsidR="00E46274" w:rsidRPr="00E46274" w14:paraId="5438B22A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DA19C" w14:textId="77777777" w:rsidR="00E46274" w:rsidRPr="00E46274" w:rsidRDefault="00E46274" w:rsidP="00E46274">
            <w:pPr>
              <w:spacing w:before="0" w:after="0"/>
              <w:rPr>
                <w:rFonts w:cs="Times New Roman"/>
                <w:color w:val="auto"/>
                <w:szCs w:val="24"/>
                <w:lang w:val="en-GB"/>
              </w:rPr>
            </w:pP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736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low-risk type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BA6EC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high-risk type</w:t>
            </w:r>
          </w:p>
        </w:tc>
      </w:tr>
      <w:tr w:rsidR="00E46274" w:rsidRPr="00E46274" w14:paraId="0ABC9D18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7E85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bookmarkStart w:id="1" w:name="_Hlk163392970"/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1-year </w:t>
            </w:r>
          </w:p>
          <w:p w14:paraId="1639782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MSS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1A8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100 %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36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76.5 %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476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70.7 %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191E9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62.0 %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B885B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53.5 %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F848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33.3 %</w:t>
            </w:r>
          </w:p>
        </w:tc>
      </w:tr>
      <w:tr w:rsidR="00E46274" w:rsidRPr="00E46274" w14:paraId="6B564936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357F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2-years</w:t>
            </w:r>
          </w:p>
          <w:p w14:paraId="2CB28C0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MSS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916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100 %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894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64.8 %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75C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58.8 %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6025F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43.1%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9E0BEA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34.6 %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3BE1E8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0 %</w:t>
            </w:r>
          </w:p>
        </w:tc>
      </w:tr>
      <w:tr w:rsidR="00E46274" w:rsidRPr="00E46274" w14:paraId="4CF79984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384D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3-years</w:t>
            </w:r>
          </w:p>
          <w:p w14:paraId="014C1F6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MSS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A9D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100 %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4B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52.5 %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9BB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44.5 %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5F5CF0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23.5 %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7D5381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5.8 %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F9607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0 %</w:t>
            </w:r>
          </w:p>
        </w:tc>
      </w:tr>
      <w:tr w:rsidR="00E46274" w:rsidRPr="00E46274" w14:paraId="4E3C10D2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92B6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4-years</w:t>
            </w:r>
          </w:p>
          <w:p w14:paraId="2D92EF14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MSS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1E0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100 %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6B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52.5 %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758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44.5 %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23092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17.6 %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233A98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5.8 %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8BA4B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0 %</w:t>
            </w:r>
          </w:p>
        </w:tc>
      </w:tr>
      <w:tr w:rsidR="00E46274" w:rsidRPr="00E46274" w14:paraId="4547A5A9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E359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5-years</w:t>
            </w:r>
          </w:p>
          <w:p w14:paraId="463B7C0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MSS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181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100 %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2B5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49.2 %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283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40.4 %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7A1D61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17.6 %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C5D82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5.8 %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01EF5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0 %</w:t>
            </w:r>
          </w:p>
        </w:tc>
      </w:tr>
      <w:bookmarkEnd w:id="1"/>
      <w:tr w:rsidR="00E46274" w:rsidRPr="00E46274" w14:paraId="08464EE0" w14:textId="77777777" w:rsidTr="00E14824">
        <w:trPr>
          <w:trHeight w:val="3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220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  <w:lang w:val="en-GB"/>
              </w:rPr>
            </w:pPr>
          </w:p>
        </w:tc>
      </w:tr>
      <w:tr w:rsidR="00E46274" w:rsidRPr="00E46274" w14:paraId="5D267D78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CAE6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D1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0</w:t>
            </w:r>
          </w:p>
          <w:p w14:paraId="44BD0980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 xml:space="preserve"> point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6E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 xml:space="preserve">1 </w:t>
            </w:r>
          </w:p>
          <w:p w14:paraId="776DC3B8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point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330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 xml:space="preserve">2 </w:t>
            </w:r>
          </w:p>
          <w:p w14:paraId="4B21D054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4202D3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 xml:space="preserve">4 </w:t>
            </w:r>
          </w:p>
          <w:p w14:paraId="5E73507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E2A9C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5</w:t>
            </w:r>
          </w:p>
          <w:p w14:paraId="7A988BF0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points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3D630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 xml:space="preserve">10 </w:t>
            </w:r>
          </w:p>
          <w:p w14:paraId="530E0D71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/>
                <w:bCs/>
                <w:color w:val="auto"/>
                <w:szCs w:val="24"/>
                <w:lang w:val="en-GB"/>
              </w:rPr>
              <w:t>points</w:t>
            </w:r>
          </w:p>
        </w:tc>
      </w:tr>
      <w:tr w:rsidR="00E46274" w:rsidRPr="00E46274" w14:paraId="32757312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84122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55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low-risk type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BD691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/>
                <w:bCs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high-risk type</w:t>
            </w:r>
          </w:p>
        </w:tc>
      </w:tr>
      <w:tr w:rsidR="00E46274" w:rsidRPr="00E46274" w14:paraId="71C941F9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C399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 xml:space="preserve">1-year </w:t>
            </w:r>
          </w:p>
          <w:p w14:paraId="5BCAAE66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PFS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6A6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85.1 %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EBF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57 %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0F5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49.4 %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4479F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38.3 %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08C79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30.9 %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DD95D2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0%</w:t>
            </w:r>
          </w:p>
        </w:tc>
      </w:tr>
      <w:tr w:rsidR="00E46274" w:rsidRPr="00E46274" w14:paraId="6C55C824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4DF7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2-years</w:t>
            </w:r>
          </w:p>
          <w:p w14:paraId="5D2EF6A8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PFS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DF8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85.1 %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55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48.4 %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469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39.1 %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473FC1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27.7 %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65AEA5" w14:textId="77777777" w:rsidR="00E46274" w:rsidRPr="00E46274" w:rsidRDefault="00E46274" w:rsidP="00E46274">
            <w:pPr>
              <w:spacing w:before="0" w:after="0" w:line="360" w:lineRule="auto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18.5 %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E9E07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0%</w:t>
            </w:r>
          </w:p>
        </w:tc>
      </w:tr>
      <w:tr w:rsidR="00E46274" w:rsidRPr="00E46274" w14:paraId="0B37161A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BF7C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3-years</w:t>
            </w:r>
          </w:p>
          <w:p w14:paraId="448D59F2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PFS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BC8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85.1 %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3D0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42.9 %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BA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32.3 %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F2FE63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22.2 %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15D1D7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9.3 %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1FEF95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0%</w:t>
            </w:r>
          </w:p>
        </w:tc>
      </w:tr>
      <w:tr w:rsidR="00E46274" w:rsidRPr="00E46274" w14:paraId="4D544BD6" w14:textId="77777777" w:rsidTr="00E46274">
        <w:trPr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974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4-years</w:t>
            </w:r>
          </w:p>
          <w:p w14:paraId="4A540CC2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color w:val="auto"/>
                <w:szCs w:val="24"/>
                <w:lang w:val="en-GB"/>
              </w:rPr>
              <w:t>PFS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9A0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Cs w:val="24"/>
                <w:lang w:val="en-GB"/>
              </w:rPr>
              <w:t>85.1 %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F3A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42.9 %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E38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32.3 %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AF4C0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</w:rPr>
              <w:t>22.2 %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044611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9.3 %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00C362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Cs w:val="24"/>
                <w:lang w:val="en-GB"/>
              </w:rPr>
              <w:t>0%</w:t>
            </w:r>
          </w:p>
        </w:tc>
      </w:tr>
      <w:tr w:rsidR="00E46274" w:rsidRPr="00E46274" w14:paraId="1B970B71" w14:textId="77777777" w:rsidTr="00E462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244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Cs w:val="24"/>
                <w:lang w:val="en-GB"/>
              </w:rPr>
              <w:t>5-years</w:t>
            </w:r>
          </w:p>
          <w:p w14:paraId="0BF2F2AB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Cs w:val="24"/>
                <w:lang w:val="en-GB"/>
              </w:rPr>
              <w:t>PFS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E0D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ascii="Cambria Math" w:hAnsi="Cambria Math" w:cs="Cambria Math"/>
                <w:b w:val="0"/>
                <w:bCs w:val="0"/>
                <w:color w:val="auto"/>
                <w:szCs w:val="24"/>
                <w:lang w:val="en-GB"/>
              </w:rPr>
              <w:t>85.1 %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77A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  <w:t>42.9 %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A59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  <w:t>32.3 %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D6EFCF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Cs w:val="24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Cs w:val="24"/>
              </w:rPr>
              <w:t>22.2 %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BAAC1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  <w:t>9.3 %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69E586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Cs w:val="24"/>
                <w:lang w:val="en-GB"/>
              </w:rPr>
              <w:t>0%</w:t>
            </w:r>
          </w:p>
        </w:tc>
      </w:tr>
    </w:tbl>
    <w:p w14:paraId="048D74DF" w14:textId="77777777" w:rsidR="00E46274" w:rsidRDefault="00E46274" w:rsidP="00E46274">
      <w:pPr>
        <w:keepNext/>
        <w:rPr>
          <w:rFonts w:cs="Times New Roman"/>
          <w:b/>
          <w:szCs w:val="24"/>
        </w:rPr>
      </w:pPr>
    </w:p>
    <w:p w14:paraId="63362DFE" w14:textId="77777777" w:rsidR="00E46274" w:rsidRDefault="00E46274" w:rsidP="00E46274">
      <w:pPr>
        <w:keepNext/>
        <w:rPr>
          <w:rFonts w:cs="Times New Roman"/>
          <w:b/>
          <w:szCs w:val="24"/>
        </w:rPr>
      </w:pPr>
    </w:p>
    <w:p w14:paraId="03E8F762" w14:textId="77777777" w:rsidR="00E46274" w:rsidRDefault="00E46274" w:rsidP="00E46274">
      <w:pPr>
        <w:keepNext/>
        <w:rPr>
          <w:rFonts w:cs="Times New Roman"/>
          <w:b/>
          <w:szCs w:val="24"/>
        </w:rPr>
      </w:pPr>
    </w:p>
    <w:p w14:paraId="34641BC8" w14:textId="549231D1" w:rsidR="00E46274" w:rsidRDefault="00E46274" w:rsidP="00E46274">
      <w:pPr>
        <w:keepNext/>
        <w:rPr>
          <w:rFonts w:cs="Times New Roman"/>
          <w:lang w:val="en-GB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 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0D170A">
        <w:rPr>
          <w:rFonts w:cs="Times New Roman"/>
          <w:color w:val="000000" w:themeColor="text1"/>
          <w:lang w:val="en-GB"/>
        </w:rPr>
        <w:t xml:space="preserve">This </w:t>
      </w:r>
      <w:r w:rsidRPr="000D170A">
        <w:rPr>
          <w:rFonts w:cs="Times New Roman"/>
          <w:lang w:val="en-GB"/>
        </w:rPr>
        <w:t>Table</w:t>
      </w:r>
      <w:r w:rsidRPr="00B16E73">
        <w:rPr>
          <w:rFonts w:cs="Times New Roman"/>
          <w:lang w:val="en-GB"/>
        </w:rPr>
        <w:t xml:space="preserve"> shows MCC-specific survival (MSS) and progression-free survival (PFS) in patients with MCC compared to high-risk and low-risk </w:t>
      </w:r>
      <w:r>
        <w:rPr>
          <w:rFonts w:cs="Times New Roman"/>
          <w:lang w:val="en-GB"/>
        </w:rPr>
        <w:t>MCC</w:t>
      </w:r>
      <w:r w:rsidRPr="00B16E73">
        <w:rPr>
          <w:rFonts w:cs="Times New Roman"/>
          <w:lang w:val="en-GB"/>
        </w:rPr>
        <w:t>.</w:t>
      </w:r>
    </w:p>
    <w:tbl>
      <w:tblPr>
        <w:tblStyle w:val="HelleSchattierung-Akzent12"/>
        <w:tblW w:w="5003" w:type="pct"/>
        <w:tblInd w:w="-5" w:type="dxa"/>
        <w:tblLook w:val="0660" w:firstRow="1" w:lastRow="1" w:firstColumn="0" w:lastColumn="0" w:noHBand="1" w:noVBand="1"/>
      </w:tblPr>
      <w:tblGrid>
        <w:gridCol w:w="1177"/>
        <w:gridCol w:w="1712"/>
        <w:gridCol w:w="1724"/>
        <w:gridCol w:w="1163"/>
        <w:gridCol w:w="2072"/>
        <w:gridCol w:w="1925"/>
      </w:tblGrid>
      <w:tr w:rsidR="00E46274" w:rsidRPr="00E46274" w14:paraId="33382054" w14:textId="77777777" w:rsidTr="00E1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6B2B1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</w:p>
          <w:p w14:paraId="0771CFC6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D80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Low-risk type</w:t>
            </w:r>
          </w:p>
          <w:p w14:paraId="1472F54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US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MCC-PS</w:t>
            </w:r>
            <w:r w:rsidRPr="00E46274">
              <w:rPr>
                <w:rFonts w:ascii="Calibri" w:hAnsi="Calibri" w:cs="Times New Roman"/>
                <w:color w:val="auto"/>
                <w:sz w:val="22"/>
                <w:lang w:val="en-US"/>
              </w:rPr>
              <w:t xml:space="preserve"> &lt; 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CA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High-risk type</w:t>
            </w:r>
          </w:p>
          <w:p w14:paraId="523C40D2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MCC-PS</w:t>
            </w:r>
            <w:r w:rsidRPr="00E46274">
              <w:rPr>
                <w:rFonts w:ascii="Calibri" w:hAnsi="Calibri" w:cs="Times New Roman"/>
                <w:color w:val="auto"/>
                <w:sz w:val="22"/>
                <w:lang w:val="en-US"/>
              </w:rPr>
              <w:t xml:space="preserve"> ≥ 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1A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2D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Low-risk type</w:t>
            </w:r>
          </w:p>
          <w:p w14:paraId="1F23EA0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MCC-PS</w:t>
            </w:r>
            <w:r w:rsidRPr="00E46274">
              <w:rPr>
                <w:rFonts w:ascii="Calibri" w:hAnsi="Calibri" w:cs="Times New Roman"/>
                <w:color w:val="auto"/>
                <w:sz w:val="22"/>
                <w:lang w:val="en-US"/>
              </w:rPr>
              <w:t xml:space="preserve"> &lt; 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544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High-risk type</w:t>
            </w:r>
          </w:p>
          <w:p w14:paraId="12FA9BC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MCC-PS</w:t>
            </w:r>
            <w:r w:rsidRPr="00E46274">
              <w:rPr>
                <w:rFonts w:ascii="Calibri" w:hAnsi="Calibri" w:cs="Times New Roman"/>
                <w:color w:val="auto"/>
                <w:sz w:val="22"/>
                <w:lang w:val="en-US"/>
              </w:rPr>
              <w:t xml:space="preserve"> ≥ 4</w:t>
            </w:r>
          </w:p>
        </w:tc>
      </w:tr>
      <w:tr w:rsidR="00E46274" w:rsidRPr="00E46274" w14:paraId="25B1948F" w14:textId="77777777" w:rsidTr="00E14824">
        <w:trPr>
          <w:trHeight w:val="34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CFEF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 xml:space="preserve">1-year </w:t>
            </w:r>
          </w:p>
          <w:p w14:paraId="3E0E62B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MSS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CB0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 w:val="22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 w:val="22"/>
                <w:lang w:val="en-GB"/>
              </w:rPr>
              <w:t>94.5%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657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62 %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863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 xml:space="preserve">1-year </w:t>
            </w:r>
          </w:p>
          <w:p w14:paraId="39144AF5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PFS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D4C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79.5 %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3B6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38.3 %</w:t>
            </w:r>
          </w:p>
        </w:tc>
      </w:tr>
      <w:tr w:rsidR="00E46274" w:rsidRPr="00E46274" w14:paraId="3B8D3CDA" w14:textId="77777777" w:rsidTr="00E14824">
        <w:trPr>
          <w:trHeight w:val="34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D0AD1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2-years</w:t>
            </w:r>
          </w:p>
          <w:p w14:paraId="2BB4B7B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MSS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FE5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 w:val="22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 w:val="22"/>
                <w:lang w:val="en-GB"/>
              </w:rPr>
              <w:t>92.1 %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3E9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43.1 %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4D0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2-years</w:t>
            </w:r>
          </w:p>
          <w:p w14:paraId="6B82D13A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PFS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D0B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75 %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2E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27.7 %</w:t>
            </w:r>
          </w:p>
        </w:tc>
      </w:tr>
      <w:tr w:rsidR="00E46274" w:rsidRPr="00E46274" w14:paraId="08804F82" w14:textId="77777777" w:rsidTr="00E14824">
        <w:trPr>
          <w:trHeight w:val="34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45E39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3-years</w:t>
            </w:r>
          </w:p>
          <w:p w14:paraId="097F812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MSS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EB2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 w:val="22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 w:val="22"/>
                <w:lang w:val="en-GB"/>
              </w:rPr>
              <w:t>92.1 %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C77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23.5 %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6F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3-years</w:t>
            </w:r>
          </w:p>
          <w:p w14:paraId="2D2995DF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PFS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D4F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72 %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C9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22.2 %</w:t>
            </w:r>
          </w:p>
        </w:tc>
      </w:tr>
      <w:tr w:rsidR="00E46274" w:rsidRPr="00E46274" w14:paraId="628763B0" w14:textId="77777777" w:rsidTr="00E14824">
        <w:trPr>
          <w:trHeight w:val="34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6D1BE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4-years</w:t>
            </w:r>
          </w:p>
          <w:p w14:paraId="1259439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MSS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C7F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color w:val="auto"/>
                <w:sz w:val="22"/>
                <w:lang w:val="en-GB"/>
              </w:rPr>
            </w:pPr>
            <w:r w:rsidRPr="00E46274">
              <w:rPr>
                <w:rFonts w:ascii="Cambria Math" w:hAnsi="Cambria Math" w:cs="Cambria Math"/>
                <w:color w:val="auto"/>
                <w:sz w:val="22"/>
                <w:lang w:val="en-GB"/>
              </w:rPr>
              <w:t>92.1 %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8EE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23.5 %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D0F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4-years</w:t>
            </w:r>
          </w:p>
          <w:p w14:paraId="716D6D92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color w:val="auto"/>
                <w:sz w:val="22"/>
                <w:lang w:val="en-GB"/>
              </w:rPr>
              <w:t>PFS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1E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72 %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C8D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color w:val="auto"/>
                <w:sz w:val="22"/>
                <w:lang w:val="en-GB"/>
              </w:rPr>
              <w:t>22.2 %</w:t>
            </w:r>
          </w:p>
        </w:tc>
      </w:tr>
      <w:tr w:rsidR="00E46274" w:rsidRPr="00E46274" w14:paraId="73E07900" w14:textId="77777777" w:rsidTr="00E148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484D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  <w:t>5-years</w:t>
            </w:r>
          </w:p>
          <w:p w14:paraId="7BCAAB5A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  <w:t>MSS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CA" w14:textId="77777777" w:rsidR="00E46274" w:rsidRPr="00E46274" w:rsidRDefault="00E46274" w:rsidP="00E46274">
            <w:pPr>
              <w:spacing w:before="0" w:after="0"/>
              <w:jc w:val="center"/>
              <w:rPr>
                <w:rFonts w:ascii="Cambria Math" w:hAnsi="Cambria Math" w:cs="Cambria Math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ascii="Cambria Math" w:hAnsi="Cambria Math" w:cs="Cambria Math"/>
                <w:b w:val="0"/>
                <w:bCs w:val="0"/>
                <w:color w:val="auto"/>
                <w:sz w:val="22"/>
                <w:lang w:val="en-GB"/>
              </w:rPr>
              <w:t>92.1 %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73B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  <w:t>17.6 %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BE5" w14:textId="77777777" w:rsidR="00E46274" w:rsidRPr="00E46274" w:rsidRDefault="00E46274" w:rsidP="00E46274">
            <w:pPr>
              <w:spacing w:before="0" w:after="0"/>
              <w:jc w:val="center"/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  <w:t>5-years</w:t>
            </w:r>
          </w:p>
          <w:p w14:paraId="65B9BBBF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cs="Times New Roman"/>
                <w:b w:val="0"/>
                <w:bCs w:val="0"/>
                <w:color w:val="auto"/>
                <w:sz w:val="22"/>
                <w:lang w:val="en-GB"/>
              </w:rPr>
              <w:t>PFS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C62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  <w:t>72 %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7F5" w14:textId="77777777" w:rsidR="00E46274" w:rsidRPr="00E46274" w:rsidRDefault="00E46274" w:rsidP="00E46274">
            <w:pPr>
              <w:spacing w:before="0" w:after="0"/>
              <w:jc w:val="center"/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</w:pPr>
            <w:r w:rsidRPr="00E46274">
              <w:rPr>
                <w:rFonts w:ascii="Calibri" w:hAnsi="Calibri" w:cs="Times New Roman"/>
                <w:b w:val="0"/>
                <w:bCs w:val="0"/>
                <w:color w:val="auto"/>
                <w:sz w:val="22"/>
                <w:lang w:val="en-GB"/>
              </w:rPr>
              <w:t>22.2 %</w:t>
            </w:r>
          </w:p>
        </w:tc>
      </w:tr>
    </w:tbl>
    <w:p w14:paraId="11EC8DA1" w14:textId="244373C5" w:rsidR="00994A3D" w:rsidRDefault="00994A3D" w:rsidP="00E46274">
      <w:pPr>
        <w:keepNext/>
        <w:rPr>
          <w:rFonts w:cs="Times New Roman"/>
          <w:szCs w:val="24"/>
        </w:rPr>
      </w:pPr>
    </w:p>
    <w:p w14:paraId="5C1B8B81" w14:textId="77777777" w:rsidR="00E46274" w:rsidRPr="001549D3" w:rsidRDefault="00E46274" w:rsidP="00E46274">
      <w:pPr>
        <w:keepNext/>
        <w:rPr>
          <w:rFonts w:cs="Times New Roman"/>
          <w:szCs w:val="24"/>
        </w:rPr>
      </w:pPr>
    </w:p>
    <w:p w14:paraId="4419D6B2" w14:textId="77777777" w:rsidR="0092018E" w:rsidRDefault="00994A3D" w:rsidP="0092018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p w14:paraId="55604A30" w14:textId="77D5D09E" w:rsidR="0092018E" w:rsidRDefault="0092018E" w:rsidP="0092018E">
      <w:pPr>
        <w:keepNext/>
        <w:rPr>
          <w:rFonts w:cs="Times New Roman"/>
          <w:szCs w:val="24"/>
        </w:rPr>
      </w:pPr>
      <w:r w:rsidRPr="0092018E">
        <w:rPr>
          <w:rFonts w:cs="Times New Roman"/>
          <w:szCs w:val="24"/>
        </w:rPr>
        <w:t>Figure 1a shows the time dependent ROC curves with the state variable MCC specific death and with the different test variables at time points t=12, 36, 60 months; a) test variable: CRP ≥5.5, b) test variable: NSE ≥ 22.8, c) test variable: MELD score ≥ 11, d) test variable: age≥75.</w:t>
      </w:r>
    </w:p>
    <w:p w14:paraId="0192F3FA" w14:textId="4C3AC702" w:rsidR="00B75F31" w:rsidRPr="0092018E" w:rsidRDefault="00B75F31" w:rsidP="0092018E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3B98A0A" wp14:editId="2F9D8AC6">
            <wp:extent cx="6207125" cy="3952240"/>
            <wp:effectExtent l="0" t="0" r="3175" b="0"/>
            <wp:docPr id="21267276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6CE9" w14:textId="5F7EF049" w:rsidR="0092018E" w:rsidRDefault="0092018E" w:rsidP="0092018E">
      <w:pPr>
        <w:keepNext/>
        <w:rPr>
          <w:rFonts w:cs="Times New Roman"/>
          <w:szCs w:val="24"/>
        </w:rPr>
      </w:pPr>
      <w:r w:rsidRPr="0092018E">
        <w:rPr>
          <w:rFonts w:cs="Times New Roman"/>
          <w:szCs w:val="24"/>
        </w:rPr>
        <w:t>Figure 1b shows the time dependent ROC curves with the state variable MCC relapse and with the different test variables at time points t=12, 36, 60 months; a) test variable:  CRP ≥5.5, b) test variable: NSE level ≥ 22.8, c) test variable: MELD score ≥ 11, d) test variable: age≥75.</w:t>
      </w:r>
    </w:p>
    <w:p w14:paraId="58F1AED1" w14:textId="5257240C" w:rsidR="00DE23E8" w:rsidRPr="0092018E" w:rsidRDefault="00B75F31" w:rsidP="00654E8F">
      <w:pPr>
        <w:spacing w:before="240"/>
      </w:pPr>
      <w:r>
        <w:rPr>
          <w:noProof/>
        </w:rPr>
        <w:lastRenderedPageBreak/>
        <w:drawing>
          <wp:inline distT="0" distB="0" distL="0" distR="0" wp14:anchorId="377BD415" wp14:editId="1A6F019C">
            <wp:extent cx="6199505" cy="3727450"/>
            <wp:effectExtent l="0" t="0" r="0" b="6350"/>
            <wp:docPr id="8555443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92018E" w:rsidSect="00E57306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59FD" w14:textId="77777777" w:rsidR="0044498E" w:rsidRDefault="0044498E" w:rsidP="00117666">
      <w:pPr>
        <w:spacing w:after="0"/>
      </w:pPr>
      <w:r>
        <w:separator/>
      </w:r>
    </w:p>
  </w:endnote>
  <w:endnote w:type="continuationSeparator" w:id="0">
    <w:p w14:paraId="4ADF58CA" w14:textId="77777777" w:rsidR="0044498E" w:rsidRDefault="004449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9463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46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9463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46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E841" w14:textId="77777777" w:rsidR="0044498E" w:rsidRDefault="0044498E" w:rsidP="00117666">
      <w:pPr>
        <w:spacing w:after="0"/>
      </w:pPr>
      <w:r>
        <w:separator/>
      </w:r>
    </w:p>
  </w:footnote>
  <w:footnote w:type="continuationSeparator" w:id="0">
    <w:p w14:paraId="5DA2091E" w14:textId="77777777" w:rsidR="0044498E" w:rsidRDefault="004449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946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9463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0tLCwsDQ0NTE0NLZQ0lEKTi0uzszPAykwrAUA3CK8tSwAAAA="/>
  </w:docVars>
  <w:rsids>
    <w:rsidRoot w:val="00803D24"/>
    <w:rsid w:val="0001436A"/>
    <w:rsid w:val="00034304"/>
    <w:rsid w:val="00035434"/>
    <w:rsid w:val="00052A14"/>
    <w:rsid w:val="00077D53"/>
    <w:rsid w:val="00077E06"/>
    <w:rsid w:val="00101C7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3DB1"/>
    <w:rsid w:val="003544FB"/>
    <w:rsid w:val="003D2D47"/>
    <w:rsid w:val="003D2F2D"/>
    <w:rsid w:val="00401590"/>
    <w:rsid w:val="0044498E"/>
    <w:rsid w:val="00447801"/>
    <w:rsid w:val="00452E9C"/>
    <w:rsid w:val="004735C8"/>
    <w:rsid w:val="004961FF"/>
    <w:rsid w:val="004D01F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0B3B"/>
    <w:rsid w:val="00714C50"/>
    <w:rsid w:val="00725A7D"/>
    <w:rsid w:val="007501BE"/>
    <w:rsid w:val="007738B6"/>
    <w:rsid w:val="00790BB3"/>
    <w:rsid w:val="007C206C"/>
    <w:rsid w:val="007E77A3"/>
    <w:rsid w:val="00803D24"/>
    <w:rsid w:val="00817DD6"/>
    <w:rsid w:val="00885156"/>
    <w:rsid w:val="009151AA"/>
    <w:rsid w:val="0092018E"/>
    <w:rsid w:val="0093429D"/>
    <w:rsid w:val="00943573"/>
    <w:rsid w:val="00970F7D"/>
    <w:rsid w:val="00994637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75F31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4EBA"/>
    <w:rsid w:val="00E46274"/>
    <w:rsid w:val="00E52377"/>
    <w:rsid w:val="00E57306"/>
    <w:rsid w:val="00E64E17"/>
    <w:rsid w:val="00E866C9"/>
    <w:rsid w:val="00EA3D3C"/>
    <w:rsid w:val="00EB1CA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HelleSchattierung-Akzent11">
    <w:name w:val="Helle Schattierung - Akzent 11"/>
    <w:basedOn w:val="TableNormal"/>
    <w:next w:val="LightShading-Accent1"/>
    <w:uiPriority w:val="60"/>
    <w:rsid w:val="00E46274"/>
    <w:pPr>
      <w:spacing w:after="0" w:line="240" w:lineRule="auto"/>
    </w:pPr>
    <w:rPr>
      <w:rFonts w:eastAsia="Yu Mincho"/>
      <w:color w:val="2F5496"/>
      <w:lang w:val="de-DE" w:eastAsia="de-D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462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TableNormal"/>
    <w:next w:val="LightShading-Accent1"/>
    <w:uiPriority w:val="60"/>
    <w:rsid w:val="00E46274"/>
    <w:pPr>
      <w:spacing w:after="0" w:line="240" w:lineRule="auto"/>
    </w:pPr>
    <w:rPr>
      <w:rFonts w:eastAsia="Yu Mincho"/>
      <w:color w:val="2F5496"/>
      <w:lang w:val="de-DE" w:eastAsia="de-D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Alessandro Sbordoni</cp:lastModifiedBy>
  <cp:revision>8</cp:revision>
  <cp:lastPrinted>2013-10-03T12:51:00Z</cp:lastPrinted>
  <dcterms:created xsi:type="dcterms:W3CDTF">2022-11-17T16:58:00Z</dcterms:created>
  <dcterms:modified xsi:type="dcterms:W3CDTF">2024-07-08T13:28:00Z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