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969D8" w14:textId="21741E7E" w:rsidR="00F74E5A" w:rsidRPr="00E741C0" w:rsidRDefault="00F74E5A" w:rsidP="00792E3F">
      <w:pPr>
        <w:pStyle w:val="Title"/>
        <w:rPr>
          <w:i/>
          <w:iCs/>
          <w:color w:val="000000" w:themeColor="text1"/>
          <w:sz w:val="40"/>
          <w:szCs w:val="40"/>
        </w:rPr>
      </w:pPr>
      <w:bookmarkStart w:id="0" w:name="_Hlk170590961"/>
      <w:bookmarkStart w:id="1" w:name="_Hlk170590992"/>
      <w:r w:rsidRPr="00E741C0">
        <w:rPr>
          <w:i/>
          <w:iCs/>
          <w:color w:val="000000" w:themeColor="text1"/>
          <w:sz w:val="40"/>
          <w:szCs w:val="40"/>
        </w:rPr>
        <w:t>Supplementary material</w:t>
      </w:r>
    </w:p>
    <w:p w14:paraId="5A6FD01B" w14:textId="2A51FBE6" w:rsidR="00792E3F" w:rsidRPr="00E741C0" w:rsidRDefault="00792E3F" w:rsidP="00792E3F">
      <w:pPr>
        <w:pStyle w:val="Title"/>
        <w:rPr>
          <w:color w:val="000000" w:themeColor="text1"/>
        </w:rPr>
      </w:pPr>
      <w:r w:rsidRPr="00E741C0">
        <w:rPr>
          <w:color w:val="000000" w:themeColor="text1"/>
        </w:rPr>
        <w:t xml:space="preserve">Environment contamination with carbapenem resistant </w:t>
      </w:r>
      <w:r w:rsidRPr="00E741C0">
        <w:rPr>
          <w:i/>
          <w:iCs/>
          <w:color w:val="000000" w:themeColor="text1"/>
        </w:rPr>
        <w:t xml:space="preserve">Acinetobacter baumannii </w:t>
      </w:r>
      <w:r w:rsidRPr="00E741C0">
        <w:rPr>
          <w:color w:val="000000" w:themeColor="text1"/>
        </w:rPr>
        <w:t>in healthcare settings in Fiji: a potential source of infection</w:t>
      </w:r>
    </w:p>
    <w:p w14:paraId="6EE74713" w14:textId="41C87F48" w:rsidR="00792E3F" w:rsidRPr="00E741C0" w:rsidRDefault="00792E3F" w:rsidP="00792E3F">
      <w:pPr>
        <w:spacing w:after="120"/>
        <w:rPr>
          <w:rFonts w:eastAsia="Calibri" w:cs="Times New Roman"/>
          <w:color w:val="000000" w:themeColor="text1"/>
          <w:szCs w:val="24"/>
          <w:vertAlign w:val="superscript"/>
          <w:lang w:val="en-NZ"/>
        </w:rPr>
      </w:pPr>
      <w:bookmarkStart w:id="2" w:name="_Hlk117034060"/>
      <w:proofErr w:type="spellStart"/>
      <w:r w:rsidRPr="00E741C0">
        <w:rPr>
          <w:rFonts w:eastAsia="Calibri" w:cs="Times New Roman"/>
          <w:color w:val="000000" w:themeColor="text1"/>
          <w:szCs w:val="24"/>
          <w:lang w:val="en-NZ"/>
        </w:rPr>
        <w:t>Sakiusa</w:t>
      </w:r>
      <w:proofErr w:type="spellEnd"/>
      <w:r w:rsidRPr="00E741C0">
        <w:rPr>
          <w:rFonts w:eastAsia="Calibri" w:cs="Times New Roman"/>
          <w:color w:val="000000" w:themeColor="text1"/>
          <w:szCs w:val="24"/>
          <w:lang w:val="en-NZ"/>
        </w:rPr>
        <w:t xml:space="preserve"> C. Baleivanualala</w:t>
      </w:r>
      <w:bookmarkStart w:id="3" w:name="_Hlk115865123"/>
      <w:r w:rsidRPr="00E741C0">
        <w:rPr>
          <w:rFonts w:eastAsia="Calibri" w:cs="Times New Roman"/>
          <w:color w:val="000000" w:themeColor="text1"/>
          <w:szCs w:val="24"/>
          <w:vertAlign w:val="superscript"/>
          <w:lang w:val="en-NZ"/>
        </w:rPr>
        <w:t>1,2,3</w:t>
      </w:r>
      <w:r w:rsidRPr="00E741C0">
        <w:rPr>
          <w:rFonts w:eastAsia="Calibri" w:cs="Times New Roman"/>
          <w:color w:val="000000" w:themeColor="text1"/>
          <w:szCs w:val="24"/>
          <w:lang w:val="en-NZ"/>
        </w:rPr>
        <w:t xml:space="preserve">, </w:t>
      </w:r>
      <w:bookmarkEnd w:id="3"/>
      <w:proofErr w:type="spellStart"/>
      <w:r w:rsidRPr="00E741C0">
        <w:rPr>
          <w:rFonts w:eastAsia="Calibri" w:cs="Times New Roman"/>
          <w:color w:val="000000" w:themeColor="text1"/>
          <w:szCs w:val="24"/>
          <w:lang w:val="en-NZ"/>
        </w:rPr>
        <w:t>Silivia</w:t>
      </w:r>
      <w:proofErr w:type="spellEnd"/>
      <w:r w:rsidRPr="00E741C0">
        <w:rPr>
          <w:rFonts w:eastAsia="Calibri" w:cs="Times New Roman"/>
          <w:color w:val="000000" w:themeColor="text1"/>
          <w:szCs w:val="24"/>
          <w:lang w:val="en-NZ"/>
        </w:rPr>
        <w:t xml:space="preserve"> Matanitobua</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xml:space="preserve">, </w:t>
      </w:r>
      <w:r w:rsidRPr="00E741C0">
        <w:rPr>
          <w:rFonts w:eastAsia="Times New Roman" w:cs="Times New Roman"/>
          <w:color w:val="000000" w:themeColor="text1"/>
          <w:szCs w:val="24"/>
          <w:lang w:val="en-NZ" w:eastAsia="en-NZ"/>
        </w:rPr>
        <w:t>Yvette Samisoni</w:t>
      </w:r>
      <w:r w:rsidRPr="00E741C0">
        <w:rPr>
          <w:rFonts w:eastAsia="Times New Roman" w:cs="Times New Roman"/>
          <w:color w:val="000000" w:themeColor="text1"/>
          <w:szCs w:val="24"/>
          <w:vertAlign w:val="superscript"/>
          <w:lang w:val="en-NZ" w:eastAsia="en-NZ"/>
        </w:rPr>
        <w:t>5</w:t>
      </w:r>
      <w:r w:rsidRPr="00E741C0">
        <w:rPr>
          <w:rFonts w:eastAsia="Times New Roman" w:cs="Times New Roman"/>
          <w:color w:val="000000" w:themeColor="text1"/>
          <w:szCs w:val="24"/>
          <w:lang w:val="en-NZ" w:eastAsia="en-NZ"/>
        </w:rPr>
        <w:t>,</w:t>
      </w:r>
      <w:r w:rsidRPr="00E741C0">
        <w:rPr>
          <w:rFonts w:eastAsia="Times New Roman" w:cs="Times New Roman"/>
          <w:color w:val="000000" w:themeColor="text1"/>
          <w:szCs w:val="24"/>
          <w:vertAlign w:val="superscript"/>
          <w:lang w:val="en-NZ" w:eastAsia="en-NZ"/>
        </w:rPr>
        <w:t xml:space="preserve"> </w:t>
      </w:r>
      <w:r w:rsidRPr="00E741C0">
        <w:rPr>
          <w:rFonts w:eastAsia="Calibri" w:cs="Times New Roman"/>
          <w:color w:val="000000" w:themeColor="text1"/>
          <w:szCs w:val="24"/>
          <w:lang w:val="en-NZ"/>
        </w:rPr>
        <w:t>Vika Soqo</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xml:space="preserve">, </w:t>
      </w:r>
      <w:proofErr w:type="spellStart"/>
      <w:r w:rsidRPr="00E741C0">
        <w:rPr>
          <w:rFonts w:eastAsia="Calibri" w:cs="Times New Roman"/>
          <w:color w:val="000000" w:themeColor="text1"/>
          <w:szCs w:val="24"/>
          <w:lang w:val="en-NZ"/>
        </w:rPr>
        <w:t>Shayal</w:t>
      </w:r>
      <w:proofErr w:type="spellEnd"/>
      <w:r w:rsidRPr="00E741C0">
        <w:rPr>
          <w:rFonts w:eastAsia="Calibri" w:cs="Times New Roman"/>
          <w:color w:val="000000" w:themeColor="text1"/>
          <w:szCs w:val="24"/>
          <w:lang w:val="en-NZ"/>
        </w:rPr>
        <w:t xml:space="preserve"> Smita</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xml:space="preserve">, </w:t>
      </w:r>
      <w:proofErr w:type="spellStart"/>
      <w:r w:rsidRPr="00E741C0">
        <w:rPr>
          <w:rFonts w:eastAsia="Times New Roman" w:cs="Times New Roman"/>
          <w:color w:val="000000" w:themeColor="text1"/>
          <w:szCs w:val="24"/>
          <w:lang w:val="en-NZ" w:eastAsia="en-NZ"/>
        </w:rPr>
        <w:t>Josese</w:t>
      </w:r>
      <w:proofErr w:type="spellEnd"/>
      <w:r w:rsidRPr="00E741C0">
        <w:rPr>
          <w:rFonts w:eastAsia="Times New Roman" w:cs="Times New Roman"/>
          <w:color w:val="000000" w:themeColor="text1"/>
          <w:szCs w:val="24"/>
          <w:lang w:val="en-NZ" w:eastAsia="en-NZ"/>
        </w:rPr>
        <w:t xml:space="preserve"> Mailulu</w:t>
      </w:r>
      <w:r w:rsidRPr="00E741C0">
        <w:rPr>
          <w:rFonts w:eastAsia="Times New Roman" w:cs="Times New Roman"/>
          <w:color w:val="000000" w:themeColor="text1"/>
          <w:szCs w:val="24"/>
          <w:vertAlign w:val="superscript"/>
          <w:lang w:val="en-NZ" w:eastAsia="en-NZ"/>
        </w:rPr>
        <w:t>6</w:t>
      </w:r>
      <w:r w:rsidRPr="00E741C0">
        <w:rPr>
          <w:rFonts w:eastAsia="Times New Roman" w:cs="Times New Roman"/>
          <w:color w:val="000000" w:themeColor="text1"/>
          <w:szCs w:val="24"/>
          <w:lang w:val="en-NZ" w:eastAsia="en-NZ"/>
        </w:rPr>
        <w:t xml:space="preserve">, </w:t>
      </w:r>
      <w:proofErr w:type="spellStart"/>
      <w:r w:rsidRPr="00E741C0">
        <w:rPr>
          <w:rFonts w:eastAsia="Times New Roman" w:cs="Times New Roman"/>
          <w:color w:val="000000" w:themeColor="text1"/>
          <w:szCs w:val="24"/>
          <w:lang w:val="en-NZ" w:eastAsia="en-NZ"/>
        </w:rPr>
        <w:t>Ilisapeci</w:t>
      </w:r>
      <w:proofErr w:type="spellEnd"/>
      <w:r w:rsidRPr="00E741C0">
        <w:rPr>
          <w:rFonts w:eastAsia="Times New Roman" w:cs="Times New Roman"/>
          <w:color w:val="000000" w:themeColor="text1"/>
          <w:szCs w:val="24"/>
          <w:lang w:val="en-NZ" w:eastAsia="en-NZ"/>
        </w:rPr>
        <w:t xml:space="preserve"> Nabose</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Alvina Lata</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Christina Shayam</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 Radhika Sharma</w:t>
      </w:r>
      <w:r w:rsidRPr="00E741C0">
        <w:rPr>
          <w:rFonts w:eastAsia="Calibri" w:cs="Times New Roman"/>
          <w:color w:val="000000" w:themeColor="text1"/>
          <w:szCs w:val="24"/>
          <w:vertAlign w:val="superscript"/>
          <w:lang w:val="en-NZ"/>
        </w:rPr>
        <w:t>4</w:t>
      </w:r>
      <w:r w:rsidRPr="00E741C0">
        <w:rPr>
          <w:rFonts w:eastAsia="Calibri" w:cs="Times New Roman"/>
          <w:color w:val="000000" w:themeColor="text1"/>
          <w:szCs w:val="24"/>
          <w:lang w:val="en-NZ"/>
        </w:rPr>
        <w:t>,</w:t>
      </w:r>
      <w:r w:rsidRPr="00E741C0">
        <w:rPr>
          <w:rFonts w:eastAsia="Times New Roman" w:cs="Times New Roman"/>
          <w:color w:val="000000" w:themeColor="text1"/>
          <w:szCs w:val="24"/>
          <w:lang w:val="en-NZ" w:eastAsia="en-NZ"/>
        </w:rPr>
        <w:t xml:space="preserve"> Donald Wilson</w:t>
      </w:r>
      <w:r w:rsidRPr="00E741C0">
        <w:rPr>
          <w:rFonts w:eastAsia="Times New Roman" w:cs="Times New Roman"/>
          <w:color w:val="000000" w:themeColor="text1"/>
          <w:szCs w:val="24"/>
          <w:vertAlign w:val="superscript"/>
          <w:lang w:val="en-NZ" w:eastAsia="en-NZ"/>
        </w:rPr>
        <w:t>2</w:t>
      </w:r>
      <w:r w:rsidRPr="00E741C0">
        <w:rPr>
          <w:rFonts w:eastAsia="Times New Roman" w:cs="Times New Roman"/>
          <w:color w:val="000000" w:themeColor="text1"/>
          <w:szCs w:val="24"/>
          <w:lang w:val="en-NZ" w:eastAsia="en-NZ"/>
        </w:rPr>
        <w:t xml:space="preserve">, </w:t>
      </w:r>
      <w:r w:rsidRPr="00E741C0">
        <w:rPr>
          <w:rFonts w:eastAsia="Calibri" w:cs="Times New Roman"/>
          <w:color w:val="000000" w:themeColor="text1"/>
          <w:szCs w:val="24"/>
          <w:lang w:val="en-NZ"/>
        </w:rPr>
        <w:t>John A. Crump</w:t>
      </w:r>
      <w:r w:rsidRPr="00E741C0">
        <w:rPr>
          <w:rFonts w:eastAsia="Calibri" w:cs="Times New Roman"/>
          <w:color w:val="000000" w:themeColor="text1"/>
          <w:szCs w:val="24"/>
          <w:vertAlign w:val="superscript"/>
          <w:lang w:val="en-NZ"/>
        </w:rPr>
        <w:t>7,8</w:t>
      </w:r>
      <w:r w:rsidRPr="00E741C0">
        <w:rPr>
          <w:rFonts w:eastAsia="Calibri" w:cs="Times New Roman"/>
          <w:color w:val="000000" w:themeColor="text1"/>
          <w:szCs w:val="24"/>
          <w:lang w:val="en-NZ"/>
        </w:rPr>
        <w:t>, *James E. Ussher</w:t>
      </w:r>
      <w:r w:rsidRPr="00E741C0">
        <w:rPr>
          <w:rFonts w:eastAsia="Calibri" w:cs="Times New Roman"/>
          <w:color w:val="000000" w:themeColor="text1"/>
          <w:szCs w:val="24"/>
          <w:vertAlign w:val="superscript"/>
          <w:lang w:val="en-NZ"/>
        </w:rPr>
        <w:t>1,3,9</w:t>
      </w:r>
    </w:p>
    <w:p w14:paraId="703806DE" w14:textId="77777777" w:rsidR="00792E3F" w:rsidRPr="00E741C0" w:rsidRDefault="00792E3F" w:rsidP="00792E3F">
      <w:pPr>
        <w:spacing w:after="120"/>
        <w:rPr>
          <w:rFonts w:eastAsia="Calibri" w:cs="Times New Roman"/>
          <w:color w:val="000000" w:themeColor="text1"/>
          <w:szCs w:val="24"/>
          <w:vertAlign w:val="superscript"/>
          <w:lang w:val="en-NZ"/>
        </w:rPr>
      </w:pPr>
    </w:p>
    <w:p w14:paraId="065388AF" w14:textId="77777777" w:rsidR="00792E3F" w:rsidRPr="00E741C0" w:rsidRDefault="00792E3F" w:rsidP="00792E3F">
      <w:pPr>
        <w:spacing w:after="120"/>
        <w:rPr>
          <w:rFonts w:eastAsia="Calibri" w:cs="Times New Roman"/>
          <w:color w:val="000000" w:themeColor="text1"/>
          <w:szCs w:val="24"/>
          <w:vertAlign w:val="superscript"/>
          <w:lang w:val="en-NZ"/>
        </w:rPr>
      </w:pPr>
    </w:p>
    <w:p w14:paraId="23AAAC7B" w14:textId="77777777" w:rsidR="00792E3F" w:rsidRPr="00E741C0" w:rsidRDefault="00792E3F" w:rsidP="00792E3F">
      <w:pPr>
        <w:spacing w:after="120"/>
        <w:rPr>
          <w:rFonts w:eastAsia="Times New Roman" w:cs="Times New Roman"/>
          <w:color w:val="000000" w:themeColor="text1"/>
          <w:szCs w:val="24"/>
          <w:lang w:val="en-NZ" w:eastAsia="en-NZ"/>
        </w:rPr>
      </w:pPr>
    </w:p>
    <w:p w14:paraId="6E5A5EEE" w14:textId="73317DFC" w:rsidR="00792E3F" w:rsidRPr="00E741C0" w:rsidRDefault="00792E3F" w:rsidP="00792E3F">
      <w:pPr>
        <w:spacing w:after="120"/>
        <w:rPr>
          <w:rFonts w:eastAsia="Calibri" w:cs="Times New Roman"/>
          <w:color w:val="000000" w:themeColor="text1"/>
          <w:szCs w:val="24"/>
          <w:lang w:val="en-NZ"/>
        </w:rPr>
      </w:pPr>
      <w:bookmarkStart w:id="4" w:name="_Hlk154767013"/>
      <w:bookmarkEnd w:id="2"/>
      <w:r w:rsidRPr="00E741C0">
        <w:rPr>
          <w:rFonts w:eastAsia="Calibri" w:cs="Times New Roman"/>
          <w:color w:val="000000" w:themeColor="text1"/>
          <w:szCs w:val="24"/>
          <w:lang w:val="en-NZ"/>
        </w:rPr>
        <w:t>1.</w:t>
      </w:r>
      <w:r w:rsidRPr="00E741C0">
        <w:rPr>
          <w:rFonts w:ascii="Arial" w:eastAsia="Calibri" w:hAnsi="Arial" w:cs="Arial"/>
          <w:color w:val="000000" w:themeColor="text1"/>
          <w:szCs w:val="24"/>
          <w:lang w:val="en-NZ"/>
        </w:rPr>
        <w:t xml:space="preserve"> </w:t>
      </w:r>
      <w:r w:rsidRPr="00E741C0">
        <w:rPr>
          <w:rFonts w:eastAsia="Calibri" w:cs="Times New Roman"/>
          <w:color w:val="000000" w:themeColor="text1"/>
          <w:szCs w:val="24"/>
          <w:lang w:val="en-NZ"/>
        </w:rPr>
        <w:t xml:space="preserve">Department of Microbiology and Immunology, School of Biomedical Sciences, University of Otago, Dunedin 9054, New Zealand. </w:t>
      </w:r>
    </w:p>
    <w:p w14:paraId="1BF8B8FD"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2. College of Medicine, Nursing and Health Science, Fiji National University, Suva, Fiji.</w:t>
      </w:r>
    </w:p>
    <w:p w14:paraId="2FDD845F"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3. Maurice Wilkins Centre for Molecular Biodiscovery, University of Auckland, Auckland 92019, New Zealand</w:t>
      </w:r>
    </w:p>
    <w:p w14:paraId="602C0EC5"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4. Ministry of Health, Fiji</w:t>
      </w:r>
    </w:p>
    <w:p w14:paraId="153F88BD"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 xml:space="preserve">5. Aspen Medical, Lautoka, Fiji </w:t>
      </w:r>
    </w:p>
    <w:p w14:paraId="416D8716"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6. Pacific Laboratory Specialist, Suva, Fiji</w:t>
      </w:r>
    </w:p>
    <w:p w14:paraId="21E43B53"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7. Centre for International Health, Division of Health Sciences, University of Otago, Dunedin, New Zealand.</w:t>
      </w:r>
    </w:p>
    <w:p w14:paraId="4BC49AF2"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8. Otago Global Health Institute, University of Otago, Dunedin 9054, New Zealand</w:t>
      </w:r>
    </w:p>
    <w:p w14:paraId="50790DCE" w14:textId="77777777" w:rsidR="00792E3F" w:rsidRPr="00E741C0" w:rsidRDefault="00792E3F" w:rsidP="00792E3F">
      <w:pPr>
        <w:spacing w:after="120"/>
        <w:rPr>
          <w:rFonts w:eastAsia="Calibri" w:cs="Times New Roman"/>
          <w:color w:val="000000" w:themeColor="text1"/>
          <w:szCs w:val="24"/>
          <w:lang w:val="en-NZ"/>
        </w:rPr>
      </w:pPr>
      <w:r w:rsidRPr="00E741C0">
        <w:rPr>
          <w:rFonts w:eastAsia="Calibri" w:cs="Times New Roman"/>
          <w:color w:val="000000" w:themeColor="text1"/>
          <w:szCs w:val="24"/>
          <w:lang w:val="en-NZ"/>
        </w:rPr>
        <w:t xml:space="preserve">9. </w:t>
      </w:r>
      <w:proofErr w:type="spellStart"/>
      <w:r w:rsidRPr="00E741C0">
        <w:rPr>
          <w:rFonts w:eastAsia="Calibri" w:cs="Times New Roman"/>
          <w:color w:val="000000" w:themeColor="text1"/>
          <w:szCs w:val="24"/>
          <w:lang w:val="en-NZ"/>
        </w:rPr>
        <w:t>Awanui</w:t>
      </w:r>
      <w:proofErr w:type="spellEnd"/>
      <w:r w:rsidRPr="00E741C0">
        <w:rPr>
          <w:rFonts w:eastAsia="Calibri" w:cs="Times New Roman"/>
          <w:color w:val="000000" w:themeColor="text1"/>
          <w:szCs w:val="24"/>
          <w:lang w:val="en-NZ"/>
        </w:rPr>
        <w:t xml:space="preserve"> Labs, Dunedin Hospital, Dunedin</w:t>
      </w:r>
      <w:bookmarkEnd w:id="0"/>
      <w:r w:rsidRPr="00E741C0">
        <w:rPr>
          <w:rFonts w:eastAsia="Calibri" w:cs="Times New Roman"/>
          <w:color w:val="000000" w:themeColor="text1"/>
          <w:szCs w:val="24"/>
          <w:lang w:val="en-NZ"/>
        </w:rPr>
        <w:t>, New Zealand.</w:t>
      </w:r>
    </w:p>
    <w:bookmarkEnd w:id="1"/>
    <w:bookmarkEnd w:id="4"/>
    <w:p w14:paraId="674E309D" w14:textId="4F137426" w:rsidR="002868E2" w:rsidRPr="00E741C0" w:rsidRDefault="002868E2" w:rsidP="00792E3F">
      <w:pPr>
        <w:spacing w:before="240" w:after="0"/>
        <w:rPr>
          <w:rFonts w:cs="Times New Roman"/>
          <w:b/>
          <w:color w:val="000000" w:themeColor="text1"/>
          <w:szCs w:val="24"/>
        </w:rPr>
      </w:pPr>
    </w:p>
    <w:p w14:paraId="2F8945E8" w14:textId="77777777" w:rsidR="00792E3F" w:rsidRPr="00E741C0" w:rsidRDefault="00792E3F" w:rsidP="00792E3F">
      <w:pPr>
        <w:spacing w:before="240" w:after="0"/>
        <w:rPr>
          <w:rFonts w:cs="Times New Roman"/>
          <w:b/>
          <w:color w:val="000000" w:themeColor="text1"/>
          <w:szCs w:val="24"/>
        </w:rPr>
      </w:pPr>
    </w:p>
    <w:p w14:paraId="2F5C3A86" w14:textId="77777777" w:rsidR="00792E3F" w:rsidRPr="00E741C0" w:rsidRDefault="00792E3F" w:rsidP="00792E3F">
      <w:pPr>
        <w:spacing w:before="240" w:after="0"/>
        <w:rPr>
          <w:rFonts w:cs="Times New Roman"/>
          <w:b/>
          <w:color w:val="000000" w:themeColor="text1"/>
          <w:szCs w:val="24"/>
        </w:rPr>
      </w:pPr>
    </w:p>
    <w:p w14:paraId="6AE16AEF" w14:textId="77777777" w:rsidR="00792E3F" w:rsidRPr="00E741C0" w:rsidRDefault="002868E2" w:rsidP="00792E3F">
      <w:pPr>
        <w:spacing w:before="240" w:after="0"/>
        <w:rPr>
          <w:rFonts w:eastAsia="Calibri" w:cs="Times New Roman"/>
          <w:color w:val="000000" w:themeColor="text1"/>
          <w:szCs w:val="24"/>
        </w:rPr>
      </w:pPr>
      <w:r w:rsidRPr="00E741C0">
        <w:rPr>
          <w:rFonts w:cs="Times New Roman"/>
          <w:b/>
          <w:color w:val="000000" w:themeColor="text1"/>
          <w:szCs w:val="24"/>
        </w:rPr>
        <w:t xml:space="preserve">* Correspondence: </w:t>
      </w:r>
      <w:r w:rsidR="00671D9A" w:rsidRPr="00E741C0">
        <w:rPr>
          <w:rFonts w:cs="Times New Roman"/>
          <w:b/>
          <w:color w:val="000000" w:themeColor="text1"/>
          <w:szCs w:val="24"/>
        </w:rPr>
        <w:br/>
      </w:r>
      <w:r w:rsidRPr="00E741C0">
        <w:rPr>
          <w:rFonts w:cs="Times New Roman"/>
          <w:color w:val="000000" w:themeColor="text1"/>
          <w:szCs w:val="24"/>
        </w:rPr>
        <w:t>Corresponding Author</w:t>
      </w:r>
      <w:r w:rsidR="00671D9A" w:rsidRPr="00E741C0">
        <w:rPr>
          <w:rFonts w:cs="Times New Roman"/>
          <w:color w:val="000000" w:themeColor="text1"/>
          <w:szCs w:val="24"/>
        </w:rPr>
        <w:br/>
      </w:r>
      <w:r w:rsidR="00792E3F" w:rsidRPr="00E741C0">
        <w:rPr>
          <w:rFonts w:eastAsia="Calibri" w:cs="Times New Roman"/>
          <w:color w:val="000000" w:themeColor="text1"/>
          <w:szCs w:val="24"/>
        </w:rPr>
        <w:t>james.ussher@otago.ac.nz</w:t>
      </w:r>
    </w:p>
    <w:p w14:paraId="11EB2A20" w14:textId="77777777" w:rsidR="00792E3F" w:rsidRPr="00E741C0" w:rsidRDefault="00792E3F" w:rsidP="00671D9A">
      <w:pPr>
        <w:spacing w:before="240" w:after="0"/>
        <w:rPr>
          <w:rFonts w:cs="Times New Roman"/>
          <w:b/>
          <w:color w:val="000000" w:themeColor="text1"/>
          <w:szCs w:val="24"/>
        </w:rPr>
      </w:pPr>
    </w:p>
    <w:p w14:paraId="05E2D61F" w14:textId="77777777" w:rsidR="00792E3F" w:rsidRPr="00E741C0" w:rsidRDefault="00792E3F" w:rsidP="00671D9A">
      <w:pPr>
        <w:spacing w:before="240" w:after="0"/>
        <w:rPr>
          <w:rFonts w:cs="Times New Roman"/>
          <w:b/>
          <w:color w:val="000000" w:themeColor="text1"/>
          <w:szCs w:val="24"/>
        </w:rPr>
      </w:pPr>
    </w:p>
    <w:p w14:paraId="0E03AA6B" w14:textId="6D2BB4AF" w:rsidR="00E35B6B" w:rsidRPr="00E741C0" w:rsidRDefault="00817DD6" w:rsidP="006B2D5B">
      <w:pPr>
        <w:rPr>
          <w:rFonts w:ascii="Calibri" w:eastAsia="Calibri" w:hAnsi="Calibri" w:cs="Times New Roman"/>
          <w:color w:val="000000" w:themeColor="text1"/>
          <w:szCs w:val="24"/>
          <w:lang w:val="en-NZ"/>
        </w:rPr>
      </w:pPr>
      <w:r w:rsidRPr="00E741C0">
        <w:rPr>
          <w:b/>
          <w:bCs/>
          <w:color w:val="000000" w:themeColor="text1"/>
        </w:rPr>
        <w:t>Keywords:</w:t>
      </w:r>
      <w:r w:rsidRPr="00E741C0">
        <w:rPr>
          <w:color w:val="000000" w:themeColor="text1"/>
        </w:rPr>
        <w:t xml:space="preserve"> </w:t>
      </w:r>
      <w:r w:rsidR="00792E3F" w:rsidRPr="00E741C0">
        <w:rPr>
          <w:rFonts w:eastAsia="Calibri" w:cs="Times New Roman"/>
          <w:color w:val="000000" w:themeColor="text1"/>
          <w:szCs w:val="24"/>
        </w:rPr>
        <w:t xml:space="preserve">Carbapenems, antimicrobial resistance, </w:t>
      </w:r>
      <w:r w:rsidR="00792E3F" w:rsidRPr="00E741C0">
        <w:rPr>
          <w:rFonts w:eastAsia="Calibri" w:cs="Times New Roman"/>
          <w:i/>
          <w:iCs/>
          <w:color w:val="000000" w:themeColor="text1"/>
          <w:szCs w:val="24"/>
        </w:rPr>
        <w:t>Acinetobacter baumannii</w:t>
      </w:r>
      <w:r w:rsidR="00792E3F" w:rsidRPr="00E741C0">
        <w:rPr>
          <w:rFonts w:eastAsia="Calibri" w:cs="Times New Roman"/>
          <w:color w:val="000000" w:themeColor="text1"/>
          <w:szCs w:val="24"/>
        </w:rPr>
        <w:t>, Fiji, hospital environment, hospital-acquired infection</w:t>
      </w:r>
    </w:p>
    <w:p w14:paraId="43887945" w14:textId="77777777" w:rsidR="00E35B6B" w:rsidRPr="00E741C0" w:rsidRDefault="00E35B6B" w:rsidP="00E35B6B">
      <w:pPr>
        <w:spacing w:before="0" w:after="160"/>
        <w:jc w:val="both"/>
        <w:rPr>
          <w:rFonts w:eastAsia="Calibri" w:cs="Times New Roman"/>
          <w:b/>
          <w:bCs/>
          <w:color w:val="000000" w:themeColor="text1"/>
          <w:kern w:val="2"/>
          <w:szCs w:val="24"/>
          <w:lang w:val="en-NZ"/>
          <w14:ligatures w14:val="standardContextual"/>
        </w:rPr>
      </w:pPr>
      <w:r w:rsidRPr="00E741C0">
        <w:rPr>
          <w:rFonts w:eastAsia="Calibri" w:cs="Times New Roman"/>
          <w:b/>
          <w:bCs/>
          <w:color w:val="000000" w:themeColor="text1"/>
          <w:kern w:val="2"/>
          <w:szCs w:val="24"/>
          <w:lang w:val="en-NZ"/>
          <w14:ligatures w14:val="standardContextual"/>
        </w:rPr>
        <w:lastRenderedPageBreak/>
        <w:t>Study design</w:t>
      </w:r>
    </w:p>
    <w:p w14:paraId="65A1308B" w14:textId="01F483BC" w:rsidR="00E35B6B" w:rsidRPr="00E741C0" w:rsidRDefault="00E35B6B" w:rsidP="00E35B6B">
      <w:pPr>
        <w:spacing w:before="0" w:after="160"/>
        <w:jc w:val="both"/>
        <w:rPr>
          <w:rFonts w:eastAsia="Calibri" w:cs="Times New Roman"/>
          <w:color w:val="000000" w:themeColor="text1"/>
          <w:kern w:val="2"/>
          <w:szCs w:val="24"/>
          <w:lang w:val="en-NZ"/>
          <w14:ligatures w14:val="standardContextual"/>
        </w:rPr>
      </w:pPr>
      <w:r w:rsidRPr="00E741C0">
        <w:rPr>
          <w:rFonts w:eastAsia="Calibri" w:cs="Times New Roman"/>
          <w:color w:val="000000" w:themeColor="text1"/>
          <w:kern w:val="2"/>
          <w:szCs w:val="24"/>
          <w:lang w:val="en-NZ"/>
          <w14:ligatures w14:val="standardContextual"/>
        </w:rPr>
        <w:t xml:space="preserve">We conducted a molecular epidemiological analysis focusing on carbapenem-resistant </w:t>
      </w:r>
      <w:r w:rsidRPr="00E741C0">
        <w:rPr>
          <w:rFonts w:eastAsia="Calibri" w:cs="Times New Roman"/>
          <w:i/>
          <w:iCs/>
          <w:color w:val="000000" w:themeColor="text1"/>
          <w:kern w:val="2"/>
          <w:szCs w:val="24"/>
          <w:lang w:val="en-NZ"/>
          <w14:ligatures w14:val="standardContextual"/>
        </w:rPr>
        <w:t>Acinetobacter baumannii</w:t>
      </w:r>
      <w:r w:rsidRPr="00E741C0">
        <w:rPr>
          <w:rFonts w:eastAsia="Calibri" w:cs="Times New Roman"/>
          <w:color w:val="000000" w:themeColor="text1"/>
          <w:kern w:val="2"/>
          <w:szCs w:val="24"/>
          <w:lang w:val="en-NZ"/>
          <w14:ligatures w14:val="standardContextual"/>
        </w:rPr>
        <w:t xml:space="preserve"> (</w:t>
      </w:r>
      <w:proofErr w:type="spellStart"/>
      <w:r w:rsidRPr="00E741C0">
        <w:rPr>
          <w:rFonts w:eastAsia="Calibri" w:cs="Times New Roman"/>
          <w:color w:val="000000" w:themeColor="text1"/>
          <w:kern w:val="2"/>
          <w:szCs w:val="24"/>
          <w:lang w:val="en-NZ"/>
          <w14:ligatures w14:val="standardContextual"/>
        </w:rPr>
        <w:t>CR</w:t>
      </w:r>
      <w:r w:rsidRPr="00E741C0">
        <w:rPr>
          <w:rFonts w:eastAsia="Calibri" w:cs="Times New Roman"/>
          <w:i/>
          <w:iCs/>
          <w:color w:val="000000" w:themeColor="text1"/>
          <w:kern w:val="2"/>
          <w:szCs w:val="24"/>
          <w:lang w:val="en-NZ"/>
          <w14:ligatures w14:val="standardContextual"/>
        </w:rPr>
        <w:t>Ab</w:t>
      </w:r>
      <w:proofErr w:type="spellEnd"/>
      <w:r w:rsidRPr="00E741C0">
        <w:rPr>
          <w:rFonts w:eastAsia="Calibri" w:cs="Times New Roman"/>
          <w:color w:val="000000" w:themeColor="text1"/>
          <w:kern w:val="2"/>
          <w:szCs w:val="24"/>
          <w:lang w:val="en-NZ"/>
          <w14:ligatures w14:val="standardContextual"/>
        </w:rPr>
        <w:t xml:space="preserve">) isolates. The samples were obtained from </w:t>
      </w:r>
      <w:bookmarkStart w:id="5" w:name="_Hlk156419214"/>
      <w:r w:rsidRPr="00E741C0">
        <w:rPr>
          <w:rFonts w:eastAsia="Calibri" w:cs="Times New Roman"/>
          <w:color w:val="000000" w:themeColor="text1"/>
          <w:kern w:val="2"/>
          <w:szCs w:val="24"/>
          <w:lang w:val="en-NZ"/>
          <w14:ligatures w14:val="standardContextual"/>
        </w:rPr>
        <w:t xml:space="preserve">high-touch environmental surfaces (environment and medical equipment) </w:t>
      </w:r>
      <w:bookmarkEnd w:id="5"/>
      <w:r w:rsidRPr="00E741C0">
        <w:rPr>
          <w:rFonts w:eastAsia="Calibri" w:cs="Times New Roman"/>
          <w:color w:val="000000" w:themeColor="text1"/>
          <w:kern w:val="2"/>
          <w:szCs w:val="24"/>
          <w:lang w:val="en-NZ"/>
          <w14:ligatures w14:val="standardContextual"/>
        </w:rPr>
        <w:t>in various hospital settings, including the intensive care unit (adult, maternity, paediatrics, and neonatal), as well as other medical and surgical inpatient settings. The study spanned across three major hospitals in Fiji: Colonial War Memorial Hospital (CWMH), Lautoka Hospital (LTKH), and Labasa Hospital (LBSH)</w:t>
      </w:r>
      <w:r w:rsidR="00321A50" w:rsidRPr="00E741C0">
        <w:rPr>
          <w:rFonts w:eastAsia="Calibri" w:cs="Times New Roman"/>
          <w:color w:val="000000" w:themeColor="text1"/>
          <w:kern w:val="2"/>
          <w:szCs w:val="24"/>
          <w:lang w:val="en-NZ"/>
          <w14:ligatures w14:val="standardContextual"/>
        </w:rPr>
        <w:t xml:space="preserve"> </w:t>
      </w:r>
      <w:r w:rsidR="00321A50" w:rsidRPr="00E741C0">
        <w:rPr>
          <w:rFonts w:eastAsia="Calibri" w:cs="Times New Roman"/>
          <w:b/>
          <w:bCs/>
          <w:color w:val="000000" w:themeColor="text1"/>
          <w:kern w:val="2"/>
          <w:szCs w:val="24"/>
          <w:lang w:val="en-NZ"/>
          <w14:ligatures w14:val="standardContextual"/>
        </w:rPr>
        <w:t>(Supplementary Figure 1)</w:t>
      </w:r>
      <w:r w:rsidRPr="00E741C0">
        <w:rPr>
          <w:rFonts w:eastAsia="Calibri" w:cs="Times New Roman"/>
          <w:color w:val="000000" w:themeColor="text1"/>
          <w:kern w:val="2"/>
          <w:szCs w:val="24"/>
          <w:lang w:val="en-NZ"/>
          <w14:ligatures w14:val="standardContextual"/>
        </w:rPr>
        <w:t>. Colonial War Memorial Hospital (CWMH) in Suva is the largest with 523 beds, offering advanced and specialized care while serving as a referral centre for LTKH and LBSH. LTKH, with 200 beds, caters to the Western division, and LBSH, with 150 beds, serves the Northern division of Fiji.</w:t>
      </w:r>
      <w:r w:rsidRPr="00E741C0">
        <w:rPr>
          <w:rFonts w:eastAsia="Calibri" w:cs="Times New Roman"/>
          <w:b/>
          <w:bCs/>
          <w:color w:val="000000" w:themeColor="text1"/>
          <w:kern w:val="2"/>
          <w:szCs w:val="24"/>
          <w:lang w:val="en-NZ"/>
          <w14:ligatures w14:val="standardContextual"/>
        </w:rPr>
        <w:t xml:space="preserve"> </w:t>
      </w:r>
      <w:r w:rsidRPr="00E741C0">
        <w:rPr>
          <w:rFonts w:eastAsia="Calibri" w:cs="Times New Roman"/>
          <w:color w:val="000000" w:themeColor="text1"/>
          <w:kern w:val="2"/>
          <w:szCs w:val="24"/>
          <w:lang w:val="en-NZ"/>
          <w14:ligatures w14:val="standardContextual"/>
        </w:rPr>
        <w:t xml:space="preserve">These hospitals play vital roles in delivering healthcare services, meeting regional needs, and providing training for healthcare professionals in Fiji. Additionally, these hospitals serve as microbiology laboratory hubs, extending testing services to smaller peripheral centres nationwide. </w:t>
      </w:r>
    </w:p>
    <w:p w14:paraId="013261EA" w14:textId="77777777" w:rsidR="00321A50" w:rsidRPr="00E741C0" w:rsidRDefault="00321A50" w:rsidP="00E35B6B">
      <w:pPr>
        <w:spacing w:before="0" w:after="160"/>
        <w:jc w:val="both"/>
        <w:rPr>
          <w:rFonts w:eastAsia="Calibri" w:cs="Times New Roman"/>
          <w:color w:val="000000" w:themeColor="text1"/>
          <w:kern w:val="2"/>
          <w:szCs w:val="24"/>
          <w:lang w:val="en-NZ"/>
          <w14:ligatures w14:val="standardContextual"/>
        </w:rPr>
      </w:pPr>
    </w:p>
    <w:p w14:paraId="319B025B" w14:textId="5C608D95" w:rsidR="00E35B6B" w:rsidRPr="00E741C0" w:rsidRDefault="00321A50" w:rsidP="00E35B6B">
      <w:pPr>
        <w:spacing w:before="0" w:after="160"/>
        <w:jc w:val="both"/>
        <w:rPr>
          <w:rFonts w:eastAsia="Calibri" w:cs="Times New Roman"/>
          <w:color w:val="000000" w:themeColor="text1"/>
          <w:kern w:val="2"/>
          <w:szCs w:val="24"/>
          <w:lang w:val="en-NZ"/>
          <w14:ligatures w14:val="standardContextual"/>
        </w:rPr>
      </w:pPr>
      <w:bookmarkStart w:id="6" w:name="_Toc170169480"/>
      <w:r w:rsidRPr="00E741C0">
        <w:rPr>
          <w:rFonts w:eastAsia="Calibri" w:cs="Times New Roman"/>
          <w:b/>
          <w:bCs/>
          <w:iCs/>
          <w:color w:val="000000" w:themeColor="text1"/>
          <w:kern w:val="2"/>
          <w:szCs w:val="24"/>
          <w:lang w:val="en-NZ"/>
          <w14:ligatures w14:val="standardContextual"/>
        </w:rPr>
        <w:t xml:space="preserve">Supplementary Figure 1. </w:t>
      </w:r>
      <w:r w:rsidRPr="00E741C0">
        <w:rPr>
          <w:rFonts w:eastAsia="Calibri" w:cs="Times New Roman"/>
          <w:b/>
          <w:bCs/>
          <w:iCs/>
          <w:color w:val="000000" w:themeColor="text1"/>
          <w:kern w:val="2"/>
          <w:szCs w:val="24"/>
          <w:lang w:val="en-GB"/>
          <w14:ligatures w14:val="standardContextual"/>
        </w:rPr>
        <w:t>Map of Fiji</w:t>
      </w:r>
      <w:bookmarkEnd w:id="6"/>
      <w:r w:rsidRPr="00E741C0">
        <w:rPr>
          <w:rFonts w:eastAsia="Calibri" w:cs="Times New Roman"/>
          <w:b/>
          <w:bCs/>
          <w:iCs/>
          <w:color w:val="000000" w:themeColor="text1"/>
          <w:kern w:val="2"/>
          <w:szCs w:val="24"/>
          <w:lang w:val="en-GB"/>
          <w14:ligatures w14:val="standardContextual"/>
        </w:rPr>
        <w:t>.</w:t>
      </w:r>
    </w:p>
    <w:p w14:paraId="73D03496" w14:textId="2BB394D4" w:rsidR="00E35B6B" w:rsidRPr="00E741C0" w:rsidRDefault="00E35B6B" w:rsidP="00E35B6B">
      <w:pPr>
        <w:spacing w:before="0" w:after="160"/>
        <w:jc w:val="both"/>
        <w:rPr>
          <w:rFonts w:eastAsia="Calibri" w:cs="Times New Roman"/>
          <w:color w:val="000000" w:themeColor="text1"/>
          <w:kern w:val="2"/>
          <w:szCs w:val="24"/>
          <w:lang w:val="en-NZ"/>
          <w14:ligatures w14:val="standardContextual"/>
        </w:rPr>
      </w:pPr>
      <w:r w:rsidRPr="00E741C0">
        <w:rPr>
          <w:rFonts w:eastAsia="Calibri" w:cs="Times New Roman"/>
          <w:noProof/>
          <w:color w:val="000000" w:themeColor="text1"/>
          <w:sz w:val="22"/>
          <w:lang w:val="en-NZ"/>
        </w:rPr>
        <w:drawing>
          <wp:inline distT="0" distB="0" distL="0" distR="0" wp14:anchorId="23615944" wp14:editId="68AA4DC8">
            <wp:extent cx="5731510" cy="3368040"/>
            <wp:effectExtent l="19050" t="19050" r="21590" b="22860"/>
            <wp:docPr id="695956058" name="Picture 1"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8315" name="Picture 1" descr="A map of the islands&#10;&#10;Description automatically generated"/>
                    <pic:cNvPicPr/>
                  </pic:nvPicPr>
                  <pic:blipFill>
                    <a:blip r:embed="rId11"/>
                    <a:stretch>
                      <a:fillRect/>
                    </a:stretch>
                  </pic:blipFill>
                  <pic:spPr>
                    <a:xfrm>
                      <a:off x="0" y="0"/>
                      <a:ext cx="5731510" cy="3368040"/>
                    </a:xfrm>
                    <a:prstGeom prst="rect">
                      <a:avLst/>
                    </a:prstGeom>
                    <a:ln w="9525">
                      <a:solidFill>
                        <a:sysClr val="windowText" lastClr="000000"/>
                      </a:solidFill>
                    </a:ln>
                  </pic:spPr>
                </pic:pic>
              </a:graphicData>
            </a:graphic>
          </wp:inline>
        </w:drawing>
      </w:r>
    </w:p>
    <w:p w14:paraId="3820F558" w14:textId="45AB71C5" w:rsidR="00E35B6B" w:rsidRPr="00E741C0" w:rsidRDefault="00171169" w:rsidP="00E35B6B">
      <w:pPr>
        <w:spacing w:before="0" w:after="160"/>
        <w:jc w:val="both"/>
        <w:rPr>
          <w:rFonts w:eastAsia="Calibri" w:cs="Times New Roman"/>
          <w:b/>
          <w:bCs/>
          <w:iCs/>
          <w:color w:val="000000" w:themeColor="text1"/>
          <w:kern w:val="2"/>
          <w:sz w:val="20"/>
          <w:szCs w:val="20"/>
          <w:lang w:val="en-GB"/>
          <w14:ligatures w14:val="standardContextual"/>
        </w:rPr>
      </w:pPr>
      <w:r w:rsidRPr="00E741C0">
        <w:rPr>
          <w:rFonts w:eastAsia="Calibri" w:cs="Times New Roman"/>
          <w:b/>
          <w:bCs/>
          <w:iCs/>
          <w:color w:val="000000" w:themeColor="text1"/>
          <w:kern w:val="2"/>
          <w:sz w:val="20"/>
          <w:szCs w:val="20"/>
          <w:lang w:val="en-GB"/>
          <w14:ligatures w14:val="standardContextual"/>
        </w:rPr>
        <w:t xml:space="preserve">Reprinted from </w:t>
      </w:r>
      <w:r w:rsidRPr="00E741C0">
        <w:rPr>
          <w:rFonts w:eastAsia="Calibri" w:cs="Times New Roman"/>
          <w:b/>
          <w:bCs/>
          <w:iCs/>
          <w:color w:val="000000" w:themeColor="text1"/>
          <w:kern w:val="2"/>
          <w:sz w:val="20"/>
          <w:szCs w:val="20"/>
          <w:lang w:val="en-NZ"/>
          <w14:ligatures w14:val="standardContextual"/>
        </w:rPr>
        <w:t>The Lancet Regional Health - Western Pacific, 47,</w:t>
      </w:r>
      <w:r w:rsidRPr="00E741C0">
        <w:rPr>
          <w:rFonts w:eastAsia="Calibri" w:cs="Times New Roman"/>
          <w:b/>
          <w:bCs/>
          <w:iCs/>
          <w:color w:val="000000" w:themeColor="text1"/>
          <w:kern w:val="2"/>
          <w:sz w:val="20"/>
          <w:szCs w:val="20"/>
          <w:lang w:val="en-NZ"/>
          <w14:ligatures w14:val="standardContextual"/>
        </w:rPr>
        <w:t xml:space="preserve"> </w:t>
      </w:r>
      <w:proofErr w:type="spellStart"/>
      <w:r w:rsidRPr="00E741C0">
        <w:rPr>
          <w:rFonts w:eastAsia="Calibri" w:cs="Times New Roman"/>
          <w:b/>
          <w:bCs/>
          <w:iCs/>
          <w:color w:val="000000" w:themeColor="text1"/>
          <w:kern w:val="2"/>
          <w:sz w:val="20"/>
          <w:szCs w:val="20"/>
          <w:lang w:val="en-GB"/>
          <w14:ligatures w14:val="standardContextual"/>
        </w:rPr>
        <w:t>Baleivanualala</w:t>
      </w:r>
      <w:proofErr w:type="spellEnd"/>
      <w:r w:rsidRPr="00E741C0">
        <w:rPr>
          <w:rFonts w:eastAsia="Calibri" w:cs="Times New Roman"/>
          <w:b/>
          <w:bCs/>
          <w:iCs/>
          <w:color w:val="000000" w:themeColor="text1"/>
          <w:kern w:val="2"/>
          <w:sz w:val="20"/>
          <w:szCs w:val="20"/>
          <w:lang w:val="en-GB"/>
          <w14:ligatures w14:val="standardContextual"/>
        </w:rPr>
        <w:t xml:space="preserve"> </w:t>
      </w:r>
      <w:r w:rsidRPr="00E741C0">
        <w:rPr>
          <w:rFonts w:eastAsia="Calibri" w:cs="Times New Roman"/>
          <w:b/>
          <w:bCs/>
          <w:i/>
          <w:color w:val="000000" w:themeColor="text1"/>
          <w:kern w:val="2"/>
          <w:sz w:val="20"/>
          <w:szCs w:val="20"/>
          <w:lang w:val="en-GB"/>
          <w14:ligatures w14:val="standardContextual"/>
        </w:rPr>
        <w:t>et al</w:t>
      </w:r>
      <w:r w:rsidRPr="00E741C0">
        <w:rPr>
          <w:rFonts w:eastAsia="Calibri" w:cs="Times New Roman"/>
          <w:b/>
          <w:bCs/>
          <w:iCs/>
          <w:color w:val="000000" w:themeColor="text1"/>
          <w:kern w:val="2"/>
          <w:sz w:val="20"/>
          <w:szCs w:val="20"/>
          <w:lang w:val="en-GB"/>
          <w14:ligatures w14:val="standardContextual"/>
        </w:rPr>
        <w:t>,</w:t>
      </w:r>
      <w:r w:rsidRPr="00E741C0">
        <w:rPr>
          <w:rFonts w:eastAsia="Calibri" w:cs="Times New Roman"/>
          <w:b/>
          <w:bCs/>
          <w:iCs/>
          <w:color w:val="000000" w:themeColor="text1"/>
          <w:kern w:val="2"/>
          <w:sz w:val="20"/>
          <w:szCs w:val="20"/>
          <w:lang w:val="en-GB"/>
          <w14:ligatures w14:val="standardContextual"/>
        </w:rPr>
        <w:t xml:space="preserve"> </w:t>
      </w:r>
      <w:r w:rsidRPr="00E741C0">
        <w:rPr>
          <w:rFonts w:eastAsia="Calibri" w:cs="Times New Roman"/>
          <w:b/>
          <w:bCs/>
          <w:iCs/>
          <w:color w:val="000000" w:themeColor="text1"/>
          <w:kern w:val="2"/>
          <w:sz w:val="20"/>
          <w:szCs w:val="20"/>
          <w:lang w:val="en-NZ"/>
          <w14:ligatures w14:val="standardContextual"/>
        </w:rPr>
        <w:t xml:space="preserve">Molecular and clinical epidemiology of carbapenem resistant </w:t>
      </w:r>
      <w:r w:rsidRPr="00E741C0">
        <w:rPr>
          <w:rFonts w:eastAsia="Calibri" w:cs="Times New Roman"/>
          <w:b/>
          <w:bCs/>
          <w:i/>
          <w:color w:val="000000" w:themeColor="text1"/>
          <w:kern w:val="2"/>
          <w:sz w:val="20"/>
          <w:szCs w:val="20"/>
          <w:lang w:val="en-NZ"/>
          <w14:ligatures w14:val="standardContextual"/>
        </w:rPr>
        <w:t>Acinetobacter baumannii</w:t>
      </w:r>
      <w:r w:rsidRPr="00E741C0">
        <w:rPr>
          <w:rFonts w:eastAsia="Calibri" w:cs="Times New Roman"/>
          <w:b/>
          <w:bCs/>
          <w:iCs/>
          <w:color w:val="000000" w:themeColor="text1"/>
          <w:kern w:val="2"/>
          <w:sz w:val="20"/>
          <w:szCs w:val="20"/>
          <w:lang w:val="en-NZ"/>
          <w14:ligatures w14:val="standardContextual"/>
        </w:rPr>
        <w:t xml:space="preserve">, </w:t>
      </w:r>
      <w:r w:rsidRPr="00E741C0">
        <w:rPr>
          <w:rFonts w:eastAsia="Calibri" w:cs="Times New Roman"/>
          <w:b/>
          <w:bCs/>
          <w:i/>
          <w:color w:val="000000" w:themeColor="text1"/>
          <w:kern w:val="2"/>
          <w:sz w:val="20"/>
          <w:szCs w:val="20"/>
          <w:lang w:val="en-NZ"/>
          <w14:ligatures w14:val="standardContextual"/>
        </w:rPr>
        <w:t>Pseudomonas aeruginosa</w:t>
      </w:r>
      <w:r w:rsidRPr="00E741C0">
        <w:rPr>
          <w:rFonts w:eastAsia="Calibri" w:cs="Times New Roman"/>
          <w:b/>
          <w:bCs/>
          <w:iCs/>
          <w:color w:val="000000" w:themeColor="text1"/>
          <w:kern w:val="2"/>
          <w:sz w:val="20"/>
          <w:szCs w:val="20"/>
          <w:lang w:val="en-NZ"/>
          <w14:ligatures w14:val="standardContextual"/>
        </w:rPr>
        <w:t xml:space="preserve"> and </w:t>
      </w:r>
      <w:proofErr w:type="spellStart"/>
      <w:r w:rsidRPr="00E741C0">
        <w:rPr>
          <w:rFonts w:eastAsia="Calibri" w:cs="Times New Roman"/>
          <w:b/>
          <w:bCs/>
          <w:iCs/>
          <w:color w:val="000000" w:themeColor="text1"/>
          <w:kern w:val="2"/>
          <w:sz w:val="20"/>
          <w:szCs w:val="20"/>
          <w:lang w:val="en-NZ"/>
          <w14:ligatures w14:val="standardContextual"/>
        </w:rPr>
        <w:t>Enterobacterales</w:t>
      </w:r>
      <w:proofErr w:type="spellEnd"/>
      <w:r w:rsidRPr="00E741C0">
        <w:rPr>
          <w:rFonts w:eastAsia="Calibri" w:cs="Times New Roman"/>
          <w:b/>
          <w:bCs/>
          <w:iCs/>
          <w:color w:val="000000" w:themeColor="text1"/>
          <w:kern w:val="2"/>
          <w:sz w:val="20"/>
          <w:szCs w:val="20"/>
          <w:lang w:val="en-NZ"/>
          <w14:ligatures w14:val="standardContextual"/>
        </w:rPr>
        <w:t xml:space="preserve"> in Fiji: a multicentre prospective observational study</w:t>
      </w:r>
      <w:r w:rsidRPr="00E741C0">
        <w:rPr>
          <w:rFonts w:eastAsia="Calibri" w:cs="Times New Roman"/>
          <w:b/>
          <w:bCs/>
          <w:iCs/>
          <w:color w:val="000000" w:themeColor="text1"/>
          <w:kern w:val="2"/>
          <w:sz w:val="20"/>
          <w:szCs w:val="20"/>
          <w:lang w:val="en-GB"/>
          <w14:ligatures w14:val="standardContextual"/>
        </w:rPr>
        <w:t xml:space="preserve">, </w:t>
      </w:r>
      <w:r w:rsidRPr="00E741C0">
        <w:rPr>
          <w:rFonts w:eastAsia="Calibri" w:cs="Times New Roman"/>
          <w:b/>
          <w:bCs/>
          <w:iCs/>
          <w:color w:val="000000" w:themeColor="text1"/>
          <w:kern w:val="2"/>
          <w:sz w:val="20"/>
          <w:szCs w:val="20"/>
          <w:lang w:val="en-NZ"/>
          <w14:ligatures w14:val="standardContextual"/>
        </w:rPr>
        <w:t>101095</w:t>
      </w:r>
      <w:r w:rsidRPr="00E741C0">
        <w:rPr>
          <w:rFonts w:eastAsia="Calibri" w:cs="Times New Roman"/>
          <w:b/>
          <w:bCs/>
          <w:iCs/>
          <w:color w:val="000000" w:themeColor="text1"/>
          <w:kern w:val="2"/>
          <w:sz w:val="20"/>
          <w:szCs w:val="20"/>
          <w:lang w:val="en-GB"/>
          <w14:ligatures w14:val="standardContextual"/>
        </w:rPr>
        <w:t>, Copyright (</w:t>
      </w:r>
      <w:r w:rsidRPr="00E741C0">
        <w:rPr>
          <w:rFonts w:eastAsia="Calibri" w:cs="Times New Roman"/>
          <w:b/>
          <w:bCs/>
          <w:iCs/>
          <w:color w:val="000000" w:themeColor="text1"/>
          <w:kern w:val="2"/>
          <w:sz w:val="20"/>
          <w:szCs w:val="20"/>
          <w:lang w:val="en-GB"/>
          <w14:ligatures w14:val="standardContextual"/>
        </w:rPr>
        <w:t>2024</w:t>
      </w:r>
      <w:r w:rsidRPr="00E741C0">
        <w:rPr>
          <w:rFonts w:eastAsia="Calibri" w:cs="Times New Roman"/>
          <w:b/>
          <w:bCs/>
          <w:iCs/>
          <w:color w:val="000000" w:themeColor="text1"/>
          <w:kern w:val="2"/>
          <w:sz w:val="20"/>
          <w:szCs w:val="20"/>
          <w:lang w:val="en-GB"/>
          <w14:ligatures w14:val="standardContextual"/>
        </w:rPr>
        <w:t>), with permission from Elsevier.</w:t>
      </w:r>
    </w:p>
    <w:p w14:paraId="558188A7" w14:textId="77777777" w:rsidR="00E35B6B" w:rsidRPr="00E741C0" w:rsidRDefault="00E35B6B" w:rsidP="00E35B6B">
      <w:pPr>
        <w:spacing w:before="0" w:after="160"/>
        <w:jc w:val="both"/>
        <w:rPr>
          <w:rFonts w:eastAsia="Calibri" w:cs="Times New Roman"/>
          <w:color w:val="000000" w:themeColor="text1"/>
          <w:kern w:val="2"/>
          <w:szCs w:val="24"/>
          <w:lang w:val="en-NZ"/>
          <w14:ligatures w14:val="standardContextual"/>
        </w:rPr>
      </w:pPr>
    </w:p>
    <w:p w14:paraId="157E5482" w14:textId="77777777" w:rsidR="00E35B6B" w:rsidRPr="00E741C0" w:rsidRDefault="00E35B6B" w:rsidP="00E35B6B">
      <w:pPr>
        <w:spacing w:before="0" w:after="160"/>
        <w:jc w:val="both"/>
        <w:rPr>
          <w:rFonts w:eastAsia="Calibri" w:cs="Times New Roman"/>
          <w:b/>
          <w:bCs/>
          <w:color w:val="000000" w:themeColor="text1"/>
          <w:kern w:val="2"/>
          <w:szCs w:val="24"/>
          <w:lang w:val="en-GB"/>
          <w14:ligatures w14:val="standardContextual"/>
        </w:rPr>
      </w:pPr>
      <w:r w:rsidRPr="00E741C0">
        <w:rPr>
          <w:rFonts w:eastAsia="Calibri" w:cs="Times New Roman"/>
          <w:b/>
          <w:bCs/>
          <w:color w:val="000000" w:themeColor="text1"/>
          <w:kern w:val="2"/>
          <w:szCs w:val="24"/>
          <w:lang w:val="en-GB"/>
          <w14:ligatures w14:val="standardContextual"/>
        </w:rPr>
        <w:t xml:space="preserve">Sample acquisition </w:t>
      </w:r>
    </w:p>
    <w:p w14:paraId="2A7CB600" w14:textId="40FF5833" w:rsidR="00E35B6B" w:rsidRPr="00E741C0" w:rsidRDefault="00E35B6B" w:rsidP="00E35B6B">
      <w:pPr>
        <w:spacing w:before="240" w:after="160"/>
        <w:jc w:val="both"/>
        <w:rPr>
          <w:rFonts w:eastAsia="Calibri" w:cs="Times New Roman"/>
          <w:b/>
          <w:bCs/>
          <w:color w:val="000000" w:themeColor="text1"/>
          <w:szCs w:val="24"/>
          <w:lang w:val="en-NZ"/>
        </w:rPr>
      </w:pPr>
      <w:r w:rsidRPr="00E741C0">
        <w:rPr>
          <w:rFonts w:eastAsia="Calibri" w:cs="Times New Roman"/>
          <w:color w:val="000000" w:themeColor="text1"/>
          <w:kern w:val="2"/>
          <w:szCs w:val="24"/>
          <w:lang w:val="en-GB"/>
          <w14:ligatures w14:val="standardContextual"/>
        </w:rPr>
        <w:t xml:space="preserve">Total of 180 samples were </w:t>
      </w:r>
      <w:proofErr w:type="gramStart"/>
      <w:r w:rsidRPr="00E741C0">
        <w:rPr>
          <w:rFonts w:eastAsia="Calibri" w:cs="Times New Roman"/>
          <w:color w:val="000000" w:themeColor="text1"/>
          <w:kern w:val="2"/>
          <w:szCs w:val="24"/>
          <w:lang w:val="en-GB"/>
          <w14:ligatures w14:val="standardContextual"/>
        </w:rPr>
        <w:t>collected  from</w:t>
      </w:r>
      <w:proofErr w:type="gramEnd"/>
      <w:r w:rsidRPr="00E741C0">
        <w:rPr>
          <w:rFonts w:eastAsia="Calibri" w:cs="Times New Roman"/>
          <w:color w:val="000000" w:themeColor="text1"/>
          <w:kern w:val="2"/>
          <w:szCs w:val="24"/>
          <w:lang w:val="en-GB"/>
          <w14:ligatures w14:val="standardContextual"/>
        </w:rPr>
        <w:t xml:space="preserve"> </w:t>
      </w:r>
      <w:r w:rsidRPr="00E741C0">
        <w:rPr>
          <w:rFonts w:eastAsia="Calibri" w:cs="Times New Roman"/>
          <w:color w:val="000000" w:themeColor="text1"/>
          <w:kern w:val="2"/>
          <w:szCs w:val="24"/>
          <w:lang w:val="en-NZ"/>
          <w14:ligatures w14:val="standardContextual"/>
        </w:rPr>
        <w:t xml:space="preserve">high-touch environmental and medical equipment surfaces from </w:t>
      </w:r>
      <w:r w:rsidRPr="00E741C0">
        <w:rPr>
          <w:rFonts w:eastAsia="Calibri" w:cs="Times New Roman"/>
          <w:color w:val="000000" w:themeColor="text1"/>
          <w:kern w:val="2"/>
          <w:szCs w:val="24"/>
          <w:lang w:val="en-GB"/>
          <w14:ligatures w14:val="standardContextual"/>
        </w:rPr>
        <w:t xml:space="preserve"> intensive care units (adult, maternity, paediatrics, and neonatal) as well as medical and surgical inpatient settings (</w:t>
      </w:r>
      <w:r w:rsidRPr="00E741C0">
        <w:rPr>
          <w:rFonts w:eastAsia="Calibri" w:cs="Times New Roman"/>
          <w:b/>
          <w:bCs/>
          <w:color w:val="000000" w:themeColor="text1"/>
          <w:kern w:val="2"/>
          <w:szCs w:val="24"/>
          <w:lang w:val="en-GB"/>
          <w14:ligatures w14:val="standardContextual"/>
        </w:rPr>
        <w:t>Supplementary Table 1</w:t>
      </w:r>
      <w:r w:rsidRPr="00E741C0">
        <w:rPr>
          <w:rFonts w:eastAsia="Calibri" w:cs="Times New Roman"/>
          <w:color w:val="000000" w:themeColor="text1"/>
          <w:kern w:val="2"/>
          <w:szCs w:val="24"/>
          <w:lang w:val="en-GB"/>
          <w14:ligatures w14:val="standardContextual"/>
        </w:rPr>
        <w:t xml:space="preserve">). </w:t>
      </w:r>
      <w:r w:rsidRPr="00E741C0">
        <w:rPr>
          <w:rFonts w:eastAsia="Calibri" w:cs="Times New Roman"/>
          <w:color w:val="000000" w:themeColor="text1"/>
          <w:kern w:val="2"/>
          <w:szCs w:val="24"/>
          <w:lang w:val="en-NZ"/>
          <w14:ligatures w14:val="standardContextual"/>
        </w:rPr>
        <w:t xml:space="preserve">Samples were collected on two occasions (26 September 2021 and 1 December 2022) at Colonial War Memorial Hospital (CWMH) and on a single occasion </w:t>
      </w:r>
      <w:r w:rsidRPr="00E741C0">
        <w:rPr>
          <w:rFonts w:eastAsia="Calibri" w:cs="Times New Roman"/>
          <w:color w:val="000000" w:themeColor="text1"/>
          <w:kern w:val="2"/>
          <w:szCs w:val="24"/>
          <w:lang w:val="en-NZ"/>
          <w14:ligatures w14:val="standardContextual"/>
        </w:rPr>
        <w:lastRenderedPageBreak/>
        <w:t xml:space="preserve">each (on 29 August and 5 November 2022, respectively) from Lautoka Hospital (LTKH) and Labasa Hospital (LBSH). </w:t>
      </w:r>
      <w:r w:rsidRPr="00E741C0">
        <w:rPr>
          <w:rFonts w:eastAsia="Calibri" w:cs="Times New Roman"/>
          <w:color w:val="000000" w:themeColor="text1"/>
          <w:kern w:val="2"/>
          <w:szCs w:val="24"/>
          <w:lang w:val="en-GB"/>
          <w14:ligatures w14:val="standardContextual"/>
        </w:rPr>
        <w:t xml:space="preserve">To standardize the process of environmental sampling for the identification of antimicrobial-resistant (AMR) gram-negative pathogens, we developed a standard operating procedure. </w:t>
      </w:r>
      <w:r w:rsidRPr="00E741C0">
        <w:rPr>
          <w:rFonts w:eastAsia="Calibri" w:cs="Times New Roman"/>
          <w:color w:val="000000" w:themeColor="text1"/>
          <w:kern w:val="2"/>
          <w:szCs w:val="24"/>
          <w:lang w:val="en-NZ"/>
          <w14:ligatures w14:val="standardContextual"/>
        </w:rPr>
        <w:t xml:space="preserve">The swab was dipped into a vial of tryptic soy broth to moisten it before being rubbed onto the specified location at a 30° angle </w:t>
      </w:r>
      <w:r w:rsidRPr="00E741C0">
        <w:rPr>
          <w:rFonts w:eastAsia="Calibri" w:cs="Times New Roman"/>
          <w:color w:val="000000" w:themeColor="text1"/>
          <w:kern w:val="2"/>
          <w:szCs w:val="24"/>
          <w:lang w:val="en-NZ"/>
          <w14:ligatures w14:val="standardContextual"/>
        </w:rPr>
        <w:fldChar w:fldCharType="begin" w:fldLock="1"/>
      </w:r>
      <w:r w:rsidR="00B820CB" w:rsidRPr="00E741C0">
        <w:rPr>
          <w:rFonts w:eastAsia="Calibri" w:cs="Times New Roman"/>
          <w:color w:val="000000" w:themeColor="text1"/>
          <w:kern w:val="2"/>
          <w:szCs w:val="24"/>
          <w:lang w:val="en-NZ"/>
          <w14:ligatures w14:val="standardContextual"/>
        </w:rPr>
        <w:instrText>ADDIN CSL_CITATION {"citationItems":[{"id":"ITEM-1","itemData":{"DOI":"10.1128/AEM.02978-10","ISSN":"1098-5336","PMID":"21398492","abstract":"To comprehensively assess microbial diversity and abundance via molecular-analysis-based methods, procedures for sample collection, processing, and analysis were evaluated in depth. A model microbial community (MMC) of known composition, representative of a typical low-biomass surface sample, was used to examine the effects of variables in sampling matrices, target cell density/molecule concentration, and cryogenic storage on the overall efficacy of the sampling regimen. The MMC used in this study comprised 11 distinct species of bacterial, archaeal, and fungal lineages associated with either spacecraft or clean-room surfaces. A known cellular density of MMC was deposited onto stainless steel coupons, and after drying, a variety of sampling devices were used to recover cells and biomolecules. The biomolecules and cells/spores recovered from each collection device were assessed by cultivable and microscopic enumeration, and quantitative and speciesspecific PCR assays. rRNA gene-based quantitative PCR analysis showed that cotton swabs were superior to nylon-flocked swabs for sampling of small surface areas, and for larger surfaces, biological sampling kits significantly outperformed polyester wipes. Species-specific PCR revealed differential recovery of certain species dependent upon the sampling device employed. The results of this study empower current and future molecular-analysis-based microbial sampling and processing methodologies. © 2011, American Society for Microbiology.","author":[{"dropping-particle":"","family":"Kwan K, Cooper M, La Duc MT, Vaishampayan P, Stam C, Benardini JN, Scalzi G, Moissl-Eichinger C","given":"Venkateswaran K","non-dropping-particle":"","parse-names":false,"suffix":""}],"container-title":"Applied and environmental microbiology","id":"ITEM-1","issue":"9","issued":{"date-parts":[["2011","5"]]},"page":"2943-2953.","publisher":"Appl Environ Microbiol","title":"Evaluation of procedures for the collection, processing, and analysis of biomolecules from low-biomass surfaces","type":"article-journal","volume":"77"},"uris":["http://www.mendeley.com/documents/?uuid=949a3f07-8325-3dac-80f5-79563429fb1b"]}],"mendeley":{"formattedCitation":"(Kwan K, Cooper M, La Duc MT, Vaishampayan P, Stam C, Benardini JN, Scalzi G, Moissl-Eichinger C, 2011)","plainTextFormattedCitation":"(Kwan K, Cooper M, La Duc MT, Vaishampayan P, Stam C, Benardini JN, Scalzi G, Moissl-Eichinger C, 2011)","previouslyFormattedCitation":"(Kwan K, Cooper M, La Duc MT, Vaishampayan P, Stam C, Benardini JN, Scalzi G, Moissl-Eichinger C, 2011)"},"properties":{"noteIndex":0},"schema":"https://github.com/citation-style-language/schema/raw/master/csl-citation.json"}</w:instrText>
      </w:r>
      <w:r w:rsidRPr="00E741C0">
        <w:rPr>
          <w:rFonts w:eastAsia="Calibri" w:cs="Times New Roman"/>
          <w:color w:val="000000" w:themeColor="text1"/>
          <w:kern w:val="2"/>
          <w:szCs w:val="24"/>
          <w:lang w:val="en-NZ"/>
          <w14:ligatures w14:val="standardContextual"/>
        </w:rPr>
        <w:fldChar w:fldCharType="separate"/>
      </w:r>
      <w:r w:rsidR="001567D1" w:rsidRPr="00E741C0">
        <w:rPr>
          <w:rFonts w:eastAsia="Calibri" w:cs="Times New Roman"/>
          <w:noProof/>
          <w:color w:val="000000" w:themeColor="text1"/>
          <w:kern w:val="2"/>
          <w:szCs w:val="24"/>
          <w:lang w:val="en-NZ"/>
          <w14:ligatures w14:val="standardContextual"/>
        </w:rPr>
        <w:t>(Kwan K, Cooper M, La Duc MT, Vaishampayan P, Stam C, Benardini JN, Scalzi G, Moissl-Eichinger C, 2011)</w:t>
      </w:r>
      <w:r w:rsidRPr="00E741C0">
        <w:rPr>
          <w:rFonts w:eastAsia="Calibri" w:cs="Times New Roman"/>
          <w:color w:val="000000" w:themeColor="text1"/>
          <w:kern w:val="2"/>
          <w:szCs w:val="24"/>
          <w:lang w:val="en-NZ"/>
          <w14:ligatures w14:val="standardContextual"/>
        </w:rPr>
        <w:fldChar w:fldCharType="end"/>
      </w:r>
      <w:r w:rsidRPr="00E741C0">
        <w:rPr>
          <w:rFonts w:eastAsia="Calibri" w:cs="Times New Roman"/>
          <w:color w:val="000000" w:themeColor="text1"/>
          <w:kern w:val="2"/>
          <w:szCs w:val="24"/>
          <w:lang w:val="en-NZ"/>
          <w14:ligatures w14:val="standardContextual"/>
        </w:rPr>
        <w:t>. The swabbing was performed slowly and thoroughly over approximately 50 cm</w:t>
      </w:r>
      <w:r w:rsidRPr="00E741C0">
        <w:rPr>
          <w:rFonts w:eastAsia="Calibri" w:cs="Times New Roman"/>
          <w:color w:val="000000" w:themeColor="text1"/>
          <w:kern w:val="2"/>
          <w:szCs w:val="24"/>
          <w:vertAlign w:val="superscript"/>
          <w:lang w:val="en-NZ"/>
          <w14:ligatures w14:val="standardContextual"/>
        </w:rPr>
        <w:t>2</w:t>
      </w:r>
      <w:r w:rsidRPr="00E741C0">
        <w:rPr>
          <w:rFonts w:eastAsia="Calibri" w:cs="Times New Roman"/>
          <w:color w:val="000000" w:themeColor="text1"/>
          <w:kern w:val="2"/>
          <w:szCs w:val="24"/>
          <w:lang w:val="en-NZ"/>
          <w14:ligatures w14:val="standardContextual"/>
        </w:rPr>
        <w:t xml:space="preserve">, utilizing a combination of horizontal, vertical, and diagonal sampling patterns. Swab rotation was implemented during the process </w:t>
      </w:r>
      <w:r w:rsidRPr="00E741C0">
        <w:rPr>
          <w:rFonts w:eastAsia="Times New Roman" w:cs="Times New Roman"/>
          <w:color w:val="000000" w:themeColor="text1"/>
          <w:kern w:val="2"/>
          <w:szCs w:val="24"/>
          <w:lang w:val="en-NZ"/>
          <w14:ligatures w14:val="standardContextual"/>
        </w:rPr>
        <w:fldChar w:fldCharType="begin" w:fldLock="1"/>
      </w:r>
      <w:r w:rsidR="00B820CB" w:rsidRPr="00E741C0">
        <w:rPr>
          <w:rFonts w:eastAsia="Times New Roman" w:cs="Times New Roman"/>
          <w:color w:val="000000" w:themeColor="text1"/>
          <w:kern w:val="2"/>
          <w:szCs w:val="24"/>
          <w:lang w:val="en-NZ"/>
          <w14:ligatures w14:val="standardContextual"/>
        </w:rPr>
        <w:instrText>ADDIN CSL_CITATION {"citationItems":[{"id":"ITEM-1","itemData":{"DOI":"10.1128/AEM.02978-10","ISSN":"1098-5336","PMID":"21398492","abstract":"To comprehensively assess microbial diversity and abundance via molecular-analysis-based methods, procedures for sample collection, processing, and analysis were evaluated in depth. A model microbial community (MMC) of known composition, representative of a typical low-biomass surface sample, was used to examine the effects of variables in sampling matrices, target cell density/molecule concentration, and cryogenic storage on the overall efficacy of the sampling regimen. The MMC used in this study comprised 11 distinct species of bacterial, archaeal, and fungal lineages associated with either spacecraft or clean-room surfaces. A known cellular density of MMC was deposited onto stainless steel coupons, and after drying, a variety of sampling devices were used to recover cells and biomolecules. The biomolecules and cells/spores recovered from each collection device were assessed by cultivable and microscopic enumeration, and quantitative and speciesspecific PCR assays. rRNA gene-based quantitative PCR analysis showed that cotton swabs were superior to nylon-flocked swabs for sampling of small surface areas, and for larger surfaces, biological sampling kits significantly outperformed polyester wipes. Species-specific PCR revealed differential recovery of certain species dependent upon the sampling device employed. The results of this study empower current and future molecular-analysis-based microbial sampling and processing methodologies. © 2011, American Society for Microbiology.","author":[{"dropping-particle":"","family":"Kwan K, Cooper M, La Duc MT, Vaishampayan P, Stam C, Benardini JN, Scalzi G, Moissl-Eichinger C","given":"Venkateswaran K","non-dropping-particle":"","parse-names":false,"suffix":""}],"container-title":"Applied and environmental microbiology","id":"ITEM-1","issue":"9","issued":{"date-parts":[["2011","5"]]},"page":"2943-2953.","publisher":"Appl Environ Microbiol","title":"Evaluation of procedures for the collection, processing, and analysis of biomolecules from low-biomass surfaces","type":"article-journal","volume":"77"},"uris":["http://www.mendeley.com/documents/?uuid=949a3f07-8325-3dac-80f5-79563429fb1b"]}],"mendeley":{"formattedCitation":"(Kwan K, Cooper M, La Duc MT, Vaishampayan P, Stam C, Benardini JN, Scalzi G, Moissl-Eichinger C, 2011)","plainTextFormattedCitation":"(Kwan K, Cooper M, La Duc MT, Vaishampayan P, Stam C, Benardini JN, Scalzi G, Moissl-Eichinger C, 2011)","previouslyFormattedCitation":"(Kwan K, Cooper M, La Duc MT, Vaishampayan P, Stam C, Benardini JN, Scalzi G, Moissl-Eichinger C, 2011)"},"properties":{"noteIndex":0},"schema":"https://github.com/citation-style-language/schema/raw/master/csl-citation.json"}</w:instrText>
      </w:r>
      <w:r w:rsidRPr="00E741C0">
        <w:rPr>
          <w:rFonts w:eastAsia="Times New Roman" w:cs="Times New Roman"/>
          <w:color w:val="000000" w:themeColor="text1"/>
          <w:kern w:val="2"/>
          <w:szCs w:val="24"/>
          <w:lang w:val="en-NZ"/>
          <w14:ligatures w14:val="standardContextual"/>
        </w:rPr>
        <w:fldChar w:fldCharType="separate"/>
      </w:r>
      <w:r w:rsidR="001567D1" w:rsidRPr="00E741C0">
        <w:rPr>
          <w:rFonts w:eastAsia="Times New Roman" w:cs="Times New Roman"/>
          <w:noProof/>
          <w:color w:val="000000" w:themeColor="text1"/>
          <w:kern w:val="2"/>
          <w:szCs w:val="24"/>
          <w:lang w:val="en-NZ"/>
          <w14:ligatures w14:val="standardContextual"/>
        </w:rPr>
        <w:t>(Kwan K, Cooper M, La Duc MT, Vaishampayan P, Stam C, Benardini JN, Scalzi G, Moissl-Eichinger C, 2011)</w:t>
      </w:r>
      <w:r w:rsidRPr="00E741C0">
        <w:rPr>
          <w:rFonts w:eastAsia="Times New Roman" w:cs="Times New Roman"/>
          <w:color w:val="000000" w:themeColor="text1"/>
          <w:kern w:val="2"/>
          <w:szCs w:val="24"/>
          <w:lang w:val="en-NZ"/>
          <w14:ligatures w14:val="standardContextual"/>
        </w:rPr>
        <w:fldChar w:fldCharType="end"/>
      </w:r>
      <w:r w:rsidRPr="00E741C0">
        <w:rPr>
          <w:rFonts w:eastAsia="Times New Roman" w:cs="Times New Roman"/>
          <w:color w:val="000000" w:themeColor="text1"/>
          <w:kern w:val="2"/>
          <w:szCs w:val="24"/>
          <w:lang w:val="en-NZ"/>
          <w14:ligatures w14:val="standardContextual"/>
        </w:rPr>
        <w:t xml:space="preserve">. Following environmental swabbing, the swab was carefully transferred into TSB. The remaining segment of the swab stick was broken off, leaving only the swab immersed within the TSB. </w:t>
      </w:r>
      <w:r w:rsidRPr="00E741C0">
        <w:rPr>
          <w:rFonts w:eastAsia="Calibri" w:cs="Times New Roman"/>
          <w:color w:val="000000" w:themeColor="text1"/>
          <w:kern w:val="2"/>
          <w:szCs w:val="24"/>
          <w:lang w:val="en-NZ"/>
          <w14:ligatures w14:val="standardContextual"/>
        </w:rPr>
        <w:t>Subsequently, the broth was incubated aerobically for 24 hours at 37°C.</w:t>
      </w:r>
      <w:r w:rsidRPr="00E741C0">
        <w:rPr>
          <w:rFonts w:eastAsia="Calibri" w:cs="Times New Roman"/>
          <w:color w:val="000000" w:themeColor="text1"/>
          <w:kern w:val="2"/>
          <w:szCs w:val="24"/>
          <w:lang w:val="en-GB"/>
          <w14:ligatures w14:val="standardContextual"/>
        </w:rPr>
        <w:t xml:space="preserve"> Following incubation, a drop of the tryptic soy broth was </w:t>
      </w:r>
      <w:proofErr w:type="gramStart"/>
      <w:r w:rsidRPr="00E741C0">
        <w:rPr>
          <w:rFonts w:eastAsia="Calibri" w:cs="Times New Roman"/>
          <w:color w:val="000000" w:themeColor="text1"/>
          <w:kern w:val="2"/>
          <w:szCs w:val="24"/>
          <w:lang w:val="en-GB"/>
          <w14:ligatures w14:val="standardContextual"/>
        </w:rPr>
        <w:t>inoculated  onto</w:t>
      </w:r>
      <w:proofErr w:type="gramEnd"/>
      <w:r w:rsidRPr="00E741C0">
        <w:rPr>
          <w:rFonts w:eastAsia="Calibri" w:cs="Times New Roman"/>
          <w:color w:val="000000" w:themeColor="text1"/>
          <w:kern w:val="2"/>
          <w:szCs w:val="24"/>
          <w:lang w:val="en-GB"/>
          <w14:ligatures w14:val="standardContextual"/>
        </w:rPr>
        <w:t xml:space="preserve"> MacConkey agar, and the agar was incubated aerobically for 24 hours at 37°C. Colonies were then collected using a charcoal Amies Stuart swab and sent to the University of Otago for further analysis. All swabs received were sub-cultured onto the blood agar culture media and incubated aerobically for 24 hours at 37°C. Isolates were identified using matrix-assisted laser desorption ionization-time of flight (MALDI-TOF) mass spectrometry (</w:t>
      </w:r>
      <w:proofErr w:type="spellStart"/>
      <w:r w:rsidRPr="00E741C0">
        <w:rPr>
          <w:rFonts w:eastAsia="Calibri" w:cs="Times New Roman"/>
          <w:color w:val="000000" w:themeColor="text1"/>
          <w:kern w:val="2"/>
          <w:szCs w:val="24"/>
          <w:lang w:val="en-GB"/>
          <w14:ligatures w14:val="standardContextual"/>
        </w:rPr>
        <w:t>Biotyper</w:t>
      </w:r>
      <w:proofErr w:type="spellEnd"/>
      <w:r w:rsidRPr="00E741C0">
        <w:rPr>
          <w:rFonts w:eastAsia="Calibri" w:cs="Times New Roman"/>
          <w:color w:val="000000" w:themeColor="text1"/>
          <w:kern w:val="2"/>
          <w:szCs w:val="24"/>
          <w:lang w:val="en-GB"/>
          <w14:ligatures w14:val="standardContextual"/>
        </w:rPr>
        <w:t xml:space="preserve">; Bruker </w:t>
      </w:r>
      <w:proofErr w:type="spellStart"/>
      <w:r w:rsidRPr="00E741C0">
        <w:rPr>
          <w:rFonts w:eastAsia="Calibri" w:cs="Times New Roman"/>
          <w:color w:val="000000" w:themeColor="text1"/>
          <w:kern w:val="2"/>
          <w:szCs w:val="24"/>
          <w:lang w:val="en-GB"/>
          <w14:ligatures w14:val="standardContextual"/>
        </w:rPr>
        <w:t>Daltonics</w:t>
      </w:r>
      <w:proofErr w:type="spellEnd"/>
      <w:r w:rsidRPr="00E741C0">
        <w:rPr>
          <w:rFonts w:eastAsia="Calibri" w:cs="Times New Roman"/>
          <w:color w:val="000000" w:themeColor="text1"/>
          <w:kern w:val="2"/>
          <w:szCs w:val="24"/>
          <w:lang w:val="en-GB"/>
          <w14:ligatures w14:val="standardContextual"/>
        </w:rPr>
        <w:t>, Billerica, MA, USA). Antimicrobial susceptibility testing (AST) was conducted using the EUCAST method, (</w:t>
      </w:r>
      <w:hyperlink r:id="rId12" w:history="1">
        <w:r w:rsidRPr="00E741C0">
          <w:rPr>
            <w:rFonts w:eastAsia="Calibri" w:cs="Times New Roman"/>
            <w:color w:val="000000" w:themeColor="text1"/>
            <w:kern w:val="2"/>
            <w:szCs w:val="24"/>
            <w:u w:val="single"/>
            <w:lang w:val="en-GB"/>
            <w14:ligatures w14:val="standardContextual"/>
          </w:rPr>
          <w:t>https://www.eucast.org/</w:t>
        </w:r>
      </w:hyperlink>
      <w:r w:rsidRPr="00E741C0">
        <w:rPr>
          <w:rFonts w:eastAsia="Calibri" w:cs="Times New Roman"/>
          <w:color w:val="000000" w:themeColor="text1"/>
          <w:kern w:val="2"/>
          <w:szCs w:val="24"/>
          <w:lang w:val="en-GB"/>
          <w14:ligatures w14:val="standardContextual"/>
        </w:rPr>
        <w:t xml:space="preserve">) and </w:t>
      </w:r>
      <w:proofErr w:type="spellStart"/>
      <w:r w:rsidRPr="00E741C0">
        <w:rPr>
          <w:rFonts w:eastAsia="Calibri" w:cs="Times New Roman"/>
          <w:color w:val="000000" w:themeColor="text1"/>
          <w:kern w:val="2"/>
          <w:szCs w:val="24"/>
          <w:lang w:val="en-GB"/>
          <w14:ligatures w14:val="standardContextual"/>
        </w:rPr>
        <w:t>carbapenemase</w:t>
      </w:r>
      <w:proofErr w:type="spellEnd"/>
      <w:r w:rsidRPr="00E741C0">
        <w:rPr>
          <w:rFonts w:eastAsia="Calibri" w:cs="Times New Roman"/>
          <w:color w:val="000000" w:themeColor="text1"/>
          <w:kern w:val="2"/>
          <w:szCs w:val="24"/>
          <w:lang w:val="en-GB"/>
          <w14:ligatures w14:val="standardContextual"/>
        </w:rPr>
        <w:t xml:space="preserve"> activity detection was performed using the adjusted modified carbapenem inactivation method (</w:t>
      </w:r>
      <w:proofErr w:type="spellStart"/>
      <w:r w:rsidRPr="00E741C0">
        <w:rPr>
          <w:rFonts w:eastAsia="Calibri" w:cs="Times New Roman"/>
          <w:color w:val="000000" w:themeColor="text1"/>
          <w:kern w:val="2"/>
          <w:szCs w:val="24"/>
          <w:lang w:val="en-GB"/>
          <w14:ligatures w14:val="standardContextual"/>
        </w:rPr>
        <w:t>mCIM</w:t>
      </w:r>
      <w:proofErr w:type="spellEnd"/>
      <w:r w:rsidRPr="00E741C0">
        <w:rPr>
          <w:rFonts w:eastAsia="Calibri" w:cs="Times New Roman"/>
          <w:color w:val="000000" w:themeColor="text1"/>
          <w:kern w:val="2"/>
          <w:szCs w:val="24"/>
          <w:lang w:val="en-GB"/>
          <w14:ligatures w14:val="standardContextual"/>
        </w:rPr>
        <w:t xml:space="preserve">) </w:t>
      </w:r>
      <w:r w:rsidRPr="00E741C0">
        <w:rPr>
          <w:rFonts w:eastAsia="Calibri" w:cs="Times New Roman"/>
          <w:color w:val="000000" w:themeColor="text1"/>
          <w:kern w:val="2"/>
          <w:szCs w:val="24"/>
          <w:vertAlign w:val="superscript"/>
          <w:lang w:val="en-GB"/>
          <w14:ligatures w14:val="standardContextual"/>
        </w:rPr>
        <w:fldChar w:fldCharType="begin" w:fldLock="1"/>
      </w:r>
      <w:r w:rsidR="00B820CB" w:rsidRPr="00E741C0">
        <w:rPr>
          <w:rFonts w:eastAsia="Calibri" w:cs="Times New Roman"/>
          <w:color w:val="000000" w:themeColor="text1"/>
          <w:kern w:val="2"/>
          <w:szCs w:val="24"/>
          <w:vertAlign w:val="superscript"/>
          <w:lang w:val="en-GB"/>
          <w14:ligatures w14:val="standardContextual"/>
        </w:rPr>
        <w:instrText>ADDIN CSL_CITATION {"citationItems":[{"id":"ITEM-1","itemData":{"DOI":"10.3343/alm.2020.40.1.21","ISSN":"22343814","PMID":"31432635","abstract":"Background: The existing modified carbapenem inactivation methods (mCIMs) recommended by the CLSI for detecting carbapenemase production have not been applicable for Acinetobacter baumannii. We evaluated the influence of matrices used in mCIMs and CIMTris on the stability of the disks for detecting carbapenemase producers and suggested optimal mCIM conditions for detecting carbapenemase-producing A. baumannii. Methods: Seventy-three A. baumannii isolates characterized for antimicrobial susceptibility and carbapenemase encoding genes were tested for carbapenemase production using mCIM and CIMTris. The influence of the matrices (Tryptic soy broth [TSB] and Tris-HCl) used in these methods on the stability of the meropenem (MEM) disk was also evaluated. The mCIM conditions were adjusted to enhance screening sensitivity and specificity for detecting carbapenemase-producing A. baumannii. Results: The matrices had an impact on the stability of the MEM disk after the incubation period (two or four hrs). TSB nutrient broth is an appropriate matrix for mCIM compared with Tris-HCl pH 7.6, which leads to the loss of MEM activity in CIMTris. The sensitivity and the specificity of the optimal mCIM were both 100%. Conclusions: We established optimal mCIM conditions for simple, accurate, and reproducible detection of carbapenemase-producing A. baumannii.","author":[{"dropping-particle":"","family":"Nguyen Vu, Thao Byun, Jung Hyun D’Souza, Roshan Pinto, Naina Adren Nguyen, Le Phuong Yong, Dongeun Chong","given":"Yunsop","non-dropping-particle":"","parse-names":false,"suffix":""}],"container-title":"Annals of Laboratory Medicine","id":"ITEM-1","issue":"1","issued":{"date-parts":[["2020"]]},"page":"21-26.","publisher":"Ann Lab Med","title":"Adjustment of Modified Carbapenem Inactivation Method Conditions for Rapid Detection of Carbapenemase-Producing Acinetobacter baumannii","type":"article-journal","volume":"40"},"uris":["http://www.mendeley.com/documents/?uuid=d0c4e6f0-dcd8-46b1-8bd4-fe61bf056ced"]}],"mendeley":{"formattedCitation":"(Nguyen Vu, Thao Byun, Jung Hyun D’Souza, Roshan Pinto, Naina Adren Nguyen, Le Phuong Yong, Dongeun Chong, 2020)","plainTextFormattedCitation":"(Nguyen Vu, Thao Byun, Jung Hyun D’Souza, Roshan Pinto, Naina Adren Nguyen, Le Phuong Yong, Dongeun Chong, 2020)","previouslyFormattedCitation":"(Nguyen Vu, Thao Byun, Jung Hyun D’Souza, Roshan Pinto, Naina Adren Nguyen, Le Phuong Yong, Dongeun Chong, 2020)"},"properties":{"noteIndex":0},"schema":"https://github.com/citation-style-language/schema/raw/master/csl-citation.json"}</w:instrText>
      </w:r>
      <w:r w:rsidRPr="00E741C0">
        <w:rPr>
          <w:rFonts w:eastAsia="Calibri" w:cs="Times New Roman"/>
          <w:color w:val="000000" w:themeColor="text1"/>
          <w:kern w:val="2"/>
          <w:szCs w:val="24"/>
          <w:vertAlign w:val="superscript"/>
          <w:lang w:val="en-GB"/>
          <w14:ligatures w14:val="standardContextual"/>
        </w:rPr>
        <w:fldChar w:fldCharType="separate"/>
      </w:r>
      <w:r w:rsidR="001567D1" w:rsidRPr="00E741C0">
        <w:rPr>
          <w:rFonts w:eastAsia="Calibri" w:cs="Times New Roman"/>
          <w:noProof/>
          <w:color w:val="000000" w:themeColor="text1"/>
          <w:kern w:val="2"/>
          <w:szCs w:val="24"/>
          <w:lang w:val="en-GB"/>
          <w14:ligatures w14:val="standardContextual"/>
        </w:rPr>
        <w:t>(Nguyen Vu, Thao Byun, Jung Hyun D’Souza, Roshan Pinto, Naina Adren Nguyen, Le Phuong Yong, Dongeun Chong, 2020)</w:t>
      </w:r>
      <w:r w:rsidRPr="00E741C0">
        <w:rPr>
          <w:rFonts w:eastAsia="Calibri" w:cs="Times New Roman"/>
          <w:color w:val="000000" w:themeColor="text1"/>
          <w:kern w:val="2"/>
          <w:szCs w:val="24"/>
          <w:lang w:val="en-NZ"/>
          <w14:ligatures w14:val="standardContextual"/>
        </w:rPr>
        <w:fldChar w:fldCharType="end"/>
      </w:r>
      <w:r w:rsidRPr="00E741C0">
        <w:rPr>
          <w:rFonts w:eastAsia="Calibri" w:cs="Times New Roman"/>
          <w:color w:val="000000" w:themeColor="text1"/>
          <w:kern w:val="2"/>
          <w:szCs w:val="24"/>
          <w:lang w:val="en-NZ"/>
          <w14:ligatures w14:val="standardContextual"/>
        </w:rPr>
        <w:t>.</w:t>
      </w:r>
      <w:r w:rsidRPr="00E741C0">
        <w:rPr>
          <w:rFonts w:eastAsia="Calibri" w:cs="Times New Roman"/>
          <w:color w:val="000000" w:themeColor="text1"/>
          <w:kern w:val="2"/>
          <w:szCs w:val="24"/>
          <w:lang w:val="en-GB"/>
          <w14:ligatures w14:val="standardContextual"/>
        </w:rPr>
        <w:t xml:space="preserve"> These analyses took place at </w:t>
      </w:r>
      <w:proofErr w:type="spellStart"/>
      <w:r w:rsidRPr="00E741C0">
        <w:rPr>
          <w:rFonts w:eastAsia="Calibri" w:cs="Times New Roman"/>
          <w:color w:val="000000" w:themeColor="text1"/>
          <w:kern w:val="2"/>
          <w:szCs w:val="24"/>
          <w:lang w:val="en-GB"/>
          <w14:ligatures w14:val="standardContextual"/>
        </w:rPr>
        <w:t>Awanui</w:t>
      </w:r>
      <w:proofErr w:type="spellEnd"/>
      <w:r w:rsidRPr="00E741C0">
        <w:rPr>
          <w:rFonts w:eastAsia="Calibri" w:cs="Times New Roman"/>
          <w:color w:val="000000" w:themeColor="text1"/>
          <w:kern w:val="2"/>
          <w:szCs w:val="24"/>
          <w:lang w:val="en-GB"/>
          <w14:ligatures w14:val="standardContextual"/>
        </w:rPr>
        <w:t xml:space="preserve"> Labs (formerly Southern Community Laboratories), Dunedin, New Zealand. For </w:t>
      </w:r>
      <w:r w:rsidRPr="00E741C0">
        <w:rPr>
          <w:rFonts w:eastAsia="Calibri" w:cs="Times New Roman"/>
          <w:i/>
          <w:iCs/>
          <w:color w:val="000000" w:themeColor="text1"/>
          <w:kern w:val="2"/>
          <w:szCs w:val="24"/>
          <w:lang w:val="en-GB"/>
          <w14:ligatures w14:val="standardContextual"/>
        </w:rPr>
        <w:t>Acinetobacter baumannii</w:t>
      </w:r>
      <w:r w:rsidRPr="00E741C0">
        <w:rPr>
          <w:rFonts w:eastAsia="Calibri" w:cs="Times New Roman"/>
          <w:color w:val="000000" w:themeColor="text1"/>
          <w:kern w:val="2"/>
          <w:szCs w:val="24"/>
          <w:lang w:val="en-GB"/>
          <w14:ligatures w14:val="standardContextual"/>
        </w:rPr>
        <w:t xml:space="preserve">, susceptibility to meropenem, gentamicin, amikacin, trimethoprim/sulfamethoxazole, ciprofloxacin, and colistin was assessed. For </w:t>
      </w:r>
      <w:r w:rsidRPr="00E741C0">
        <w:rPr>
          <w:rFonts w:eastAsia="Calibri" w:cs="Times New Roman"/>
          <w:i/>
          <w:iCs/>
          <w:color w:val="000000" w:themeColor="text1"/>
          <w:kern w:val="2"/>
          <w:szCs w:val="24"/>
          <w:lang w:val="en-GB"/>
          <w14:ligatures w14:val="standardContextual"/>
        </w:rPr>
        <w:t>Pseudomonas aeruginosa</w:t>
      </w:r>
      <w:r w:rsidRPr="00E741C0">
        <w:rPr>
          <w:rFonts w:eastAsia="Calibri" w:cs="Times New Roman"/>
          <w:color w:val="000000" w:themeColor="text1"/>
          <w:kern w:val="2"/>
          <w:szCs w:val="24"/>
          <w:lang w:val="en-GB"/>
          <w14:ligatures w14:val="standardContextual"/>
        </w:rPr>
        <w:t xml:space="preserve">, susceptibility to piperacillin/tazobactam, ceftazidime, cefepime, meropenem, gentamicin, ciprofloxacin, and colistin was evaluated. For the </w:t>
      </w:r>
      <w:proofErr w:type="spellStart"/>
      <w:r w:rsidRPr="00E741C0">
        <w:rPr>
          <w:rFonts w:eastAsia="Calibri" w:cs="Times New Roman"/>
          <w:color w:val="000000" w:themeColor="text1"/>
          <w:kern w:val="2"/>
          <w:szCs w:val="24"/>
          <w:lang w:val="en-GB"/>
          <w14:ligatures w14:val="standardContextual"/>
        </w:rPr>
        <w:t>Enterobacterales</w:t>
      </w:r>
      <w:proofErr w:type="spellEnd"/>
      <w:r w:rsidRPr="00E741C0">
        <w:rPr>
          <w:rFonts w:eastAsia="Calibri" w:cs="Times New Roman"/>
          <w:color w:val="000000" w:themeColor="text1"/>
          <w:kern w:val="2"/>
          <w:szCs w:val="24"/>
          <w:lang w:val="en-GB"/>
          <w14:ligatures w14:val="standardContextual"/>
        </w:rPr>
        <w:t xml:space="preserve"> (</w:t>
      </w:r>
      <w:r w:rsidRPr="00E741C0">
        <w:rPr>
          <w:rFonts w:eastAsia="Calibri" w:cs="Times New Roman"/>
          <w:i/>
          <w:iCs/>
          <w:color w:val="000000" w:themeColor="text1"/>
          <w:kern w:val="2"/>
          <w:szCs w:val="24"/>
          <w:lang w:val="en-GB"/>
          <w14:ligatures w14:val="standardContextual"/>
        </w:rPr>
        <w:t>Escherichia coli</w:t>
      </w:r>
      <w:r w:rsidRPr="00E741C0">
        <w:rPr>
          <w:rFonts w:eastAsia="Calibri" w:cs="Times New Roman"/>
          <w:color w:val="000000" w:themeColor="text1"/>
          <w:kern w:val="2"/>
          <w:szCs w:val="24"/>
          <w:lang w:val="en-GB"/>
          <w14:ligatures w14:val="standardContextual"/>
        </w:rPr>
        <w:t xml:space="preserve"> and </w:t>
      </w:r>
      <w:r w:rsidRPr="00E741C0">
        <w:rPr>
          <w:rFonts w:eastAsia="Calibri" w:cs="Times New Roman"/>
          <w:i/>
          <w:iCs/>
          <w:color w:val="000000" w:themeColor="text1"/>
          <w:kern w:val="2"/>
          <w:szCs w:val="24"/>
          <w:lang w:val="en-GB"/>
          <w14:ligatures w14:val="standardContextual"/>
        </w:rPr>
        <w:t>Klebsiella pneumoniae</w:t>
      </w:r>
      <w:r w:rsidRPr="00E741C0">
        <w:rPr>
          <w:rFonts w:eastAsia="Calibri" w:cs="Times New Roman"/>
          <w:color w:val="000000" w:themeColor="text1"/>
          <w:kern w:val="2"/>
          <w:szCs w:val="24"/>
          <w:lang w:val="en-GB"/>
          <w14:ligatures w14:val="standardContextual"/>
        </w:rPr>
        <w:t>), susceptibility to ampicillin, piperacillin/tazobactam, ceftriaxone, meropenem, gentamicin, amikacin, trimethoprim/sulfamethoxazole, ciprofloxacin, and colistin was assessed.</w:t>
      </w:r>
      <w:r w:rsidRPr="00E741C0">
        <w:rPr>
          <w:rFonts w:eastAsia="Calibri" w:cs="Times New Roman"/>
          <w:b/>
          <w:bCs/>
          <w:color w:val="000000" w:themeColor="text1"/>
          <w:szCs w:val="24"/>
          <w:lang w:val="en-NZ"/>
        </w:rPr>
        <w:t xml:space="preserve"> </w:t>
      </w:r>
    </w:p>
    <w:p w14:paraId="6ADA4569" w14:textId="77777777" w:rsidR="00E35B6B" w:rsidRPr="00E741C0" w:rsidRDefault="00E35B6B" w:rsidP="006B2D5B">
      <w:pPr>
        <w:rPr>
          <w:rFonts w:cs="Times New Roman"/>
          <w:color w:val="000000" w:themeColor="text1"/>
          <w:szCs w:val="24"/>
        </w:rPr>
      </w:pPr>
    </w:p>
    <w:p w14:paraId="17B7B46F" w14:textId="77777777" w:rsidR="00321A50" w:rsidRPr="00E741C0" w:rsidRDefault="00321A50" w:rsidP="00321A50">
      <w:pPr>
        <w:spacing w:before="240" w:after="160"/>
        <w:jc w:val="both"/>
        <w:rPr>
          <w:rFonts w:eastAsia="Calibri" w:cs="Times New Roman"/>
          <w:b/>
          <w:bCs/>
          <w:color w:val="000000" w:themeColor="text1"/>
          <w:szCs w:val="24"/>
          <w:lang w:val="en-NZ"/>
        </w:rPr>
      </w:pPr>
      <w:r w:rsidRPr="00E741C0">
        <w:rPr>
          <w:rFonts w:eastAsia="Calibri" w:cs="Times New Roman"/>
          <w:b/>
          <w:bCs/>
          <w:color w:val="000000" w:themeColor="text1"/>
          <w:szCs w:val="24"/>
          <w:lang w:val="en-NZ"/>
        </w:rPr>
        <w:t>Standard operating procedure for environment swabbing</w:t>
      </w:r>
    </w:p>
    <w:tbl>
      <w:tblPr>
        <w:tblStyle w:val="TableGrid2"/>
        <w:tblW w:w="0" w:type="auto"/>
        <w:tblLook w:val="04A0" w:firstRow="1" w:lastRow="0" w:firstColumn="1" w:lastColumn="0" w:noHBand="0" w:noVBand="1"/>
      </w:tblPr>
      <w:tblGrid>
        <w:gridCol w:w="9016"/>
      </w:tblGrid>
      <w:tr w:rsidR="00321A50" w:rsidRPr="00E741C0" w14:paraId="4AE4B3F5" w14:textId="77777777" w:rsidTr="00F976B2">
        <w:tc>
          <w:tcPr>
            <w:tcW w:w="9016" w:type="dxa"/>
          </w:tcPr>
          <w:p w14:paraId="7D91B6A6"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5A190493" w14:textId="77777777" w:rsidR="00321A50" w:rsidRPr="00E741C0" w:rsidRDefault="00321A50" w:rsidP="00321A50">
            <w:pPr>
              <w:spacing w:before="0" w:after="160" w:line="259" w:lineRule="auto"/>
              <w:jc w:val="center"/>
              <w:rPr>
                <w:rFonts w:eastAsia="Calibri" w:cs="Times New Roman"/>
                <w:color w:val="000000" w:themeColor="text1"/>
                <w:kern w:val="2"/>
                <w:sz w:val="28"/>
                <w:szCs w:val="28"/>
                <w14:ligatures w14:val="standardContextual"/>
              </w:rPr>
            </w:pPr>
            <w:r w:rsidRPr="00E741C0">
              <w:rPr>
                <w:rFonts w:eastAsia="Calibri" w:cs="Times New Roman"/>
                <w:b/>
                <w:bCs/>
                <w:color w:val="000000" w:themeColor="text1"/>
                <w:kern w:val="2"/>
                <w:sz w:val="28"/>
                <w:szCs w:val="28"/>
                <w14:ligatures w14:val="standardContextual"/>
              </w:rPr>
              <w:t>Hospital environmental swabbing SOP</w:t>
            </w:r>
          </w:p>
          <w:p w14:paraId="0CD1686D"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1.0 Aim </w:t>
            </w:r>
          </w:p>
          <w:p w14:paraId="589FDC16"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To guide infection control officer and other health care worker in performing environment sampling for identification of the source of AMR pathogens </w:t>
            </w:r>
          </w:p>
          <w:p w14:paraId="07CB2491"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174689B9"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2.0 Principle </w:t>
            </w:r>
          </w:p>
          <w:p w14:paraId="081E36C8"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Detection of sources of pathogens is important in the control and prevention of the transmission of AMR pathogens. It also helps in targeting intervention. Using correct sampling procedure will enhance detection of targeted pathogens. </w:t>
            </w:r>
          </w:p>
          <w:p w14:paraId="0A284F75"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477CE2D7"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3.0 Responsibility: </w:t>
            </w:r>
            <w:r w:rsidRPr="00E741C0">
              <w:rPr>
                <w:rFonts w:eastAsia="Calibri" w:cs="Times New Roman"/>
                <w:color w:val="000000" w:themeColor="text1"/>
                <w:kern w:val="2"/>
                <w:szCs w:val="24"/>
                <w14:ligatures w14:val="standardContextual"/>
              </w:rPr>
              <w:t xml:space="preserve">IPC officer/ HCW </w:t>
            </w:r>
          </w:p>
          <w:p w14:paraId="1D1739CF"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1F117CAA"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4.0 Sample Requirement: </w:t>
            </w:r>
            <w:r w:rsidRPr="00E741C0">
              <w:rPr>
                <w:rFonts w:eastAsia="Calibri" w:cs="Times New Roman"/>
                <w:color w:val="000000" w:themeColor="text1"/>
                <w:kern w:val="2"/>
                <w:szCs w:val="24"/>
                <w14:ligatures w14:val="standardContextual"/>
              </w:rPr>
              <w:t xml:space="preserve">Environment swabbed samples </w:t>
            </w:r>
          </w:p>
          <w:p w14:paraId="7CE83DA7"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74921CD6"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5.0 Equipment/Reagents/Chemical </w:t>
            </w:r>
          </w:p>
          <w:p w14:paraId="2469309C"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5.1 3-5ml sterile Tryptic soy broth (TSB) </w:t>
            </w:r>
          </w:p>
          <w:p w14:paraId="727A95AE"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5.2.1 Sterile swab, Charcoal Amies transport swab / non charcoal Copan transport swab </w:t>
            </w:r>
          </w:p>
          <w:p w14:paraId="63CD1936"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4E4D2720"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6.0 Procedure </w:t>
            </w:r>
          </w:p>
          <w:p w14:paraId="00E2CFCB"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6.1 Using aseptic technique, dip the sterile swab in the TSB vials provided by Microbiology lab to moisten the swab and then swab the specified location. Press out the excess solution against the interior wall of the vial with a rotating motion. </w:t>
            </w:r>
          </w:p>
          <w:p w14:paraId="184A5812"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6.2 Hold the swab handle to make a 30° angle contact with the surface. Aseptically rub the surface slowly and thoroughly over approximately 50 cm</w:t>
            </w:r>
            <w:r w:rsidRPr="00E741C0">
              <w:rPr>
                <w:rFonts w:eastAsia="Calibri" w:cs="Times New Roman"/>
                <w:color w:val="000000" w:themeColor="text1"/>
                <w:kern w:val="2"/>
                <w:szCs w:val="24"/>
                <w:vertAlign w:val="superscript"/>
                <w14:ligatures w14:val="standardContextual"/>
              </w:rPr>
              <w:t>2</w:t>
            </w:r>
            <w:r w:rsidRPr="00E741C0">
              <w:rPr>
                <w:rFonts w:eastAsia="Calibri" w:cs="Times New Roman"/>
                <w:color w:val="000000" w:themeColor="text1"/>
                <w:kern w:val="2"/>
                <w:szCs w:val="24"/>
                <w14:ligatures w14:val="standardContextual"/>
              </w:rPr>
              <w:t xml:space="preserve"> of the surface three times, reversing direction between strokes or S-strokes. Direction of swabbing should be from horizontal to vertical and then to a diagonal sampling pattern. Ensure you rotate the swab during swabbing. </w:t>
            </w:r>
          </w:p>
          <w:p w14:paraId="77215C4A"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6.3 Return swab into the swab using aseptic technique. Transport swab immediately to the Microbiology Lab under room temperature. </w:t>
            </w:r>
          </w:p>
          <w:p w14:paraId="3BF4CB0A"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p>
          <w:p w14:paraId="391E0870"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ascii="Calibri" w:eastAsia="Calibri" w:hAnsi="Calibri" w:cs="Times New Roman"/>
                <w:noProof/>
                <w:color w:val="000000" w:themeColor="text1"/>
                <w:kern w:val="2"/>
                <w:sz w:val="22"/>
                <w14:ligatures w14:val="standardContextual"/>
              </w:rPr>
              <w:drawing>
                <wp:inline distT="0" distB="0" distL="0" distR="0" wp14:anchorId="0B799D4E" wp14:editId="53947FC5">
                  <wp:extent cx="5505603" cy="2024496"/>
                  <wp:effectExtent l="19050" t="19050" r="19050" b="13970"/>
                  <wp:docPr id="84568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86345" name=""/>
                          <pic:cNvPicPr/>
                        </pic:nvPicPr>
                        <pic:blipFill>
                          <a:blip r:embed="rId13"/>
                          <a:stretch>
                            <a:fillRect/>
                          </a:stretch>
                        </pic:blipFill>
                        <pic:spPr>
                          <a:xfrm>
                            <a:off x="0" y="0"/>
                            <a:ext cx="5525965" cy="2031983"/>
                          </a:xfrm>
                          <a:prstGeom prst="rect">
                            <a:avLst/>
                          </a:prstGeom>
                          <a:ln w="9525">
                            <a:solidFill>
                              <a:sysClr val="windowText" lastClr="000000"/>
                            </a:solidFill>
                          </a:ln>
                        </pic:spPr>
                      </pic:pic>
                    </a:graphicData>
                  </a:graphic>
                </wp:inline>
              </w:drawing>
            </w:r>
          </w:p>
          <w:p w14:paraId="5036874E" w14:textId="77777777" w:rsidR="00321A50" w:rsidRPr="00E741C0" w:rsidRDefault="00321A50" w:rsidP="00321A50">
            <w:pPr>
              <w:spacing w:before="0" w:after="160" w:line="259" w:lineRule="auto"/>
              <w:jc w:val="both"/>
              <w:rPr>
                <w:rFonts w:eastAsia="Calibri" w:cs="Times New Roman"/>
                <w:b/>
                <w:bCs/>
                <w:color w:val="000000" w:themeColor="text1"/>
                <w:kern w:val="2"/>
                <w:szCs w:val="24"/>
                <w14:ligatures w14:val="standardContextual"/>
              </w:rPr>
            </w:pPr>
          </w:p>
          <w:p w14:paraId="56F19446" w14:textId="77777777" w:rsidR="00321A50" w:rsidRPr="00E741C0" w:rsidRDefault="00321A50" w:rsidP="00321A50">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b/>
                <w:bCs/>
                <w:color w:val="000000" w:themeColor="text1"/>
                <w:kern w:val="2"/>
                <w:szCs w:val="24"/>
                <w14:ligatures w14:val="standardContextual"/>
              </w:rPr>
              <w:t xml:space="preserve">7.0 Safety Precautions: </w:t>
            </w:r>
          </w:p>
          <w:p w14:paraId="3AA0EE5A" w14:textId="36626569" w:rsidR="00321A50" w:rsidRPr="00E741C0" w:rsidRDefault="00321A50" w:rsidP="0023191C">
            <w:pPr>
              <w:spacing w:before="0" w:after="160" w:line="259" w:lineRule="auto"/>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Personnel performing the test should wear standard PPE </w:t>
            </w:r>
          </w:p>
        </w:tc>
      </w:tr>
    </w:tbl>
    <w:p w14:paraId="42D89FDC" w14:textId="77777777" w:rsidR="00321A50" w:rsidRPr="00E741C0" w:rsidRDefault="00321A50" w:rsidP="00321A50">
      <w:pPr>
        <w:spacing w:before="240" w:after="160"/>
        <w:jc w:val="both"/>
        <w:rPr>
          <w:rFonts w:eastAsia="Calibri" w:cs="Times New Roman"/>
          <w:b/>
          <w:bCs/>
          <w:color w:val="000000" w:themeColor="text1"/>
          <w:szCs w:val="24"/>
          <w:lang w:val="en-NZ"/>
        </w:rPr>
      </w:pPr>
    </w:p>
    <w:p w14:paraId="7E0D9B04" w14:textId="77777777" w:rsidR="00321A50" w:rsidRPr="00E741C0" w:rsidRDefault="00321A50" w:rsidP="00321A50">
      <w:pPr>
        <w:spacing w:before="240" w:after="160"/>
        <w:jc w:val="both"/>
        <w:rPr>
          <w:rFonts w:eastAsia="Calibri" w:cs="Times New Roman"/>
          <w:color w:val="000000" w:themeColor="text1"/>
          <w:kern w:val="2"/>
          <w:szCs w:val="24"/>
          <w:lang w:val="en-NZ"/>
          <w14:ligatures w14:val="standardContextual"/>
        </w:rPr>
      </w:pPr>
      <w:r w:rsidRPr="00E741C0">
        <w:rPr>
          <w:rFonts w:eastAsia="Calibri" w:cs="Times New Roman"/>
          <w:b/>
          <w:bCs/>
          <w:color w:val="000000" w:themeColor="text1"/>
          <w:szCs w:val="24"/>
          <w:lang w:val="en-NZ"/>
        </w:rPr>
        <w:t xml:space="preserve">Supplementary Table 1.  Refer to excel for table presenting all the high touch environmental and equipment surface data. </w:t>
      </w:r>
    </w:p>
    <w:p w14:paraId="6B00E98D" w14:textId="77777777" w:rsidR="00321A50" w:rsidRPr="00E741C0" w:rsidRDefault="00321A50" w:rsidP="00321A50">
      <w:pPr>
        <w:spacing w:before="0" w:after="160"/>
        <w:jc w:val="both"/>
        <w:rPr>
          <w:rFonts w:eastAsia="Calibri" w:cs="Times New Roman"/>
          <w:b/>
          <w:bCs/>
          <w:color w:val="000000" w:themeColor="text1"/>
          <w:szCs w:val="24"/>
          <w:lang w:val="en-NZ"/>
        </w:rPr>
      </w:pPr>
    </w:p>
    <w:p w14:paraId="1D0CC53B" w14:textId="77777777" w:rsidR="00321A50" w:rsidRPr="00E741C0" w:rsidRDefault="00321A50" w:rsidP="00321A50">
      <w:pPr>
        <w:spacing w:before="0" w:after="160"/>
        <w:jc w:val="both"/>
        <w:rPr>
          <w:rFonts w:eastAsia="Calibri" w:cs="Times New Roman"/>
          <w:b/>
          <w:bCs/>
          <w:color w:val="000000" w:themeColor="text1"/>
          <w:szCs w:val="24"/>
          <w:lang w:val="en-NZ"/>
        </w:rPr>
      </w:pPr>
      <w:r w:rsidRPr="00E741C0">
        <w:rPr>
          <w:rFonts w:eastAsia="Calibri" w:cs="Times New Roman"/>
          <w:b/>
          <w:bCs/>
          <w:color w:val="000000" w:themeColor="text1"/>
          <w:szCs w:val="24"/>
          <w:lang w:val="en-NZ"/>
        </w:rPr>
        <w:t xml:space="preserve">Supplementary Table 2. Antimicrobial susceptibility testing (EUCAST v11·0 standard guideline, 2021) </w:t>
      </w:r>
    </w:p>
    <w:tbl>
      <w:tblPr>
        <w:tblStyle w:val="TableGrid3"/>
        <w:tblW w:w="0" w:type="auto"/>
        <w:tblLook w:val="04A0" w:firstRow="1" w:lastRow="0" w:firstColumn="1" w:lastColumn="0" w:noHBand="0" w:noVBand="1"/>
      </w:tblPr>
      <w:tblGrid>
        <w:gridCol w:w="2141"/>
        <w:gridCol w:w="3322"/>
        <w:gridCol w:w="1333"/>
        <w:gridCol w:w="916"/>
        <w:gridCol w:w="818"/>
      </w:tblGrid>
      <w:tr w:rsidR="00E741C0" w:rsidRPr="00E741C0" w14:paraId="2F3A5CC8" w14:textId="77777777" w:rsidTr="00F976B2">
        <w:tc>
          <w:tcPr>
            <w:tcW w:w="2141" w:type="dxa"/>
            <w:vMerge w:val="restart"/>
          </w:tcPr>
          <w:p w14:paraId="0DF7176B"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Organism</w:t>
            </w:r>
          </w:p>
        </w:tc>
        <w:tc>
          <w:tcPr>
            <w:tcW w:w="2838" w:type="dxa"/>
            <w:vMerge w:val="restart"/>
          </w:tcPr>
          <w:p w14:paraId="5B4A1313"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Antimicrobial disk</w:t>
            </w:r>
          </w:p>
        </w:tc>
        <w:tc>
          <w:tcPr>
            <w:tcW w:w="1333" w:type="dxa"/>
            <w:vMerge w:val="restart"/>
          </w:tcPr>
          <w:p w14:paraId="43CAAA60"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Disk content (ug)</w:t>
            </w:r>
          </w:p>
        </w:tc>
        <w:tc>
          <w:tcPr>
            <w:tcW w:w="1734" w:type="dxa"/>
            <w:gridSpan w:val="2"/>
          </w:tcPr>
          <w:p w14:paraId="50F702FC"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Zone diameter</w:t>
            </w:r>
          </w:p>
        </w:tc>
      </w:tr>
      <w:tr w:rsidR="00E741C0" w:rsidRPr="00E741C0" w14:paraId="6A3D3F3A" w14:textId="77777777" w:rsidTr="00F976B2">
        <w:trPr>
          <w:trHeight w:val="637"/>
        </w:trPr>
        <w:tc>
          <w:tcPr>
            <w:tcW w:w="2141" w:type="dxa"/>
            <w:vMerge/>
          </w:tcPr>
          <w:p w14:paraId="6D063953" w14:textId="77777777" w:rsidR="00321A50" w:rsidRPr="00E741C0" w:rsidRDefault="00321A50" w:rsidP="00321A50">
            <w:pPr>
              <w:spacing w:before="0" w:after="0"/>
              <w:jc w:val="both"/>
              <w:rPr>
                <w:rFonts w:eastAsia="Calibri" w:cs="Times New Roman"/>
                <w:b/>
                <w:bCs/>
                <w:color w:val="000000" w:themeColor="text1"/>
                <w:szCs w:val="24"/>
              </w:rPr>
            </w:pPr>
          </w:p>
        </w:tc>
        <w:tc>
          <w:tcPr>
            <w:tcW w:w="2838" w:type="dxa"/>
            <w:vMerge/>
          </w:tcPr>
          <w:p w14:paraId="22D208BC" w14:textId="77777777" w:rsidR="00321A50" w:rsidRPr="00E741C0" w:rsidRDefault="00321A50" w:rsidP="00321A50">
            <w:pPr>
              <w:spacing w:before="0" w:after="0"/>
              <w:jc w:val="both"/>
              <w:rPr>
                <w:rFonts w:eastAsia="Calibri" w:cs="Times New Roman"/>
                <w:b/>
                <w:bCs/>
                <w:color w:val="000000" w:themeColor="text1"/>
                <w:szCs w:val="24"/>
              </w:rPr>
            </w:pPr>
          </w:p>
        </w:tc>
        <w:tc>
          <w:tcPr>
            <w:tcW w:w="1333" w:type="dxa"/>
            <w:vMerge/>
          </w:tcPr>
          <w:p w14:paraId="6EA5D735" w14:textId="77777777" w:rsidR="00321A50" w:rsidRPr="00E741C0" w:rsidRDefault="00321A50" w:rsidP="00321A50">
            <w:pPr>
              <w:spacing w:before="0" w:after="0"/>
              <w:jc w:val="center"/>
              <w:rPr>
                <w:rFonts w:eastAsia="Calibri" w:cs="Times New Roman"/>
                <w:b/>
                <w:bCs/>
                <w:color w:val="000000" w:themeColor="text1"/>
                <w:szCs w:val="24"/>
              </w:rPr>
            </w:pPr>
          </w:p>
        </w:tc>
        <w:tc>
          <w:tcPr>
            <w:tcW w:w="916" w:type="dxa"/>
          </w:tcPr>
          <w:p w14:paraId="6B3DEDF5"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S</w:t>
            </w:r>
          </w:p>
          <w:p w14:paraId="41DECAD0"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(mm)</w:t>
            </w:r>
          </w:p>
        </w:tc>
        <w:tc>
          <w:tcPr>
            <w:tcW w:w="818" w:type="dxa"/>
          </w:tcPr>
          <w:p w14:paraId="1B175C51" w14:textId="77777777" w:rsidR="00321A50" w:rsidRPr="00E741C0" w:rsidRDefault="00321A50" w:rsidP="00321A50">
            <w:pPr>
              <w:spacing w:before="0" w:after="0"/>
              <w:jc w:val="center"/>
              <w:rPr>
                <w:rFonts w:eastAsia="Calibri" w:cs="Times New Roman"/>
                <w:b/>
                <w:bCs/>
                <w:color w:val="000000" w:themeColor="text1"/>
                <w:szCs w:val="24"/>
              </w:rPr>
            </w:pPr>
            <w:r w:rsidRPr="00E741C0">
              <w:rPr>
                <w:rFonts w:eastAsia="Calibri" w:cs="Times New Roman"/>
                <w:b/>
                <w:bCs/>
                <w:color w:val="000000" w:themeColor="text1"/>
                <w:szCs w:val="24"/>
              </w:rPr>
              <w:t>R (mm)</w:t>
            </w:r>
          </w:p>
        </w:tc>
      </w:tr>
      <w:tr w:rsidR="00E741C0" w:rsidRPr="00E741C0" w14:paraId="2C5E4CE3" w14:textId="77777777" w:rsidTr="00F976B2">
        <w:trPr>
          <w:trHeight w:val="1188"/>
        </w:trPr>
        <w:tc>
          <w:tcPr>
            <w:tcW w:w="2141" w:type="dxa"/>
          </w:tcPr>
          <w:p w14:paraId="4AAF8FE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i/>
                <w:iCs/>
                <w:color w:val="000000" w:themeColor="text1"/>
                <w:szCs w:val="24"/>
              </w:rPr>
              <w:t>P. aeruginosa</w:t>
            </w:r>
          </w:p>
        </w:tc>
        <w:tc>
          <w:tcPr>
            <w:tcW w:w="2838" w:type="dxa"/>
          </w:tcPr>
          <w:p w14:paraId="4C315A9A"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Ceftazidime</w:t>
            </w:r>
          </w:p>
          <w:p w14:paraId="1C6DA82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Piperacillin/tazobactam</w:t>
            </w:r>
          </w:p>
          <w:p w14:paraId="35D9A535"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Ciprofloxacin</w:t>
            </w:r>
          </w:p>
          <w:p w14:paraId="79A3BA71"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Amikacin</w:t>
            </w:r>
          </w:p>
          <w:p w14:paraId="1934793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Meropenem</w:t>
            </w:r>
          </w:p>
        </w:tc>
        <w:tc>
          <w:tcPr>
            <w:tcW w:w="1333" w:type="dxa"/>
          </w:tcPr>
          <w:p w14:paraId="0D1BDA20"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p w14:paraId="008BC39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30/6</w:t>
            </w:r>
          </w:p>
          <w:p w14:paraId="0CDC042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w:t>
            </w:r>
          </w:p>
          <w:p w14:paraId="6F98F748"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w:t>
            </w:r>
          </w:p>
          <w:p w14:paraId="5A536EB1" w14:textId="77777777" w:rsidR="00321A50" w:rsidRPr="00E741C0" w:rsidRDefault="00321A50" w:rsidP="00321A50">
            <w:pPr>
              <w:spacing w:before="0" w:after="0"/>
              <w:rPr>
                <w:rFonts w:eastAsia="Calibri" w:cs="Times New Roman"/>
                <w:color w:val="000000" w:themeColor="text1"/>
                <w:szCs w:val="24"/>
              </w:rPr>
            </w:pPr>
            <w:r w:rsidRPr="00E741C0">
              <w:rPr>
                <w:rFonts w:eastAsia="Calibri" w:cs="Times New Roman"/>
                <w:color w:val="000000" w:themeColor="text1"/>
                <w:szCs w:val="24"/>
              </w:rPr>
              <w:t xml:space="preserve">       10</w:t>
            </w:r>
          </w:p>
        </w:tc>
        <w:tc>
          <w:tcPr>
            <w:tcW w:w="916" w:type="dxa"/>
          </w:tcPr>
          <w:p w14:paraId="4DCA6354"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≥50</w:t>
            </w:r>
          </w:p>
          <w:p w14:paraId="68515DF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≥50</w:t>
            </w:r>
          </w:p>
          <w:p w14:paraId="148F8FE6"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≥50</w:t>
            </w:r>
          </w:p>
          <w:p w14:paraId="62902DF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≥15</w:t>
            </w:r>
          </w:p>
          <w:p w14:paraId="50412F08"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≥20</w:t>
            </w:r>
          </w:p>
        </w:tc>
        <w:tc>
          <w:tcPr>
            <w:tcW w:w="818" w:type="dxa"/>
          </w:tcPr>
          <w:p w14:paraId="6FB623D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&lt;17</w:t>
            </w:r>
          </w:p>
          <w:p w14:paraId="398ACCF2"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&lt;18</w:t>
            </w:r>
          </w:p>
          <w:p w14:paraId="1CE53CE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&lt;26</w:t>
            </w:r>
          </w:p>
          <w:p w14:paraId="215E2D5B"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&lt;15</w:t>
            </w:r>
          </w:p>
          <w:p w14:paraId="34FEC1D1"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&lt;14</w:t>
            </w:r>
          </w:p>
        </w:tc>
      </w:tr>
      <w:tr w:rsidR="00E741C0" w:rsidRPr="00E741C0" w14:paraId="71DD9523" w14:textId="77777777" w:rsidTr="00F976B2">
        <w:tc>
          <w:tcPr>
            <w:tcW w:w="2141" w:type="dxa"/>
          </w:tcPr>
          <w:p w14:paraId="38B871C3" w14:textId="77777777" w:rsidR="00321A50" w:rsidRPr="00E741C0" w:rsidRDefault="00321A50" w:rsidP="00321A50">
            <w:pPr>
              <w:spacing w:before="0" w:after="0"/>
              <w:jc w:val="center"/>
              <w:rPr>
                <w:rFonts w:eastAsia="Calibri" w:cs="Times New Roman"/>
                <w:i/>
                <w:iCs/>
                <w:color w:val="000000" w:themeColor="text1"/>
                <w:szCs w:val="24"/>
              </w:rPr>
            </w:pPr>
            <w:r w:rsidRPr="00E741C0">
              <w:rPr>
                <w:rFonts w:eastAsia="Calibri" w:cs="Times New Roman"/>
                <w:i/>
                <w:iCs/>
                <w:color w:val="000000" w:themeColor="text1"/>
                <w:szCs w:val="24"/>
              </w:rPr>
              <w:t>A. baumannii</w:t>
            </w:r>
          </w:p>
        </w:tc>
        <w:tc>
          <w:tcPr>
            <w:tcW w:w="2838" w:type="dxa"/>
          </w:tcPr>
          <w:p w14:paraId="16F122C1"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Gentamicin</w:t>
            </w:r>
          </w:p>
          <w:p w14:paraId="3BCF0295"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Amikacin</w:t>
            </w:r>
          </w:p>
          <w:p w14:paraId="0FA2D803"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Trimethoprim/sulfamethoxazole</w:t>
            </w:r>
          </w:p>
          <w:p w14:paraId="7545A24F"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Ciprofloxacin</w:t>
            </w:r>
          </w:p>
          <w:p w14:paraId="0B70ABE3"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Meropenem</w:t>
            </w:r>
          </w:p>
        </w:tc>
        <w:tc>
          <w:tcPr>
            <w:tcW w:w="1333" w:type="dxa"/>
          </w:tcPr>
          <w:p w14:paraId="7C7EC840"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p w14:paraId="26D54693"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w:t>
            </w:r>
          </w:p>
          <w:p w14:paraId="5F012AA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w:t>
            </w:r>
            <w:r w:rsidRPr="00E741C0">
              <w:rPr>
                <w:rFonts w:eastAsia="Calibri" w:cs="Times New Roman"/>
                <w:bCs/>
                <w:color w:val="000000" w:themeColor="text1"/>
                <w:szCs w:val="24"/>
              </w:rPr>
              <w:t>·</w:t>
            </w:r>
            <w:r w:rsidRPr="00E741C0">
              <w:rPr>
                <w:rFonts w:eastAsia="Calibri" w:cs="Times New Roman"/>
                <w:color w:val="000000" w:themeColor="text1"/>
                <w:szCs w:val="24"/>
              </w:rPr>
              <w:t>25/23</w:t>
            </w:r>
            <w:r w:rsidRPr="00E741C0">
              <w:rPr>
                <w:rFonts w:eastAsia="Calibri" w:cs="Times New Roman"/>
                <w:bCs/>
                <w:color w:val="000000" w:themeColor="text1"/>
                <w:szCs w:val="24"/>
              </w:rPr>
              <w:t>·</w:t>
            </w:r>
            <w:r w:rsidRPr="00E741C0">
              <w:rPr>
                <w:rFonts w:eastAsia="Calibri" w:cs="Times New Roman"/>
                <w:color w:val="000000" w:themeColor="text1"/>
                <w:szCs w:val="24"/>
              </w:rPr>
              <w:t>75</w:t>
            </w:r>
          </w:p>
          <w:p w14:paraId="4ACF0E4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w:t>
            </w:r>
          </w:p>
          <w:p w14:paraId="0464AFEA"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tc>
        <w:tc>
          <w:tcPr>
            <w:tcW w:w="916" w:type="dxa"/>
          </w:tcPr>
          <w:p w14:paraId="25BD54DD"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≥17</w:t>
            </w:r>
          </w:p>
          <w:p w14:paraId="6B6D663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≥19</w:t>
            </w:r>
          </w:p>
          <w:p w14:paraId="5EF84F0F"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≥14</w:t>
            </w:r>
          </w:p>
          <w:p w14:paraId="76FDDA12"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≥50</w:t>
            </w:r>
          </w:p>
          <w:p w14:paraId="03A3ECC3" w14:textId="77777777" w:rsidR="00321A50" w:rsidRPr="00E741C0" w:rsidRDefault="00321A50" w:rsidP="00321A50">
            <w:pPr>
              <w:spacing w:before="0" w:after="0"/>
              <w:rPr>
                <w:rFonts w:eastAsia="Calibri" w:cs="Times New Roman"/>
                <w:color w:val="000000" w:themeColor="text1"/>
                <w:szCs w:val="24"/>
              </w:rPr>
            </w:pPr>
            <w:r w:rsidRPr="00E741C0">
              <w:rPr>
                <w:rFonts w:eastAsia="Calibri" w:cs="Times New Roman"/>
                <w:color w:val="000000" w:themeColor="text1"/>
                <w:szCs w:val="24"/>
              </w:rPr>
              <w:t xml:space="preserve">    ≥21</w:t>
            </w:r>
          </w:p>
        </w:tc>
        <w:tc>
          <w:tcPr>
            <w:tcW w:w="818" w:type="dxa"/>
          </w:tcPr>
          <w:p w14:paraId="42BEB102" w14:textId="77777777" w:rsidR="00321A50" w:rsidRPr="00E741C0" w:rsidRDefault="00321A50" w:rsidP="00321A50">
            <w:pPr>
              <w:spacing w:before="0" w:after="0"/>
              <w:rPr>
                <w:rFonts w:eastAsia="Calibri" w:cs="Times New Roman"/>
                <w:color w:val="000000" w:themeColor="text1"/>
                <w:szCs w:val="24"/>
              </w:rPr>
            </w:pPr>
            <w:r w:rsidRPr="00E741C0">
              <w:rPr>
                <w:rFonts w:eastAsia="Calibri" w:cs="Times New Roman"/>
                <w:color w:val="000000" w:themeColor="text1"/>
                <w:szCs w:val="24"/>
              </w:rPr>
              <w:t>&lt;17</w:t>
            </w:r>
          </w:p>
          <w:p w14:paraId="28996E1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&lt;19</w:t>
            </w:r>
          </w:p>
          <w:p w14:paraId="21217CCA"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&lt;11</w:t>
            </w:r>
          </w:p>
          <w:p w14:paraId="1CBD24B5"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&lt;21</w:t>
            </w:r>
          </w:p>
          <w:p w14:paraId="1F35E6A2"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&lt;15</w:t>
            </w:r>
          </w:p>
        </w:tc>
      </w:tr>
      <w:tr w:rsidR="00321A50" w:rsidRPr="00E741C0" w14:paraId="277CE47C" w14:textId="77777777" w:rsidTr="00F976B2">
        <w:tc>
          <w:tcPr>
            <w:tcW w:w="2141" w:type="dxa"/>
          </w:tcPr>
          <w:p w14:paraId="5CAF5A12" w14:textId="77777777" w:rsidR="00321A50" w:rsidRPr="00E741C0" w:rsidRDefault="00321A50" w:rsidP="00321A50">
            <w:pPr>
              <w:spacing w:before="0" w:after="0"/>
              <w:jc w:val="center"/>
              <w:rPr>
                <w:rFonts w:eastAsia="Calibri" w:cs="Times New Roman"/>
                <w:color w:val="000000" w:themeColor="text1"/>
                <w:szCs w:val="24"/>
              </w:rPr>
            </w:pPr>
            <w:proofErr w:type="spellStart"/>
            <w:r w:rsidRPr="00E741C0">
              <w:rPr>
                <w:rFonts w:eastAsia="Calibri" w:cs="Times New Roman"/>
                <w:color w:val="000000" w:themeColor="text1"/>
                <w:szCs w:val="24"/>
              </w:rPr>
              <w:t>Enterobacterales</w:t>
            </w:r>
            <w:proofErr w:type="spellEnd"/>
          </w:p>
        </w:tc>
        <w:tc>
          <w:tcPr>
            <w:tcW w:w="2838" w:type="dxa"/>
          </w:tcPr>
          <w:p w14:paraId="4E1F5634"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Ampicillin</w:t>
            </w:r>
          </w:p>
          <w:p w14:paraId="233AF7C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Piperacillin/tazobactam</w:t>
            </w:r>
          </w:p>
          <w:p w14:paraId="2840AD44"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Ceftriaxone</w:t>
            </w:r>
          </w:p>
          <w:p w14:paraId="5443DBF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Gentamicin</w:t>
            </w:r>
          </w:p>
          <w:p w14:paraId="4A5ACA3B"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Amikacin</w:t>
            </w:r>
          </w:p>
          <w:p w14:paraId="180D0D0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Trimethoprim/sulfamethoxazole</w:t>
            </w:r>
          </w:p>
          <w:p w14:paraId="47BAA0D6"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Ciprofloxacin</w:t>
            </w:r>
          </w:p>
          <w:p w14:paraId="5DB907E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Meropenem</w:t>
            </w:r>
          </w:p>
        </w:tc>
        <w:tc>
          <w:tcPr>
            <w:tcW w:w="1333" w:type="dxa"/>
          </w:tcPr>
          <w:p w14:paraId="1E714B24"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p w14:paraId="7B5C613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30/6</w:t>
            </w:r>
          </w:p>
          <w:p w14:paraId="220A8394"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w:t>
            </w:r>
          </w:p>
          <w:p w14:paraId="08667D5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p w14:paraId="5EE32B66"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30</w:t>
            </w:r>
          </w:p>
          <w:p w14:paraId="4C04DC1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w:t>
            </w:r>
            <w:r w:rsidRPr="00E741C0">
              <w:rPr>
                <w:rFonts w:eastAsia="Calibri" w:cs="Times New Roman"/>
                <w:bCs/>
                <w:color w:val="000000" w:themeColor="text1"/>
                <w:szCs w:val="24"/>
              </w:rPr>
              <w:t>·</w:t>
            </w:r>
            <w:r w:rsidRPr="00E741C0">
              <w:rPr>
                <w:rFonts w:eastAsia="Calibri" w:cs="Times New Roman"/>
                <w:color w:val="000000" w:themeColor="text1"/>
                <w:szCs w:val="24"/>
              </w:rPr>
              <w:t>25/23</w:t>
            </w:r>
            <w:r w:rsidRPr="00E741C0">
              <w:rPr>
                <w:rFonts w:eastAsia="Calibri" w:cs="Times New Roman"/>
                <w:bCs/>
                <w:color w:val="000000" w:themeColor="text1"/>
                <w:szCs w:val="24"/>
              </w:rPr>
              <w:t>·</w:t>
            </w:r>
            <w:r w:rsidRPr="00E741C0">
              <w:rPr>
                <w:rFonts w:eastAsia="Calibri" w:cs="Times New Roman"/>
                <w:color w:val="000000" w:themeColor="text1"/>
                <w:szCs w:val="24"/>
              </w:rPr>
              <w:t>75</w:t>
            </w:r>
          </w:p>
          <w:p w14:paraId="717D529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5</w:t>
            </w:r>
          </w:p>
          <w:p w14:paraId="6FD6A06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10</w:t>
            </w:r>
          </w:p>
        </w:tc>
        <w:tc>
          <w:tcPr>
            <w:tcW w:w="916" w:type="dxa"/>
          </w:tcPr>
          <w:p w14:paraId="17D4941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≥14</w:t>
            </w:r>
          </w:p>
          <w:p w14:paraId="514310C0"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≥20</w:t>
            </w:r>
          </w:p>
          <w:p w14:paraId="14E6650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≥25</w:t>
            </w:r>
          </w:p>
          <w:p w14:paraId="65BE77C3"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≥17</w:t>
            </w:r>
          </w:p>
          <w:p w14:paraId="570552D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≥18</w:t>
            </w:r>
          </w:p>
          <w:p w14:paraId="024834F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≥14</w:t>
            </w:r>
          </w:p>
          <w:p w14:paraId="27248AF3"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≥25</w:t>
            </w:r>
          </w:p>
          <w:p w14:paraId="3FF34DF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≥22</w:t>
            </w:r>
          </w:p>
        </w:tc>
        <w:tc>
          <w:tcPr>
            <w:tcW w:w="818" w:type="dxa"/>
          </w:tcPr>
          <w:p w14:paraId="7403DF37"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&lt;14</w:t>
            </w:r>
          </w:p>
          <w:p w14:paraId="539727E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&lt;20</w:t>
            </w:r>
          </w:p>
          <w:p w14:paraId="68E3C57A"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&lt;22</w:t>
            </w:r>
          </w:p>
          <w:p w14:paraId="051BC85E"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&lt;17</w:t>
            </w:r>
          </w:p>
          <w:p w14:paraId="15E278F8"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&lt;18</w:t>
            </w:r>
          </w:p>
          <w:p w14:paraId="2C478C20"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&lt;11</w:t>
            </w:r>
          </w:p>
          <w:p w14:paraId="4FD76CC8"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&lt;22</w:t>
            </w:r>
          </w:p>
          <w:p w14:paraId="16752799" w14:textId="77777777" w:rsidR="00321A50" w:rsidRPr="00E741C0" w:rsidRDefault="00321A50" w:rsidP="00321A50">
            <w:pPr>
              <w:spacing w:before="0" w:after="0"/>
              <w:jc w:val="center"/>
              <w:rPr>
                <w:rFonts w:eastAsia="Calibri" w:cs="Times New Roman"/>
                <w:color w:val="000000" w:themeColor="text1"/>
                <w:szCs w:val="24"/>
              </w:rPr>
            </w:pPr>
            <w:r w:rsidRPr="00E741C0">
              <w:rPr>
                <w:rFonts w:eastAsia="Calibri" w:cs="Times New Roman"/>
                <w:color w:val="000000" w:themeColor="text1"/>
                <w:szCs w:val="24"/>
              </w:rPr>
              <w:t>&lt;16</w:t>
            </w:r>
          </w:p>
        </w:tc>
      </w:tr>
    </w:tbl>
    <w:p w14:paraId="7D5642F5" w14:textId="77777777" w:rsidR="00321A50" w:rsidRPr="00E741C0" w:rsidRDefault="00321A50" w:rsidP="00321A50">
      <w:pPr>
        <w:spacing w:before="0" w:after="160"/>
        <w:jc w:val="both"/>
        <w:rPr>
          <w:rFonts w:eastAsia="Calibri" w:cs="Times New Roman"/>
          <w:b/>
          <w:bCs/>
          <w:color w:val="000000" w:themeColor="text1"/>
          <w:kern w:val="2"/>
          <w:sz w:val="20"/>
          <w:szCs w:val="20"/>
          <w:lang w:val="en-NZ"/>
          <w14:ligatures w14:val="standardContextual"/>
        </w:rPr>
      </w:pPr>
    </w:p>
    <w:p w14:paraId="7153B001" w14:textId="77777777" w:rsidR="00321A50" w:rsidRPr="00E741C0" w:rsidRDefault="00321A50" w:rsidP="00321A50">
      <w:pPr>
        <w:spacing w:before="0" w:after="160"/>
        <w:jc w:val="both"/>
        <w:rPr>
          <w:rFonts w:eastAsia="Calibri" w:cs="Times New Roman"/>
          <w:b/>
          <w:bCs/>
          <w:color w:val="000000" w:themeColor="text1"/>
          <w:kern w:val="2"/>
          <w:sz w:val="20"/>
          <w:szCs w:val="20"/>
          <w:lang w:val="en-NZ"/>
          <w14:ligatures w14:val="standardContextual"/>
        </w:rPr>
      </w:pPr>
      <w:r w:rsidRPr="00E741C0">
        <w:rPr>
          <w:rFonts w:eastAsia="Calibri" w:cs="Times New Roman"/>
          <w:b/>
          <w:bCs/>
          <w:color w:val="000000" w:themeColor="text1"/>
          <w:kern w:val="2"/>
          <w:sz w:val="20"/>
          <w:szCs w:val="20"/>
          <w:lang w:val="en-NZ"/>
          <w14:ligatures w14:val="standardContextual"/>
        </w:rPr>
        <w:t xml:space="preserve">The table presents the antimicrobial agents utilized to assess susceptibility in </w:t>
      </w:r>
      <w:r w:rsidRPr="00E741C0">
        <w:rPr>
          <w:rFonts w:eastAsia="Calibri" w:cs="Times New Roman"/>
          <w:b/>
          <w:bCs/>
          <w:i/>
          <w:iCs/>
          <w:color w:val="000000" w:themeColor="text1"/>
          <w:kern w:val="2"/>
          <w:sz w:val="20"/>
          <w:szCs w:val="20"/>
          <w:lang w:val="en-NZ"/>
          <w14:ligatures w14:val="standardContextual"/>
        </w:rPr>
        <w:t>A. baumannii</w:t>
      </w:r>
      <w:r w:rsidRPr="00E741C0">
        <w:rPr>
          <w:rFonts w:eastAsia="Calibri" w:cs="Times New Roman"/>
          <w:b/>
          <w:bCs/>
          <w:color w:val="000000" w:themeColor="text1"/>
          <w:kern w:val="2"/>
          <w:sz w:val="20"/>
          <w:szCs w:val="20"/>
          <w:lang w:val="en-NZ"/>
          <w14:ligatures w14:val="standardContextual"/>
        </w:rPr>
        <w:t xml:space="preserve">, </w:t>
      </w:r>
      <w:r w:rsidRPr="00E741C0">
        <w:rPr>
          <w:rFonts w:eastAsia="Calibri" w:cs="Times New Roman"/>
          <w:b/>
          <w:bCs/>
          <w:i/>
          <w:iCs/>
          <w:color w:val="000000" w:themeColor="text1"/>
          <w:kern w:val="2"/>
          <w:sz w:val="20"/>
          <w:szCs w:val="20"/>
          <w:lang w:val="en-NZ"/>
          <w14:ligatures w14:val="standardContextual"/>
        </w:rPr>
        <w:t>P. aeruginosa</w:t>
      </w:r>
      <w:r w:rsidRPr="00E741C0">
        <w:rPr>
          <w:rFonts w:eastAsia="Calibri" w:cs="Times New Roman"/>
          <w:b/>
          <w:bCs/>
          <w:color w:val="000000" w:themeColor="text1"/>
          <w:kern w:val="2"/>
          <w:sz w:val="20"/>
          <w:szCs w:val="20"/>
          <w:lang w:val="en-NZ"/>
          <w14:ligatures w14:val="standardContextual"/>
        </w:rPr>
        <w:t xml:space="preserve">, and </w:t>
      </w:r>
      <w:proofErr w:type="spellStart"/>
      <w:r w:rsidRPr="00E741C0">
        <w:rPr>
          <w:rFonts w:eastAsia="Calibri" w:cs="Times New Roman"/>
          <w:b/>
          <w:bCs/>
          <w:color w:val="000000" w:themeColor="text1"/>
          <w:kern w:val="2"/>
          <w:sz w:val="20"/>
          <w:szCs w:val="20"/>
          <w:lang w:val="en-NZ"/>
          <w14:ligatures w14:val="standardContextual"/>
        </w:rPr>
        <w:t>Enterobacterales</w:t>
      </w:r>
      <w:proofErr w:type="spellEnd"/>
      <w:r w:rsidRPr="00E741C0">
        <w:rPr>
          <w:rFonts w:eastAsia="Calibri" w:cs="Times New Roman"/>
          <w:b/>
          <w:bCs/>
          <w:color w:val="000000" w:themeColor="text1"/>
          <w:kern w:val="2"/>
          <w:sz w:val="20"/>
          <w:szCs w:val="20"/>
          <w:lang w:val="en-NZ"/>
          <w14:ligatures w14:val="standardContextual"/>
        </w:rPr>
        <w:t xml:space="preserve"> (including </w:t>
      </w:r>
      <w:r w:rsidRPr="00E741C0">
        <w:rPr>
          <w:rFonts w:eastAsia="Calibri" w:cs="Times New Roman"/>
          <w:b/>
          <w:bCs/>
          <w:i/>
          <w:iCs/>
          <w:color w:val="000000" w:themeColor="text1"/>
          <w:kern w:val="2"/>
          <w:sz w:val="20"/>
          <w:szCs w:val="20"/>
          <w:lang w:val="en-NZ"/>
          <w14:ligatures w14:val="standardContextual"/>
        </w:rPr>
        <w:t>E. coli</w:t>
      </w:r>
      <w:r w:rsidRPr="00E741C0">
        <w:rPr>
          <w:rFonts w:eastAsia="Calibri" w:cs="Times New Roman"/>
          <w:b/>
          <w:bCs/>
          <w:color w:val="000000" w:themeColor="text1"/>
          <w:kern w:val="2"/>
          <w:sz w:val="20"/>
          <w:szCs w:val="20"/>
          <w:lang w:val="en-NZ"/>
          <w14:ligatures w14:val="standardContextual"/>
        </w:rPr>
        <w:t xml:space="preserve"> and </w:t>
      </w:r>
      <w:r w:rsidRPr="00E741C0">
        <w:rPr>
          <w:rFonts w:eastAsia="Calibri" w:cs="Times New Roman"/>
          <w:b/>
          <w:bCs/>
          <w:i/>
          <w:iCs/>
          <w:color w:val="000000" w:themeColor="text1"/>
          <w:kern w:val="2"/>
          <w:sz w:val="20"/>
          <w:szCs w:val="20"/>
          <w:lang w:val="en-NZ"/>
          <w14:ligatures w14:val="standardContextual"/>
        </w:rPr>
        <w:t>K. pneumoniae</w:t>
      </w:r>
      <w:r w:rsidRPr="00E741C0">
        <w:rPr>
          <w:rFonts w:eastAsia="Calibri" w:cs="Times New Roman"/>
          <w:b/>
          <w:bCs/>
          <w:color w:val="000000" w:themeColor="text1"/>
          <w:kern w:val="2"/>
          <w:sz w:val="20"/>
          <w:szCs w:val="20"/>
          <w:lang w:val="en-NZ"/>
          <w14:ligatures w14:val="standardContextual"/>
        </w:rPr>
        <w:t>). It also includes the EUCAST-established breakpoints for disk-based antimicrobial susceptibility testing.</w:t>
      </w:r>
    </w:p>
    <w:p w14:paraId="56FED8F0" w14:textId="77777777" w:rsidR="00321A50" w:rsidRPr="00E741C0" w:rsidRDefault="00321A50" w:rsidP="006B2D5B">
      <w:pPr>
        <w:rPr>
          <w:rFonts w:cs="Times New Roman"/>
          <w:color w:val="000000" w:themeColor="text1"/>
          <w:szCs w:val="24"/>
        </w:rPr>
      </w:pPr>
    </w:p>
    <w:p w14:paraId="31810819" w14:textId="77777777" w:rsidR="000C40A7" w:rsidRPr="00E741C0" w:rsidRDefault="000C40A7" w:rsidP="000C40A7">
      <w:pPr>
        <w:spacing w:before="0" w:after="160"/>
        <w:jc w:val="both"/>
        <w:rPr>
          <w:rFonts w:eastAsia="Calibri" w:cs="Times New Roman"/>
          <w:b/>
          <w:bCs/>
          <w:color w:val="000000" w:themeColor="text1"/>
          <w:kern w:val="2"/>
          <w:szCs w:val="24"/>
          <w:lang w:val="en-NZ"/>
          <w14:ligatures w14:val="standardContextual"/>
        </w:rPr>
      </w:pPr>
      <w:r w:rsidRPr="00E741C0">
        <w:rPr>
          <w:rFonts w:eastAsia="Calibri" w:cs="Times New Roman"/>
          <w:b/>
          <w:bCs/>
          <w:color w:val="000000" w:themeColor="text1"/>
          <w:kern w:val="2"/>
          <w:szCs w:val="24"/>
          <w:lang w:val="en-NZ"/>
          <w14:ligatures w14:val="standardContextual"/>
        </w:rPr>
        <w:t>DNA extraction and whole genome sequencing</w:t>
      </w:r>
    </w:p>
    <w:p w14:paraId="4A46D062" w14:textId="4598CF23" w:rsidR="0023191C" w:rsidRPr="00E741C0" w:rsidRDefault="000C40A7" w:rsidP="008A4790">
      <w:pPr>
        <w:spacing w:after="160"/>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lang w:val="en-GB"/>
          <w14:ligatures w14:val="standardContextual"/>
        </w:rPr>
        <w:t>Bacterial isolates were plated onto</w:t>
      </w:r>
      <w:r w:rsidRPr="00E741C0">
        <w:rPr>
          <w:rFonts w:eastAsia="Calibri" w:cs="Times New Roman"/>
          <w:color w:val="000000" w:themeColor="text1"/>
          <w:kern w:val="2"/>
          <w:szCs w:val="24"/>
          <w:lang w:val="en-NZ"/>
          <w14:ligatures w14:val="standardContextual"/>
        </w:rPr>
        <w:t xml:space="preserve"> LB agar (Lennox L agar)</w:t>
      </w:r>
      <w:r w:rsidRPr="00E741C0">
        <w:rPr>
          <w:rFonts w:eastAsia="Calibri" w:cs="Times New Roman"/>
          <w:color w:val="000000" w:themeColor="text1"/>
          <w:kern w:val="2"/>
          <w:szCs w:val="24"/>
          <w:lang w:val="en-GB"/>
          <w14:ligatures w14:val="standardContextual"/>
        </w:rPr>
        <w:t xml:space="preserve"> and incubated overnight at 37</w:t>
      </w:r>
      <w:r w:rsidRPr="00E741C0">
        <w:rPr>
          <w:rFonts w:eastAsia="Calibri" w:cs="Times New Roman"/>
          <w:color w:val="000000" w:themeColor="text1"/>
          <w:kern w:val="2"/>
          <w:szCs w:val="24"/>
          <w:vertAlign w:val="superscript"/>
          <w:lang w:val="en-GB"/>
          <w14:ligatures w14:val="standardContextual"/>
        </w:rPr>
        <w:t>◦</w:t>
      </w:r>
      <w:r w:rsidRPr="00E741C0">
        <w:rPr>
          <w:rFonts w:eastAsia="Calibri" w:cs="Times New Roman"/>
          <w:color w:val="000000" w:themeColor="text1"/>
          <w:kern w:val="2"/>
          <w:szCs w:val="24"/>
          <w:lang w:val="en-GB"/>
          <w14:ligatures w14:val="standardContextual"/>
        </w:rPr>
        <w:t xml:space="preserve">C. Genomic DNA was </w:t>
      </w:r>
      <w:r w:rsidRPr="00E741C0">
        <w:rPr>
          <w:rFonts w:eastAsia="Calibri" w:cs="Times New Roman"/>
          <w:color w:val="000000" w:themeColor="text1"/>
          <w:kern w:val="2"/>
          <w:szCs w:val="24"/>
          <w:lang w:val="en-NZ"/>
          <w14:ligatures w14:val="standardContextual"/>
        </w:rPr>
        <w:t xml:space="preserve">extracted from overnight cultures using the </w:t>
      </w:r>
      <w:proofErr w:type="spellStart"/>
      <w:r w:rsidRPr="00E741C0">
        <w:rPr>
          <w:rFonts w:eastAsia="Calibri" w:cs="Times New Roman"/>
          <w:color w:val="000000" w:themeColor="text1"/>
          <w:kern w:val="2"/>
          <w:szCs w:val="24"/>
          <w:lang w:val="en-NZ"/>
          <w14:ligatures w14:val="standardContextual"/>
        </w:rPr>
        <w:t>NucleoSpin</w:t>
      </w:r>
      <w:proofErr w:type="spellEnd"/>
      <w:r w:rsidRPr="00E741C0">
        <w:rPr>
          <w:rFonts w:eastAsia="Calibri" w:cs="Times New Roman"/>
          <w:color w:val="000000" w:themeColor="text1"/>
          <w:kern w:val="2"/>
          <w:szCs w:val="24"/>
          <w:lang w:val="en-NZ"/>
          <w14:ligatures w14:val="standardContextual"/>
        </w:rPr>
        <w:t xml:space="preserve">® Tissue kit (MACHEREY-NAGEL, </w:t>
      </w:r>
      <w:proofErr w:type="spellStart"/>
      <w:r w:rsidRPr="00E741C0">
        <w:rPr>
          <w:rFonts w:eastAsia="Calibri" w:cs="Times New Roman"/>
          <w:color w:val="000000" w:themeColor="text1"/>
          <w:kern w:val="2"/>
          <w:szCs w:val="24"/>
          <w:lang w:val="en-NZ"/>
          <w14:ligatures w14:val="standardContextual"/>
        </w:rPr>
        <w:t>Düren</w:t>
      </w:r>
      <w:proofErr w:type="spellEnd"/>
      <w:r w:rsidRPr="00E741C0">
        <w:rPr>
          <w:rFonts w:eastAsia="Calibri" w:cs="Times New Roman"/>
          <w:color w:val="000000" w:themeColor="text1"/>
          <w:kern w:val="2"/>
          <w:szCs w:val="24"/>
          <w:lang w:val="en-NZ"/>
          <w14:ligatures w14:val="standardContextual"/>
        </w:rPr>
        <w:t>, Germany) following the manufacturer’s instructions. The quality and quantity of DNA was determined by Qubit 4</w:t>
      </w:r>
      <w:r w:rsidRPr="00E741C0">
        <w:rPr>
          <w:rFonts w:eastAsia="Calibri" w:cs="Times New Roman"/>
          <w:bCs/>
          <w:color w:val="000000" w:themeColor="text1"/>
          <w:kern w:val="2"/>
          <w:szCs w:val="24"/>
          <w:lang w:val="en-NZ"/>
          <w14:ligatures w14:val="standardContextual"/>
        </w:rPr>
        <w:t>·</w:t>
      </w:r>
      <w:r w:rsidRPr="00E741C0">
        <w:rPr>
          <w:rFonts w:eastAsia="Calibri" w:cs="Times New Roman"/>
          <w:color w:val="000000" w:themeColor="text1"/>
          <w:kern w:val="2"/>
          <w:szCs w:val="24"/>
          <w:lang w:val="en-NZ"/>
          <w14:ligatures w14:val="standardContextual"/>
        </w:rPr>
        <w:t xml:space="preserve">0 Fluorometer (Invitrogen, </w:t>
      </w:r>
      <w:proofErr w:type="spellStart"/>
      <w:r w:rsidRPr="00E741C0">
        <w:rPr>
          <w:rFonts w:eastAsia="Calibri" w:cs="Times New Roman"/>
          <w:color w:val="000000" w:themeColor="text1"/>
          <w:kern w:val="2"/>
          <w:szCs w:val="24"/>
          <w:lang w:val="en-NZ"/>
          <w14:ligatures w14:val="standardContextual"/>
        </w:rPr>
        <w:t>Thermo</w:t>
      </w:r>
      <w:proofErr w:type="spellEnd"/>
      <w:r w:rsidRPr="00E741C0">
        <w:rPr>
          <w:rFonts w:eastAsia="Calibri" w:cs="Times New Roman"/>
          <w:color w:val="000000" w:themeColor="text1"/>
          <w:kern w:val="2"/>
          <w:szCs w:val="24"/>
          <w:lang w:val="en-NZ"/>
          <w14:ligatures w14:val="standardContextual"/>
        </w:rPr>
        <w:t xml:space="preserve"> Fisher Scientific, Singapore) and Nanodrop (</w:t>
      </w:r>
      <w:proofErr w:type="spellStart"/>
      <w:r w:rsidRPr="00E741C0">
        <w:rPr>
          <w:rFonts w:eastAsia="Calibri" w:cs="Times New Roman"/>
          <w:color w:val="000000" w:themeColor="text1"/>
          <w:kern w:val="2"/>
          <w:szCs w:val="24"/>
          <w:lang w:val="en-NZ"/>
          <w14:ligatures w14:val="standardContextual"/>
        </w:rPr>
        <w:t>ThermoFisher</w:t>
      </w:r>
      <w:proofErr w:type="spellEnd"/>
      <w:r w:rsidRPr="00E741C0">
        <w:rPr>
          <w:rFonts w:eastAsia="Calibri" w:cs="Times New Roman"/>
          <w:color w:val="000000" w:themeColor="text1"/>
          <w:kern w:val="2"/>
          <w:szCs w:val="24"/>
          <w:lang w:val="en-NZ"/>
          <w14:ligatures w14:val="standardContextual"/>
        </w:rPr>
        <w:t xml:space="preserve"> Scientific, MA, USA). Sample integrity and purity were also assessed by agarose gel electrophoresis (concentration of agarose gel: 1%; voltage: 150 V; electrophoresis time: 40 min). DNA samples were submitted to the Otago Genomics Facility at the University of Otago in Dunedin, New Zealand, for the purpose of library construction and sequencing using the Illumina platform. </w:t>
      </w:r>
      <w:bookmarkStart w:id="7" w:name="_Hlk170598185"/>
      <w:r w:rsidR="008A4790" w:rsidRPr="00E741C0">
        <w:rPr>
          <w:rFonts w:eastAsia="Calibri" w:cs="Times New Roman"/>
          <w:color w:val="000000" w:themeColor="text1"/>
          <w:kern w:val="2"/>
          <w:szCs w:val="24"/>
          <w14:ligatures w14:val="standardContextual"/>
        </w:rPr>
        <w:t xml:space="preserve">Representative isolates from </w:t>
      </w:r>
      <w:proofErr w:type="spellStart"/>
      <w:r w:rsidR="008A4790" w:rsidRPr="00E741C0">
        <w:rPr>
          <w:rFonts w:eastAsia="Calibri" w:cs="Times New Roman"/>
          <w:color w:val="000000" w:themeColor="text1"/>
          <w:kern w:val="2"/>
          <w:szCs w:val="24"/>
          <w14:ligatures w14:val="standardContextual"/>
        </w:rPr>
        <w:t>CR</w:t>
      </w:r>
      <w:r w:rsidR="008A4790" w:rsidRPr="00E741C0">
        <w:rPr>
          <w:rFonts w:eastAsia="Calibri" w:cs="Times New Roman"/>
          <w:i/>
          <w:iCs/>
          <w:color w:val="000000" w:themeColor="text1"/>
          <w:kern w:val="2"/>
          <w:szCs w:val="24"/>
          <w14:ligatures w14:val="standardContextual"/>
        </w:rPr>
        <w:t>Ab</w:t>
      </w:r>
      <w:proofErr w:type="spellEnd"/>
      <w:r w:rsidR="008A4790" w:rsidRPr="00E741C0">
        <w:rPr>
          <w:rFonts w:eastAsia="Calibri" w:cs="Times New Roman"/>
          <w:i/>
          <w:iCs/>
          <w:color w:val="000000" w:themeColor="text1"/>
          <w:kern w:val="2"/>
          <w:szCs w:val="24"/>
          <w14:ligatures w14:val="standardContextual"/>
        </w:rPr>
        <w:t xml:space="preserve"> </w:t>
      </w:r>
      <w:r w:rsidR="008A4790" w:rsidRPr="00E741C0">
        <w:rPr>
          <w:rFonts w:eastAsia="Calibri" w:cs="Times New Roman"/>
          <w:color w:val="000000" w:themeColor="text1"/>
          <w:kern w:val="2"/>
          <w:szCs w:val="24"/>
          <w14:ligatures w14:val="standardContextual"/>
        </w:rPr>
        <w:t xml:space="preserve">carrying </w:t>
      </w:r>
      <w:r w:rsidR="008A4790" w:rsidRPr="00E741C0">
        <w:rPr>
          <w:rFonts w:eastAsia="Calibri" w:cs="Times New Roman"/>
          <w:i/>
          <w:iCs/>
          <w:color w:val="000000" w:themeColor="text1"/>
          <w:kern w:val="2"/>
          <w:szCs w:val="24"/>
          <w14:ligatures w14:val="standardContextual"/>
        </w:rPr>
        <w:t>bla</w:t>
      </w:r>
      <w:r w:rsidR="008A4790" w:rsidRPr="00E741C0">
        <w:rPr>
          <w:rFonts w:eastAsia="Calibri" w:cs="Times New Roman"/>
          <w:color w:val="000000" w:themeColor="text1"/>
          <w:kern w:val="2"/>
          <w:szCs w:val="24"/>
          <w:vertAlign w:val="subscript"/>
          <w14:ligatures w14:val="standardContextual"/>
        </w:rPr>
        <w:t xml:space="preserve">NDM-1 </w:t>
      </w:r>
      <w:r w:rsidR="008A4790" w:rsidRPr="00E741C0">
        <w:rPr>
          <w:rFonts w:eastAsia="Calibri" w:cs="Times New Roman"/>
          <w:color w:val="000000" w:themeColor="text1"/>
          <w:kern w:val="2"/>
          <w:szCs w:val="24"/>
          <w14:ligatures w14:val="standardContextual"/>
        </w:rPr>
        <w:t xml:space="preserve">underwent supplementary sequencing using the </w:t>
      </w:r>
      <w:proofErr w:type="spellStart"/>
      <w:r w:rsidR="008A4790" w:rsidRPr="00E741C0">
        <w:rPr>
          <w:rFonts w:eastAsia="Calibri" w:cs="Times New Roman"/>
          <w:color w:val="000000" w:themeColor="text1"/>
          <w:kern w:val="2"/>
          <w:szCs w:val="24"/>
          <w14:ligatures w14:val="standardContextual"/>
        </w:rPr>
        <w:t>MinION</w:t>
      </w:r>
      <w:proofErr w:type="spellEnd"/>
      <w:r w:rsidR="008A4790" w:rsidRPr="00E741C0">
        <w:rPr>
          <w:rFonts w:eastAsia="Calibri" w:cs="Times New Roman"/>
          <w:color w:val="000000" w:themeColor="text1"/>
          <w:kern w:val="2"/>
          <w:szCs w:val="24"/>
          <w14:ligatures w14:val="standardContextual"/>
        </w:rPr>
        <w:t xml:space="preserve"> sequencer (Oxford Nanopore Technologies, </w:t>
      </w:r>
      <w:r w:rsidR="008A4790" w:rsidRPr="00E741C0">
        <w:rPr>
          <w:rFonts w:eastAsia="Calibri" w:cs="Times New Roman"/>
          <w:color w:val="000000" w:themeColor="text1"/>
          <w:kern w:val="2"/>
          <w:szCs w:val="24"/>
          <w14:ligatures w14:val="standardContextual"/>
        </w:rPr>
        <w:lastRenderedPageBreak/>
        <w:t xml:space="preserve">ONT). The resulting ONT reads were combined with the BGI short reads using the </w:t>
      </w:r>
      <w:proofErr w:type="spellStart"/>
      <w:r w:rsidR="008A4790" w:rsidRPr="00E741C0">
        <w:rPr>
          <w:rFonts w:eastAsia="Calibri" w:cs="Times New Roman"/>
          <w:color w:val="000000" w:themeColor="text1"/>
          <w:kern w:val="2"/>
          <w:szCs w:val="24"/>
          <w14:ligatures w14:val="standardContextual"/>
        </w:rPr>
        <w:t>Unicycler</w:t>
      </w:r>
      <w:proofErr w:type="spellEnd"/>
      <w:r w:rsidR="008A4790" w:rsidRPr="00E741C0">
        <w:rPr>
          <w:rFonts w:eastAsia="Calibri" w:cs="Times New Roman"/>
          <w:color w:val="000000" w:themeColor="text1"/>
          <w:kern w:val="2"/>
          <w:szCs w:val="24"/>
          <w14:ligatures w14:val="standardContextual"/>
        </w:rPr>
        <w:t xml:space="preserve"> hybrid assembly pipeline v0·4·9b to generate complete genomes </w:t>
      </w:r>
      <w:bookmarkStart w:id="8" w:name="_Hlk148868443"/>
      <w:r w:rsidR="008A4790" w:rsidRPr="00E741C0">
        <w:rPr>
          <w:rFonts w:eastAsia="Calibri" w:cs="Times New Roman"/>
          <w:color w:val="000000" w:themeColor="text1"/>
          <w:kern w:val="2"/>
          <w:szCs w:val="24"/>
          <w:vertAlign w:val="superscript"/>
          <w14:ligatures w14:val="standardContextual"/>
        </w:rPr>
        <w:fldChar w:fldCharType="begin" w:fldLock="1"/>
      </w:r>
      <w:r w:rsidR="00184ADD" w:rsidRPr="00E741C0">
        <w:rPr>
          <w:rFonts w:eastAsia="Calibri" w:cs="Times New Roman"/>
          <w:color w:val="000000" w:themeColor="text1"/>
          <w:kern w:val="2"/>
          <w:szCs w:val="24"/>
          <w:vertAlign w:val="superscript"/>
          <w14:ligatures w14:val="standardContextual"/>
        </w:rPr>
        <w:instrText>ADDIN CSL_CITATION {"citationItems":[{"id":"ITEM-1","itemData":{"DOI":"10.1371/journal.pcbi.1005595","ISBN":"1111111111","ISSN":"15537358","PMID":"28594827","abstract":"The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github.com/rrwick/Unicycler.","author":[{"dropping-particle":"","family":"Wick","given":"Ryan R.","non-dropping-particle":"","parse-names":false,"suffix":""},{"dropping-particle":"","family":"Judd","given":"Louise M.","non-dropping-particle":"","parse-names":false,"suffix":""},{"dropping-particle":"","family":"Gorrie","given":"Claire L.","non-dropping-particle":"","parse-names":false,"suffix":""},{"dropping-particle":"","family":"Holt","given":"Kathryn E.","non-dropping-particle":"","parse-names":false,"suffix":""}],"container-title":"PLoS Computational Biology","id":"ITEM-1","issue":"6","issued":{"date-parts":[["2017","6","1"]]},"page":"1-22","publisher":"Public Library of Science","title":"Unicycler: Resolving bacterial genome assemblies from short and long sequencing reads","type":"article-journal","volume":"13"},"uris":["http://www.mendeley.com/documents/?uuid=85614f98-facc-4b59-9946-896786ba2085"]}],"mendeley":{"formattedCitation":"(Wick et al., 2017)","plainTextFormattedCitation":"(Wick et al., 2017)","previouslyFormattedCitation":"(Wick et al., 2017)"},"properties":{"noteIndex":0},"schema":"https://github.com/citation-style-language/schema/raw/master/csl-citation.json"}</w:instrText>
      </w:r>
      <w:r w:rsidR="008A4790" w:rsidRPr="00E741C0">
        <w:rPr>
          <w:rFonts w:eastAsia="Calibri" w:cs="Times New Roman"/>
          <w:color w:val="000000" w:themeColor="text1"/>
          <w:kern w:val="2"/>
          <w:szCs w:val="24"/>
          <w:vertAlign w:val="superscript"/>
          <w14:ligatures w14:val="standardContextual"/>
        </w:rPr>
        <w:fldChar w:fldCharType="separate"/>
      </w:r>
      <w:r w:rsidR="008A4790" w:rsidRPr="00E741C0">
        <w:rPr>
          <w:rFonts w:eastAsia="Calibri" w:cs="Times New Roman"/>
          <w:noProof/>
          <w:color w:val="000000" w:themeColor="text1"/>
          <w:kern w:val="2"/>
          <w:szCs w:val="24"/>
          <w14:ligatures w14:val="standardContextual"/>
        </w:rPr>
        <w:t>(Wick et al., 2017)</w:t>
      </w:r>
      <w:r w:rsidR="008A4790" w:rsidRPr="00E741C0">
        <w:rPr>
          <w:rFonts w:eastAsia="Calibri" w:cs="Times New Roman"/>
          <w:color w:val="000000" w:themeColor="text1"/>
          <w:kern w:val="2"/>
          <w:szCs w:val="24"/>
          <w:lang w:val="en-NZ"/>
          <w14:ligatures w14:val="standardContextual"/>
        </w:rPr>
        <w:fldChar w:fldCharType="end"/>
      </w:r>
      <w:bookmarkEnd w:id="8"/>
      <w:r w:rsidR="008A4790" w:rsidRPr="00E741C0">
        <w:rPr>
          <w:rFonts w:eastAsia="Calibri" w:cs="Times New Roman"/>
          <w:color w:val="000000" w:themeColor="text1"/>
          <w:kern w:val="2"/>
          <w:szCs w:val="24"/>
          <w:lang w:val="en-NZ"/>
          <w14:ligatures w14:val="standardContextual"/>
        </w:rPr>
        <w:t>.</w:t>
      </w:r>
      <w:r w:rsidR="008A4790" w:rsidRPr="00E741C0">
        <w:rPr>
          <w:rFonts w:eastAsia="Calibri" w:cs="Times New Roman"/>
          <w:color w:val="000000" w:themeColor="text1"/>
          <w:kern w:val="2"/>
          <w:szCs w:val="24"/>
          <w14:ligatures w14:val="standardContextual"/>
        </w:rPr>
        <w:t xml:space="preserve"> The complete genomes were used to detect the existence of plasmids and other mobile genetic elements (MGEs). </w:t>
      </w:r>
      <w:bookmarkEnd w:id="7"/>
    </w:p>
    <w:p w14:paraId="5D3ECD1B" w14:textId="1935E7CB" w:rsidR="0023191C" w:rsidRPr="00E741C0" w:rsidRDefault="008A4790" w:rsidP="000C40A7">
      <w:pPr>
        <w:spacing w:before="0" w:after="160"/>
        <w:jc w:val="both"/>
        <w:rPr>
          <w:rFonts w:eastAsia="Calibri" w:cs="Times New Roman"/>
          <w:color w:val="000000" w:themeColor="text1"/>
          <w:kern w:val="2"/>
          <w:szCs w:val="24"/>
          <w14:ligatures w14:val="standardContextual"/>
        </w:rPr>
      </w:pPr>
      <w:r w:rsidRPr="00E741C0">
        <w:rPr>
          <w:rFonts w:eastAsia="Calibri" w:cs="Times New Roman"/>
          <w:color w:val="000000" w:themeColor="text1"/>
          <w:kern w:val="2"/>
          <w:szCs w:val="24"/>
          <w14:ligatures w14:val="standardContextual"/>
        </w:rPr>
        <w:t xml:space="preserve">Representative isolates from </w:t>
      </w:r>
      <w:proofErr w:type="spellStart"/>
      <w:r w:rsidRPr="00E741C0">
        <w:rPr>
          <w:rFonts w:eastAsia="Calibri" w:cs="Times New Roman"/>
          <w:color w:val="000000" w:themeColor="text1"/>
          <w:kern w:val="2"/>
          <w:szCs w:val="24"/>
          <w14:ligatures w14:val="standardContextual"/>
        </w:rPr>
        <w:t>CR</w:t>
      </w:r>
      <w:r w:rsidRPr="00E741C0">
        <w:rPr>
          <w:rFonts w:eastAsia="Calibri" w:cs="Times New Roman"/>
          <w:i/>
          <w:iCs/>
          <w:color w:val="000000" w:themeColor="text1"/>
          <w:kern w:val="2"/>
          <w:szCs w:val="24"/>
          <w14:ligatures w14:val="standardContextual"/>
        </w:rPr>
        <w:t>Ab</w:t>
      </w:r>
      <w:proofErr w:type="spellEnd"/>
      <w:r w:rsidRPr="00E741C0">
        <w:rPr>
          <w:rFonts w:eastAsia="Calibri" w:cs="Times New Roman"/>
          <w:i/>
          <w:iCs/>
          <w:color w:val="000000" w:themeColor="text1"/>
          <w:kern w:val="2"/>
          <w:szCs w:val="24"/>
          <w14:ligatures w14:val="standardContextual"/>
        </w:rPr>
        <w:t xml:space="preserve"> </w:t>
      </w:r>
      <w:r w:rsidRPr="00E741C0">
        <w:rPr>
          <w:rFonts w:eastAsia="Calibri" w:cs="Times New Roman"/>
          <w:color w:val="000000" w:themeColor="text1"/>
          <w:kern w:val="2"/>
          <w:szCs w:val="24"/>
          <w14:ligatures w14:val="standardContextual"/>
        </w:rPr>
        <w:t xml:space="preserve">carrying </w:t>
      </w:r>
      <w:r w:rsidRPr="00E741C0">
        <w:rPr>
          <w:rFonts w:eastAsia="Calibri" w:cs="Times New Roman"/>
          <w:i/>
          <w:iCs/>
          <w:color w:val="000000" w:themeColor="text1"/>
          <w:kern w:val="2"/>
          <w:szCs w:val="24"/>
          <w14:ligatures w14:val="standardContextual"/>
        </w:rPr>
        <w:t>bla</w:t>
      </w:r>
      <w:r w:rsidRPr="00E741C0">
        <w:rPr>
          <w:rFonts w:eastAsia="Calibri" w:cs="Times New Roman"/>
          <w:color w:val="000000" w:themeColor="text1"/>
          <w:kern w:val="2"/>
          <w:szCs w:val="24"/>
          <w:vertAlign w:val="subscript"/>
          <w14:ligatures w14:val="standardContextual"/>
        </w:rPr>
        <w:t xml:space="preserve">NDM-1 </w:t>
      </w:r>
      <w:r w:rsidRPr="00E741C0">
        <w:rPr>
          <w:rFonts w:eastAsia="Calibri" w:cs="Times New Roman"/>
          <w:color w:val="000000" w:themeColor="text1"/>
          <w:kern w:val="2"/>
          <w:szCs w:val="24"/>
          <w14:ligatures w14:val="standardContextual"/>
        </w:rPr>
        <w:t xml:space="preserve">underwent supplementary sequencing using the </w:t>
      </w:r>
      <w:proofErr w:type="spellStart"/>
      <w:r w:rsidRPr="00E741C0">
        <w:rPr>
          <w:rFonts w:eastAsia="Calibri" w:cs="Times New Roman"/>
          <w:color w:val="000000" w:themeColor="text1"/>
          <w:kern w:val="2"/>
          <w:szCs w:val="24"/>
          <w14:ligatures w14:val="standardContextual"/>
        </w:rPr>
        <w:t>MinION</w:t>
      </w:r>
      <w:proofErr w:type="spellEnd"/>
      <w:r w:rsidRPr="00E741C0">
        <w:rPr>
          <w:rFonts w:eastAsia="Calibri" w:cs="Times New Roman"/>
          <w:color w:val="000000" w:themeColor="text1"/>
          <w:kern w:val="2"/>
          <w:szCs w:val="24"/>
          <w14:ligatures w14:val="standardContextual"/>
        </w:rPr>
        <w:t xml:space="preserve"> sequencer (Oxford Nanopore Technologies, ONT)</w:t>
      </w:r>
      <w:r w:rsidR="00F50236" w:rsidRPr="00E741C0">
        <w:rPr>
          <w:rFonts w:eastAsia="Calibri" w:cs="Times New Roman"/>
          <w:color w:val="000000" w:themeColor="text1"/>
          <w:kern w:val="2"/>
          <w:szCs w:val="24"/>
          <w14:ligatures w14:val="standardContextual"/>
        </w:rPr>
        <w:t xml:space="preserve"> </w:t>
      </w:r>
      <w:r w:rsidR="00F50236" w:rsidRPr="00E741C0">
        <w:rPr>
          <w:rFonts w:eastAsia="Calibri" w:cs="Times New Roman"/>
          <w:color w:val="000000" w:themeColor="text1"/>
          <w:kern w:val="2"/>
          <w:szCs w:val="24"/>
          <w14:ligatures w14:val="standardContextual"/>
        </w:rPr>
        <w:fldChar w:fldCharType="begin" w:fldLock="1"/>
      </w:r>
      <w:r w:rsidR="00184ADD" w:rsidRPr="00E741C0">
        <w:rPr>
          <w:rFonts w:eastAsia="Calibri" w:cs="Times New Roman"/>
          <w:color w:val="000000" w:themeColor="text1"/>
          <w:kern w:val="2"/>
          <w:szCs w:val="24"/>
          <w14:ligatures w14:val="standardContextual"/>
        </w:rPr>
        <w:instrText>ADDIN CSL_CITATION {"citationItems":[{"id":"ITEM-1","itemData":{"DOI":"10.1038/s41587-021-01108-x","ISBN":"4158702101108","ISSN":"15461696","PMID":"34750572","abstract":"Rapid advances in nanopore technologies for sequencing single long DNA and RNA molecules have led to substantial improvements in accuracy, read length and throughput. These breakthroughs have required extensive development of experimental and bioinformatics methods to fully exploit nanopore long reads for investigations of genomes, transcriptomes, epigenomes and epitranscriptomes. Nanopore sequencing is being applied in genome assembly, full-length transcript detection and base modification detection and in more specialized areas, such as rapid clinical diagnoses and outbreak surveillance. Many opportunities remain for improving data quality and analytical approaches through the development of new nanopores, base-calling methods and experimental protocols tailored to particular applications.","author":[{"dropping-particle":"","family":"Wang","given":"Yunhao","non-dropping-particle":"","parse-names":false,"suffix":""},{"dropping-particle":"","family":"Zhao","given":"Yue","non-dropping-particle":"","parse-names":false,"suffix":""},{"dropping-particle":"","family":"Bollas","given":"Audrey","non-dropping-particle":"","parse-names":false,"suffix":""},{"dropping-particle":"","family":"Wang","given":"Yuru","non-dropping-particle":"","parse-names":false,"suffix":""},{"dropping-particle":"","family":"Au","given":"Kin Fai","non-dropping-particle":"","parse-names":false,"suffix":""}],"container-title":"Nature Biotechnology","id":"ITEM-1","issue":"11","issued":{"date-parts":[["2021"]]},"page":"1348-1365","publisher":"Springer US","title":"Nanopore sequencing technology, bioinformatics and applications","type":"article-journal","volume":"39"},"uris":["http://www.mendeley.com/documents/?uuid=f67dd9e9-4f57-4371-a82c-b4eddc238682"]}],"mendeley":{"formattedCitation":"(Wang et al., 2021)","plainTextFormattedCitation":"(Wang et al., 2021)","previouslyFormattedCitation":"(Wang et al., 2021)"},"properties":{"noteIndex":0},"schema":"https://github.com/citation-style-language/schema/raw/master/csl-citation.json"}</w:instrText>
      </w:r>
      <w:r w:rsidR="00F50236" w:rsidRPr="00E741C0">
        <w:rPr>
          <w:rFonts w:eastAsia="Calibri" w:cs="Times New Roman"/>
          <w:color w:val="000000" w:themeColor="text1"/>
          <w:kern w:val="2"/>
          <w:szCs w:val="24"/>
          <w14:ligatures w14:val="standardContextual"/>
        </w:rPr>
        <w:fldChar w:fldCharType="separate"/>
      </w:r>
      <w:r w:rsidR="00F50236" w:rsidRPr="00E741C0">
        <w:rPr>
          <w:rFonts w:eastAsia="Calibri" w:cs="Times New Roman"/>
          <w:noProof/>
          <w:color w:val="000000" w:themeColor="text1"/>
          <w:kern w:val="2"/>
          <w:szCs w:val="24"/>
          <w14:ligatures w14:val="standardContextual"/>
        </w:rPr>
        <w:t>(Wang et al., 2021)</w:t>
      </w:r>
      <w:r w:rsidR="00F50236" w:rsidRPr="00E741C0">
        <w:rPr>
          <w:rFonts w:eastAsia="Calibri" w:cs="Times New Roman"/>
          <w:color w:val="000000" w:themeColor="text1"/>
          <w:kern w:val="2"/>
          <w:szCs w:val="24"/>
          <w14:ligatures w14:val="standardContextual"/>
        </w:rPr>
        <w:fldChar w:fldCharType="end"/>
      </w:r>
      <w:r w:rsidRPr="00E741C0">
        <w:rPr>
          <w:rFonts w:eastAsia="Calibri" w:cs="Times New Roman"/>
          <w:color w:val="000000" w:themeColor="text1"/>
          <w:kern w:val="2"/>
          <w:szCs w:val="24"/>
          <w14:ligatures w14:val="standardContextual"/>
        </w:rPr>
        <w:t>. DNA libraries were prepared using the ONT Rapid Barcoding Sequencing kit (SQK-RBK110·96) and sequenced using R9·4 (FLO-MIN106) flow cells</w:t>
      </w:r>
      <w:r w:rsidR="00F50236" w:rsidRPr="00E741C0">
        <w:rPr>
          <w:rFonts w:eastAsia="Calibri" w:cs="Times New Roman"/>
          <w:color w:val="000000" w:themeColor="text1"/>
          <w:kern w:val="2"/>
          <w:szCs w:val="24"/>
          <w14:ligatures w14:val="standardContextual"/>
        </w:rPr>
        <w:t xml:space="preserve"> </w:t>
      </w:r>
      <w:r w:rsidRPr="00E741C0">
        <w:rPr>
          <w:rFonts w:eastAsia="Calibri" w:cs="Times New Roman"/>
          <w:color w:val="000000" w:themeColor="text1"/>
          <w:kern w:val="2"/>
          <w:szCs w:val="24"/>
          <w:vertAlign w:val="superscript"/>
          <w14:ligatures w14:val="standardContextual"/>
        </w:rPr>
        <w:fldChar w:fldCharType="begin" w:fldLock="1"/>
      </w:r>
      <w:r w:rsidR="00184ADD" w:rsidRPr="00E741C0">
        <w:rPr>
          <w:rFonts w:eastAsia="Calibri" w:cs="Times New Roman"/>
          <w:color w:val="000000" w:themeColor="text1"/>
          <w:kern w:val="2"/>
          <w:szCs w:val="24"/>
          <w:vertAlign w:val="superscript"/>
          <w14:ligatures w14:val="standardContextual"/>
        </w:rPr>
        <w:instrText>ADDIN CSL_CITATION {"citationItems":[{"id":"ITEM-1","itemData":{"URL":"https://community.nanoporetech.com/docs/prepare/library_prep_protocols/rapid-barcoding-sequencing-sqk-rbk004/v/rbk_9054_v2_revac_14aug2019","accessed":{"date-parts":[["2022","6","21"]]},"author":[{"dropping-particle":"","family":"Oxford Nanopore Technologies","given":"","non-dropping-particle":"","parse-names":false,"suffix":""}],"id":"ITEM-1","issued":{"date-parts":[["0"]]},"title":"Community - Protocol - Rapid sequencing gDNA - barcoding (SQK-RBK004)","type":"webpage"},"uris":["http://www.mendeley.com/documents/?uuid=64c1a0c5-e30e-4617-8244-9c93ea91dcb6"]}],"mendeley":{"formattedCitation":"(Oxford Nanopore Technologies, n.d.)","manualFormatting":"(Oxford Nanopore Technologies)","plainTextFormattedCitation":"(Oxford Nanopore Technologies, n.d.)","previouslyFormattedCitation":"(Oxford Nanopore Technologies, n.d.)"},"properties":{"noteIndex":0},"schema":"https://github.com/citation-style-language/schema/raw/master/csl-citation.json"}</w:instrText>
      </w:r>
      <w:r w:rsidRPr="00E741C0">
        <w:rPr>
          <w:rFonts w:eastAsia="Calibri" w:cs="Times New Roman"/>
          <w:color w:val="000000" w:themeColor="text1"/>
          <w:kern w:val="2"/>
          <w:szCs w:val="24"/>
          <w:vertAlign w:val="superscript"/>
          <w14:ligatures w14:val="standardContextual"/>
        </w:rPr>
        <w:fldChar w:fldCharType="separate"/>
      </w:r>
      <w:r w:rsidR="00A3254A" w:rsidRPr="00E741C0">
        <w:rPr>
          <w:rFonts w:eastAsia="Calibri" w:cs="Times New Roman"/>
          <w:noProof/>
          <w:color w:val="000000" w:themeColor="text1"/>
          <w:kern w:val="2"/>
          <w:szCs w:val="24"/>
          <w14:ligatures w14:val="standardContextual"/>
        </w:rPr>
        <w:t>(Oxford Nanopore Technologies)</w:t>
      </w:r>
      <w:r w:rsidRPr="00E741C0">
        <w:rPr>
          <w:rFonts w:eastAsia="Calibri" w:cs="Times New Roman"/>
          <w:color w:val="000000" w:themeColor="text1"/>
          <w:kern w:val="2"/>
          <w:szCs w:val="24"/>
          <w:lang w:val="en-GB"/>
          <w14:ligatures w14:val="standardContextual"/>
        </w:rPr>
        <w:fldChar w:fldCharType="end"/>
      </w:r>
      <w:r w:rsidR="00A3254A" w:rsidRPr="00E741C0">
        <w:rPr>
          <w:rFonts w:eastAsia="Calibri" w:cs="Times New Roman"/>
          <w:color w:val="000000" w:themeColor="text1"/>
          <w:kern w:val="2"/>
          <w:szCs w:val="24"/>
          <w14:ligatures w14:val="standardContextual"/>
        </w:rPr>
        <w:t xml:space="preserve"> </w:t>
      </w:r>
      <w:r w:rsidRPr="00E741C0">
        <w:rPr>
          <w:rFonts w:eastAsia="Calibri" w:cs="Times New Roman"/>
          <w:color w:val="000000" w:themeColor="text1"/>
          <w:kern w:val="2"/>
          <w:szCs w:val="24"/>
          <w14:ligatures w14:val="standardContextual"/>
        </w:rPr>
        <w:t xml:space="preserve"> </w:t>
      </w:r>
      <w:r w:rsidRPr="00E741C0">
        <w:rPr>
          <w:rFonts w:eastAsia="Calibri" w:cs="Times New Roman"/>
          <w:color w:val="000000" w:themeColor="text1"/>
          <w:kern w:val="2"/>
          <w:szCs w:val="24"/>
          <w:lang w:val="en-NZ"/>
          <w14:ligatures w14:val="standardContextual"/>
        </w:rPr>
        <w:t xml:space="preserve">The sequencing run was conducted using </w:t>
      </w:r>
      <w:proofErr w:type="spellStart"/>
      <w:r w:rsidRPr="00E741C0">
        <w:rPr>
          <w:rFonts w:eastAsia="Calibri" w:cs="Times New Roman"/>
          <w:color w:val="000000" w:themeColor="text1"/>
          <w:kern w:val="2"/>
          <w:szCs w:val="24"/>
          <w:lang w:val="en-NZ"/>
          <w14:ligatures w14:val="standardContextual"/>
        </w:rPr>
        <w:t>MinKNOW</w:t>
      </w:r>
      <w:proofErr w:type="spellEnd"/>
      <w:r w:rsidRPr="00E741C0">
        <w:rPr>
          <w:rFonts w:eastAsia="Calibri" w:cs="Times New Roman"/>
          <w:color w:val="000000" w:themeColor="text1"/>
          <w:kern w:val="2"/>
          <w:szCs w:val="24"/>
          <w:lang w:val="en-NZ"/>
          <w14:ligatures w14:val="standardContextual"/>
        </w:rPr>
        <w:t xml:space="preserve"> software (v22</w:t>
      </w:r>
      <w:r w:rsidRPr="00E741C0">
        <w:rPr>
          <w:rFonts w:eastAsia="Calibri" w:cs="Times New Roman"/>
          <w:bCs/>
          <w:color w:val="000000" w:themeColor="text1"/>
          <w:kern w:val="2"/>
          <w:szCs w:val="24"/>
          <w:lang w:val="en-NZ"/>
          <w14:ligatures w14:val="standardContextual"/>
        </w:rPr>
        <w:t>·</w:t>
      </w:r>
      <w:r w:rsidRPr="00E741C0">
        <w:rPr>
          <w:rFonts w:eastAsia="Calibri" w:cs="Times New Roman"/>
          <w:color w:val="000000" w:themeColor="text1"/>
          <w:kern w:val="2"/>
          <w:szCs w:val="24"/>
          <w:lang w:val="en-NZ"/>
          <w14:ligatures w14:val="standardContextual"/>
        </w:rPr>
        <w:t>12</w:t>
      </w:r>
      <w:r w:rsidRPr="00E741C0">
        <w:rPr>
          <w:rFonts w:eastAsia="Calibri" w:cs="Times New Roman"/>
          <w:bCs/>
          <w:color w:val="000000" w:themeColor="text1"/>
          <w:kern w:val="2"/>
          <w:szCs w:val="24"/>
          <w:lang w:val="en-NZ"/>
          <w14:ligatures w14:val="standardContextual"/>
        </w:rPr>
        <w:t>·</w:t>
      </w:r>
      <w:r w:rsidRPr="00E741C0">
        <w:rPr>
          <w:rFonts w:eastAsia="Calibri" w:cs="Times New Roman"/>
          <w:color w:val="000000" w:themeColor="text1"/>
          <w:kern w:val="2"/>
          <w:szCs w:val="24"/>
          <w:lang w:val="en-NZ"/>
          <w14:ligatures w14:val="standardContextual"/>
        </w:rPr>
        <w:t xml:space="preserve">7). </w:t>
      </w:r>
      <w:r w:rsidRPr="00E741C0">
        <w:rPr>
          <w:rFonts w:eastAsia="Calibri" w:cs="Times New Roman"/>
          <w:color w:val="000000" w:themeColor="text1"/>
          <w:kern w:val="2"/>
          <w:szCs w:val="24"/>
          <w14:ligatures w14:val="standardContextual"/>
        </w:rPr>
        <w:t xml:space="preserve">The resulting ONT reads were combined with the BGI short reads using the </w:t>
      </w:r>
      <w:proofErr w:type="spellStart"/>
      <w:r w:rsidRPr="00E741C0">
        <w:rPr>
          <w:rFonts w:eastAsia="Calibri" w:cs="Times New Roman"/>
          <w:color w:val="000000" w:themeColor="text1"/>
          <w:kern w:val="2"/>
          <w:szCs w:val="24"/>
          <w14:ligatures w14:val="standardContextual"/>
        </w:rPr>
        <w:t>Unicycler</w:t>
      </w:r>
      <w:proofErr w:type="spellEnd"/>
      <w:r w:rsidRPr="00E741C0">
        <w:rPr>
          <w:rFonts w:eastAsia="Calibri" w:cs="Times New Roman"/>
          <w:color w:val="000000" w:themeColor="text1"/>
          <w:kern w:val="2"/>
          <w:szCs w:val="24"/>
          <w14:ligatures w14:val="standardContextual"/>
        </w:rPr>
        <w:t xml:space="preserve"> hybrid assembly pipeline v0·4·9b to generate complete genomes </w:t>
      </w:r>
      <w:r w:rsidRPr="00E741C0">
        <w:rPr>
          <w:rFonts w:eastAsia="Calibri" w:cs="Times New Roman"/>
          <w:color w:val="000000" w:themeColor="text1"/>
          <w:kern w:val="2"/>
          <w:szCs w:val="24"/>
          <w:vertAlign w:val="superscript"/>
          <w14:ligatures w14:val="standardContextual"/>
        </w:rPr>
        <w:fldChar w:fldCharType="begin" w:fldLock="1"/>
      </w:r>
      <w:r w:rsidR="00184ADD" w:rsidRPr="00E741C0">
        <w:rPr>
          <w:rFonts w:eastAsia="Calibri" w:cs="Times New Roman"/>
          <w:color w:val="000000" w:themeColor="text1"/>
          <w:kern w:val="2"/>
          <w:szCs w:val="24"/>
          <w:vertAlign w:val="superscript"/>
          <w14:ligatures w14:val="standardContextual"/>
        </w:rPr>
        <w:instrText>ADDIN CSL_CITATION {"citationItems":[{"id":"ITEM-1","itemData":{"DOI":"10.1371/journal.pcbi.1005595","ISBN":"1111111111","ISSN":"15537358","PMID":"28594827","abstract":"The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github.com/rrwick/Unicycler.","author":[{"dropping-particle":"","family":"Wick","given":"Ryan R.","non-dropping-particle":"","parse-names":false,"suffix":""},{"dropping-particle":"","family":"Judd","given":"Louise M.","non-dropping-particle":"","parse-names":false,"suffix":""},{"dropping-particle":"","family":"Gorrie","given":"Claire L.","non-dropping-particle":"","parse-names":false,"suffix":""},{"dropping-particle":"","family":"Holt","given":"Kathryn E.","non-dropping-particle":"","parse-names":false,"suffix":""}],"container-title":"PLoS Computational Biology","id":"ITEM-1","issue":"6","issued":{"date-parts":[["2017","6","1"]]},"page":"1-22","publisher":"Public Library of Science","title":"Unicycler: Resolving bacterial genome assemblies from short and long sequencing reads","type":"article-journal","volume":"13"},"uris":["http://www.mendeley.com/documents/?uuid=85614f98-facc-4b59-9946-896786ba2085"]}],"mendeley":{"formattedCitation":"(Wick et al., 2017)","plainTextFormattedCitation":"(Wick et al., 2017)","previouslyFormattedCitation":"(Wick et al., 2017)"},"properties":{"noteIndex":0},"schema":"https://github.com/citation-style-language/schema/raw/master/csl-citation.json"}</w:instrText>
      </w:r>
      <w:r w:rsidRPr="00E741C0">
        <w:rPr>
          <w:rFonts w:eastAsia="Calibri" w:cs="Times New Roman"/>
          <w:color w:val="000000" w:themeColor="text1"/>
          <w:kern w:val="2"/>
          <w:szCs w:val="24"/>
          <w:vertAlign w:val="superscript"/>
          <w14:ligatures w14:val="standardContextual"/>
        </w:rPr>
        <w:fldChar w:fldCharType="separate"/>
      </w:r>
      <w:r w:rsidRPr="00E741C0">
        <w:rPr>
          <w:rFonts w:eastAsia="Calibri" w:cs="Times New Roman"/>
          <w:noProof/>
          <w:color w:val="000000" w:themeColor="text1"/>
          <w:kern w:val="2"/>
          <w:szCs w:val="24"/>
          <w14:ligatures w14:val="standardContextual"/>
        </w:rPr>
        <w:t>(Wick et al., 2017)</w:t>
      </w:r>
      <w:r w:rsidRPr="00E741C0">
        <w:rPr>
          <w:rFonts w:eastAsia="Calibri" w:cs="Times New Roman"/>
          <w:color w:val="000000" w:themeColor="text1"/>
          <w:kern w:val="2"/>
          <w:szCs w:val="24"/>
          <w:lang w:val="en-GB"/>
          <w14:ligatures w14:val="standardContextual"/>
        </w:rPr>
        <w:fldChar w:fldCharType="end"/>
      </w:r>
      <w:r w:rsidRPr="00E741C0">
        <w:rPr>
          <w:rFonts w:eastAsia="Calibri" w:cs="Times New Roman"/>
          <w:color w:val="000000" w:themeColor="text1"/>
          <w:kern w:val="2"/>
          <w:szCs w:val="24"/>
          <w:lang w:val="en-NZ"/>
          <w14:ligatures w14:val="standardContextual"/>
        </w:rPr>
        <w:t>.</w:t>
      </w:r>
      <w:r w:rsidRPr="00E741C0">
        <w:rPr>
          <w:rFonts w:eastAsia="Calibri" w:cs="Times New Roman"/>
          <w:color w:val="000000" w:themeColor="text1"/>
          <w:kern w:val="2"/>
          <w:szCs w:val="24"/>
          <w14:ligatures w14:val="standardContextual"/>
        </w:rPr>
        <w:t xml:space="preserve"> The complete genomes were used to detect the existence of plasmids and other mobile genetic elements (MGEs).</w:t>
      </w:r>
    </w:p>
    <w:p w14:paraId="5EC7BBF4" w14:textId="77777777" w:rsidR="00D82DB4" w:rsidRPr="00E741C0" w:rsidRDefault="00D82DB4" w:rsidP="000C40A7">
      <w:pPr>
        <w:spacing w:before="0" w:after="160"/>
        <w:jc w:val="both"/>
        <w:rPr>
          <w:rFonts w:eastAsia="Calibri" w:cs="Times New Roman"/>
          <w:color w:val="000000" w:themeColor="text1"/>
          <w:kern w:val="2"/>
          <w:szCs w:val="24"/>
          <w:lang w:val="en-GB"/>
          <w14:ligatures w14:val="standardContextual"/>
        </w:rPr>
      </w:pPr>
    </w:p>
    <w:p w14:paraId="1FAFA891" w14:textId="77777777" w:rsidR="000C40A7" w:rsidRPr="00E741C0" w:rsidRDefault="000C40A7" w:rsidP="000C40A7">
      <w:pPr>
        <w:spacing w:before="0" w:after="160"/>
        <w:jc w:val="both"/>
        <w:rPr>
          <w:rFonts w:eastAsia="Calibri" w:cs="Times New Roman"/>
          <w:b/>
          <w:bCs/>
          <w:color w:val="000000" w:themeColor="text1"/>
          <w:kern w:val="2"/>
          <w:szCs w:val="24"/>
          <w:lang w:val="en-GB"/>
          <w14:ligatures w14:val="standardContextual"/>
        </w:rPr>
      </w:pPr>
      <w:r w:rsidRPr="00E741C0">
        <w:rPr>
          <w:rFonts w:eastAsia="Calibri" w:cs="Times New Roman"/>
          <w:b/>
          <w:bCs/>
          <w:color w:val="000000" w:themeColor="text1"/>
          <w:kern w:val="2"/>
          <w:szCs w:val="24"/>
          <w:lang w:val="en-GB"/>
          <w14:ligatures w14:val="standardContextual"/>
        </w:rPr>
        <w:t>Bioinformatics analysis</w:t>
      </w:r>
    </w:p>
    <w:p w14:paraId="30E276E7" w14:textId="5323F89F" w:rsidR="000C40A7" w:rsidRPr="00E741C0" w:rsidRDefault="000C40A7" w:rsidP="000C40A7">
      <w:pPr>
        <w:spacing w:before="0" w:after="160"/>
        <w:jc w:val="both"/>
        <w:rPr>
          <w:rFonts w:eastAsia="Calibri" w:cs="Times New Roman"/>
          <w:b/>
          <w:bCs/>
          <w:color w:val="000000" w:themeColor="text1"/>
          <w:kern w:val="2"/>
          <w:szCs w:val="24"/>
          <w:lang w:val="en-NZ"/>
          <w14:ligatures w14:val="standardContextual"/>
        </w:rPr>
      </w:pPr>
      <w:r w:rsidRPr="00E741C0">
        <w:rPr>
          <w:rFonts w:eastAsia="Calibri" w:cs="Times New Roman"/>
          <w:color w:val="000000" w:themeColor="text1"/>
          <w:kern w:val="2"/>
          <w:szCs w:val="24"/>
          <w:lang w:val="en-NZ"/>
          <w14:ligatures w14:val="standardContextual"/>
        </w:rPr>
        <w:t xml:space="preserve">The sequence reads' quality, species identification, </w:t>
      </w:r>
      <w:proofErr w:type="spellStart"/>
      <w:r w:rsidRPr="00E741C0">
        <w:rPr>
          <w:rFonts w:eastAsia="Calibri" w:cs="Times New Roman"/>
          <w:color w:val="000000" w:themeColor="text1"/>
          <w:kern w:val="2"/>
          <w:szCs w:val="24"/>
          <w:lang w:val="en-NZ"/>
          <w14:ligatures w14:val="standardContextual"/>
        </w:rPr>
        <w:t>multilocus</w:t>
      </w:r>
      <w:proofErr w:type="spellEnd"/>
      <w:r w:rsidRPr="00E741C0">
        <w:rPr>
          <w:rFonts w:eastAsia="Calibri" w:cs="Times New Roman"/>
          <w:color w:val="000000" w:themeColor="text1"/>
          <w:kern w:val="2"/>
          <w:szCs w:val="24"/>
          <w:lang w:val="en-NZ"/>
          <w14:ligatures w14:val="standardContextual"/>
        </w:rPr>
        <w:t xml:space="preserve"> sequence type (ST), and phylogenetic relationships of the isolates were assessed using the </w:t>
      </w:r>
      <w:proofErr w:type="spellStart"/>
      <w:r w:rsidRPr="00E741C0">
        <w:rPr>
          <w:rFonts w:eastAsia="Calibri" w:cs="Times New Roman"/>
          <w:color w:val="000000" w:themeColor="text1"/>
          <w:kern w:val="2"/>
          <w:szCs w:val="24"/>
          <w:lang w:val="en-NZ"/>
          <w14:ligatures w14:val="standardContextual"/>
        </w:rPr>
        <w:t>Nullarbor</w:t>
      </w:r>
      <w:proofErr w:type="spellEnd"/>
      <w:r w:rsidRPr="00E741C0">
        <w:rPr>
          <w:rFonts w:eastAsia="Calibri" w:cs="Times New Roman"/>
          <w:color w:val="000000" w:themeColor="text1"/>
          <w:kern w:val="2"/>
          <w:szCs w:val="24"/>
          <w:lang w:val="en-NZ"/>
          <w14:ligatures w14:val="standardContextual"/>
        </w:rPr>
        <w:t xml:space="preserve"> bioinformatics pipeline version 2.0 (</w:t>
      </w:r>
      <w:hyperlink r:id="rId14" w:history="1">
        <w:r w:rsidRPr="00E741C0">
          <w:rPr>
            <w:rFonts w:eastAsia="Calibri" w:cs="Times New Roman"/>
            <w:color w:val="000000" w:themeColor="text1"/>
            <w:kern w:val="2"/>
            <w:szCs w:val="24"/>
            <w:u w:val="single"/>
            <w:lang w:val="en-NZ"/>
            <w14:ligatures w14:val="standardContextual"/>
          </w:rPr>
          <w:t>https://github.com/tseemann/nullarbor</w:t>
        </w:r>
      </w:hyperlink>
      <w:r w:rsidRPr="00E741C0">
        <w:rPr>
          <w:rFonts w:eastAsia="Calibri" w:cs="Times New Roman"/>
          <w:color w:val="000000" w:themeColor="text1"/>
          <w:kern w:val="2"/>
          <w:szCs w:val="24"/>
          <w:lang w:val="en-NZ"/>
          <w14:ligatures w14:val="standardContextual"/>
        </w:rPr>
        <w:t xml:space="preserve">). Initially, raw sequence reads underwent quality and adapter contamination checks with </w:t>
      </w:r>
      <w:proofErr w:type="spellStart"/>
      <w:r w:rsidRPr="00E741C0">
        <w:rPr>
          <w:rFonts w:eastAsia="Calibri" w:cs="Times New Roman"/>
          <w:color w:val="000000" w:themeColor="text1"/>
          <w:kern w:val="2"/>
          <w:szCs w:val="24"/>
          <w:lang w:val="en-NZ"/>
          <w14:ligatures w14:val="standardContextual"/>
        </w:rPr>
        <w:t>Trimmomatic</w:t>
      </w:r>
      <w:proofErr w:type="spellEnd"/>
      <w:r w:rsidRPr="00E741C0">
        <w:rPr>
          <w:rFonts w:eastAsia="Calibri" w:cs="Times New Roman"/>
          <w:color w:val="000000" w:themeColor="text1"/>
          <w:kern w:val="2"/>
          <w:szCs w:val="24"/>
          <w:lang w:val="en-NZ"/>
          <w14:ligatures w14:val="standardContextual"/>
        </w:rPr>
        <w:t xml:space="preserve"> (v.0.39) to eliminate low-quality bases and adapters. Cleaned reads were then mapped against a known genome database using centrifuge (v1.0.3-beta) for taxonomic labels or species identification. Subsequently, the cleaned reads were assembled into contigs using </w:t>
      </w:r>
      <w:proofErr w:type="spellStart"/>
      <w:r w:rsidRPr="00E741C0">
        <w:rPr>
          <w:rFonts w:eastAsia="Calibri" w:cs="Times New Roman"/>
          <w:color w:val="000000" w:themeColor="text1"/>
          <w:kern w:val="2"/>
          <w:szCs w:val="24"/>
          <w:lang w:val="en-NZ"/>
          <w14:ligatures w14:val="standardContextual"/>
        </w:rPr>
        <w:t>SPAdes</w:t>
      </w:r>
      <w:proofErr w:type="spellEnd"/>
      <w:r w:rsidRPr="00E741C0">
        <w:rPr>
          <w:rFonts w:eastAsia="Calibri" w:cs="Times New Roman"/>
          <w:color w:val="000000" w:themeColor="text1"/>
          <w:kern w:val="2"/>
          <w:szCs w:val="24"/>
          <w:lang w:val="en-NZ"/>
          <w14:ligatures w14:val="standardContextual"/>
        </w:rPr>
        <w:t xml:space="preserve"> (v3.14.0) and annotated with </w:t>
      </w:r>
      <w:proofErr w:type="spellStart"/>
      <w:r w:rsidRPr="00E741C0">
        <w:rPr>
          <w:rFonts w:eastAsia="Calibri" w:cs="Times New Roman"/>
          <w:color w:val="000000" w:themeColor="text1"/>
          <w:kern w:val="2"/>
          <w:szCs w:val="24"/>
          <w:lang w:val="en-NZ"/>
          <w14:ligatures w14:val="standardContextual"/>
        </w:rPr>
        <w:t>Prokka</w:t>
      </w:r>
      <w:proofErr w:type="spellEnd"/>
      <w:r w:rsidRPr="00E741C0">
        <w:rPr>
          <w:rFonts w:eastAsia="Calibri" w:cs="Times New Roman"/>
          <w:color w:val="000000" w:themeColor="text1"/>
          <w:kern w:val="2"/>
          <w:szCs w:val="24"/>
          <w:lang w:val="en-NZ"/>
          <w14:ligatures w14:val="standardContextual"/>
        </w:rPr>
        <w:t xml:space="preserve"> (v1.14.0) to predict coding regions and gene functional annotation (</w:t>
      </w:r>
      <w:hyperlink r:id="rId15" w:history="1">
        <w:r w:rsidRPr="00E741C0">
          <w:rPr>
            <w:rFonts w:eastAsia="Calibri" w:cs="Times New Roman"/>
            <w:color w:val="000000" w:themeColor="text1"/>
            <w:kern w:val="2"/>
            <w:szCs w:val="24"/>
            <w:u w:val="single"/>
            <w:lang w:val="en-NZ"/>
            <w14:ligatures w14:val="standardContextual"/>
          </w:rPr>
          <w:t>https://github.com/tseemann/prokka</w:t>
        </w:r>
      </w:hyperlink>
      <w:r w:rsidRPr="00E741C0">
        <w:rPr>
          <w:rFonts w:eastAsia="Calibri" w:cs="Times New Roman"/>
          <w:color w:val="000000" w:themeColor="text1"/>
          <w:kern w:val="2"/>
          <w:szCs w:val="24"/>
          <w:lang w:val="en-NZ"/>
          <w14:ligatures w14:val="standardContextual"/>
        </w:rPr>
        <w:t xml:space="preserve">). In silico </w:t>
      </w:r>
      <w:proofErr w:type="spellStart"/>
      <w:r w:rsidRPr="00E741C0">
        <w:rPr>
          <w:rFonts w:eastAsia="Calibri" w:cs="Times New Roman"/>
          <w:color w:val="000000" w:themeColor="text1"/>
          <w:kern w:val="2"/>
          <w:szCs w:val="24"/>
          <w:lang w:val="en-NZ"/>
          <w14:ligatures w14:val="standardContextual"/>
        </w:rPr>
        <w:t>multilocus</w:t>
      </w:r>
      <w:proofErr w:type="spellEnd"/>
      <w:r w:rsidRPr="00E741C0">
        <w:rPr>
          <w:rFonts w:eastAsia="Calibri" w:cs="Times New Roman"/>
          <w:color w:val="000000" w:themeColor="text1"/>
          <w:kern w:val="2"/>
          <w:szCs w:val="24"/>
          <w:lang w:val="en-NZ"/>
          <w14:ligatures w14:val="standardContextual"/>
        </w:rPr>
        <w:t xml:space="preserve"> sequence typing (MLST) was performed using </w:t>
      </w:r>
      <w:proofErr w:type="spellStart"/>
      <w:r w:rsidRPr="00E741C0">
        <w:rPr>
          <w:rFonts w:eastAsia="Calibri" w:cs="Times New Roman"/>
          <w:color w:val="000000" w:themeColor="text1"/>
          <w:kern w:val="2"/>
          <w:szCs w:val="24"/>
          <w:lang w:val="en-NZ"/>
          <w14:ligatures w14:val="standardContextual"/>
        </w:rPr>
        <w:t>mlst</w:t>
      </w:r>
      <w:proofErr w:type="spellEnd"/>
      <w:r w:rsidRPr="00E741C0">
        <w:rPr>
          <w:rFonts w:eastAsia="Calibri" w:cs="Times New Roman"/>
          <w:color w:val="000000" w:themeColor="text1"/>
          <w:kern w:val="2"/>
          <w:szCs w:val="24"/>
          <w:lang w:val="en-NZ"/>
          <w14:ligatures w14:val="standardContextual"/>
        </w:rPr>
        <w:t xml:space="preserve"> v2.8.4 and the </w:t>
      </w:r>
      <w:proofErr w:type="spellStart"/>
      <w:r w:rsidRPr="00E741C0">
        <w:rPr>
          <w:rFonts w:eastAsia="Calibri" w:cs="Times New Roman"/>
          <w:color w:val="000000" w:themeColor="text1"/>
          <w:kern w:val="2"/>
          <w:szCs w:val="24"/>
          <w:lang w:val="en-NZ"/>
          <w14:ligatures w14:val="standardContextual"/>
        </w:rPr>
        <w:t>pubMLST</w:t>
      </w:r>
      <w:proofErr w:type="spellEnd"/>
      <w:r w:rsidRPr="00E741C0">
        <w:rPr>
          <w:rFonts w:eastAsia="Calibri" w:cs="Times New Roman"/>
          <w:color w:val="000000" w:themeColor="text1"/>
          <w:kern w:val="2"/>
          <w:szCs w:val="24"/>
          <w:lang w:val="en-NZ"/>
          <w14:ligatures w14:val="standardContextual"/>
        </w:rPr>
        <w:t xml:space="preserve"> sequence type (ST) database based on specific housekeeping genes for </w:t>
      </w:r>
      <w:r w:rsidRPr="00E741C0">
        <w:rPr>
          <w:rFonts w:eastAsia="Calibri" w:cs="Times New Roman"/>
          <w:i/>
          <w:iCs/>
          <w:color w:val="000000" w:themeColor="text1"/>
          <w:kern w:val="2"/>
          <w:szCs w:val="24"/>
          <w:lang w:val="en-NZ"/>
          <w14:ligatures w14:val="standardContextual"/>
        </w:rPr>
        <w:t>A. baumannii</w:t>
      </w:r>
      <w:r w:rsidRPr="00E741C0">
        <w:rPr>
          <w:rFonts w:eastAsia="Calibri" w:cs="Times New Roman"/>
          <w:color w:val="000000" w:themeColor="text1"/>
          <w:kern w:val="2"/>
          <w:szCs w:val="24"/>
          <w:lang w:val="en-NZ"/>
          <w14:ligatures w14:val="standardContextual"/>
        </w:rPr>
        <w:t xml:space="preserve"> (</w:t>
      </w:r>
      <w:r w:rsidRPr="00E741C0">
        <w:rPr>
          <w:rFonts w:eastAsia="Calibri" w:cs="Times New Roman"/>
          <w:i/>
          <w:iCs/>
          <w:color w:val="000000" w:themeColor="text1"/>
          <w:kern w:val="2"/>
          <w:szCs w:val="24"/>
          <w:lang w:val="en-NZ"/>
          <w14:ligatures w14:val="standardContextual"/>
        </w:rPr>
        <w:t xml:space="preserve">cpn60, </w:t>
      </w:r>
      <w:proofErr w:type="spellStart"/>
      <w:r w:rsidRPr="00E741C0">
        <w:rPr>
          <w:rFonts w:eastAsia="Calibri" w:cs="Times New Roman"/>
          <w:i/>
          <w:iCs/>
          <w:color w:val="000000" w:themeColor="text1"/>
          <w:kern w:val="2"/>
          <w:szCs w:val="24"/>
          <w:lang w:val="en-NZ"/>
          <w14:ligatures w14:val="standardContextual"/>
        </w:rPr>
        <w:t>fusA</w:t>
      </w:r>
      <w:proofErr w:type="spellEnd"/>
      <w:r w:rsidRPr="00E741C0">
        <w:rPr>
          <w:rFonts w:eastAsia="Calibri" w:cs="Times New Roman"/>
          <w:i/>
          <w:iCs/>
          <w:color w:val="000000" w:themeColor="text1"/>
          <w:kern w:val="2"/>
          <w:szCs w:val="24"/>
          <w:lang w:val="en-NZ"/>
          <w14:ligatures w14:val="standardContextual"/>
        </w:rPr>
        <w:t xml:space="preserve">, </w:t>
      </w:r>
      <w:proofErr w:type="spellStart"/>
      <w:r w:rsidRPr="00E741C0">
        <w:rPr>
          <w:rFonts w:eastAsia="Calibri" w:cs="Times New Roman"/>
          <w:i/>
          <w:iCs/>
          <w:color w:val="000000" w:themeColor="text1"/>
          <w:kern w:val="2"/>
          <w:szCs w:val="24"/>
          <w:lang w:val="en-NZ"/>
          <w14:ligatures w14:val="standardContextual"/>
        </w:rPr>
        <w:t>gltA</w:t>
      </w:r>
      <w:proofErr w:type="spellEnd"/>
      <w:r w:rsidRPr="00E741C0">
        <w:rPr>
          <w:rFonts w:eastAsia="Calibri" w:cs="Times New Roman"/>
          <w:i/>
          <w:iCs/>
          <w:color w:val="000000" w:themeColor="text1"/>
          <w:kern w:val="2"/>
          <w:szCs w:val="24"/>
          <w:lang w:val="en-NZ"/>
          <w14:ligatures w14:val="standardContextual"/>
        </w:rPr>
        <w:t xml:space="preserve">, </w:t>
      </w:r>
      <w:proofErr w:type="spellStart"/>
      <w:r w:rsidRPr="00E741C0">
        <w:rPr>
          <w:rFonts w:eastAsia="Calibri" w:cs="Times New Roman"/>
          <w:i/>
          <w:iCs/>
          <w:color w:val="000000" w:themeColor="text1"/>
          <w:kern w:val="2"/>
          <w:szCs w:val="24"/>
          <w:lang w:val="en-NZ"/>
          <w14:ligatures w14:val="standardContextual"/>
        </w:rPr>
        <w:t>pyrG</w:t>
      </w:r>
      <w:proofErr w:type="spellEnd"/>
      <w:r w:rsidRPr="00E741C0">
        <w:rPr>
          <w:rFonts w:eastAsia="Calibri" w:cs="Times New Roman"/>
          <w:i/>
          <w:iCs/>
          <w:color w:val="000000" w:themeColor="text1"/>
          <w:kern w:val="2"/>
          <w:szCs w:val="24"/>
          <w:lang w:val="en-NZ"/>
          <w14:ligatures w14:val="standardContextual"/>
        </w:rPr>
        <w:t xml:space="preserve">, </w:t>
      </w:r>
      <w:proofErr w:type="spellStart"/>
      <w:r w:rsidRPr="00E741C0">
        <w:rPr>
          <w:rFonts w:eastAsia="Calibri" w:cs="Times New Roman"/>
          <w:i/>
          <w:iCs/>
          <w:color w:val="000000" w:themeColor="text1"/>
          <w:kern w:val="2"/>
          <w:szCs w:val="24"/>
          <w:lang w:val="en-NZ"/>
          <w14:ligatures w14:val="standardContextual"/>
        </w:rPr>
        <w:t>recA</w:t>
      </w:r>
      <w:proofErr w:type="spellEnd"/>
      <w:r w:rsidRPr="00E741C0">
        <w:rPr>
          <w:rFonts w:eastAsia="Calibri" w:cs="Times New Roman"/>
          <w:i/>
          <w:iCs/>
          <w:color w:val="000000" w:themeColor="text1"/>
          <w:kern w:val="2"/>
          <w:szCs w:val="24"/>
          <w:lang w:val="en-NZ"/>
          <w14:ligatures w14:val="standardContextual"/>
        </w:rPr>
        <w:t xml:space="preserve">, </w:t>
      </w:r>
      <w:proofErr w:type="spellStart"/>
      <w:r w:rsidRPr="00E741C0">
        <w:rPr>
          <w:rFonts w:eastAsia="Calibri" w:cs="Times New Roman"/>
          <w:i/>
          <w:iCs/>
          <w:color w:val="000000" w:themeColor="text1"/>
          <w:kern w:val="2"/>
          <w:szCs w:val="24"/>
          <w:lang w:val="en-NZ"/>
          <w14:ligatures w14:val="standardContextual"/>
        </w:rPr>
        <w:t>rplB</w:t>
      </w:r>
      <w:proofErr w:type="spellEnd"/>
      <w:r w:rsidRPr="00E741C0">
        <w:rPr>
          <w:rFonts w:eastAsia="Calibri" w:cs="Times New Roman"/>
          <w:i/>
          <w:iCs/>
          <w:color w:val="000000" w:themeColor="text1"/>
          <w:kern w:val="2"/>
          <w:szCs w:val="24"/>
          <w:lang w:val="en-NZ"/>
          <w14:ligatures w14:val="standardContextual"/>
        </w:rPr>
        <w:t xml:space="preserve">, </w:t>
      </w:r>
      <w:proofErr w:type="spellStart"/>
      <w:r w:rsidRPr="00E741C0">
        <w:rPr>
          <w:rFonts w:eastAsia="Calibri" w:cs="Times New Roman"/>
          <w:i/>
          <w:iCs/>
          <w:color w:val="000000" w:themeColor="text1"/>
          <w:kern w:val="2"/>
          <w:szCs w:val="24"/>
          <w:lang w:val="en-NZ"/>
          <w14:ligatures w14:val="standardContextual"/>
        </w:rPr>
        <w:t>rpoB</w:t>
      </w:r>
      <w:proofErr w:type="spellEnd"/>
      <w:r w:rsidRPr="00E741C0">
        <w:rPr>
          <w:rFonts w:eastAsia="Calibri" w:cs="Times New Roman"/>
          <w:color w:val="000000" w:themeColor="text1"/>
          <w:kern w:val="2"/>
          <w:szCs w:val="24"/>
          <w:lang w:val="en-NZ"/>
          <w14:ligatures w14:val="standardContextual"/>
        </w:rPr>
        <w:t xml:space="preserve">) </w:t>
      </w:r>
      <w:r w:rsidR="00184ADD" w:rsidRPr="00E741C0">
        <w:rPr>
          <w:rFonts w:eastAsia="Calibri" w:cs="Times New Roman"/>
          <w:color w:val="000000" w:themeColor="text1"/>
          <w:kern w:val="2"/>
          <w:szCs w:val="24"/>
          <w:lang w:val="en-NZ"/>
          <w14:ligatures w14:val="standardContextual"/>
        </w:rPr>
        <w:fldChar w:fldCharType="begin" w:fldLock="1"/>
      </w:r>
      <w:r w:rsidR="00184ADD" w:rsidRPr="00E741C0">
        <w:rPr>
          <w:rFonts w:eastAsia="Calibri" w:cs="Times New Roman"/>
          <w:color w:val="000000" w:themeColor="text1"/>
          <w:kern w:val="2"/>
          <w:szCs w:val="24"/>
          <w:lang w:val="en-NZ"/>
          <w14:ligatures w14:val="standardContextual"/>
        </w:rPr>
        <w:instrText>ADDIN CSL_CITATION {"citationItems":[{"id":"ITEM-1","itemData":{"DOI":"10.1128/JCM.06094-11","ISSN":"00951137","PMID":"22238442","abstract":"Accurate strain identification is essential for anyone working with bacteria. For many species, multilocus sequence typing (MLST) is considered the \"gold standard\" of typing, but it is traditionally performed in an expensive and time-consuming manner. As the costs of whole-genome sequencing (WGS) continue to decline, it becomes increasingly available to scientists and routine diagnostic laboratories. Currently, the cost is below that of traditional MLST. The new challenges will be how to extract the relevant information from the large amount of data so as to allow for comparison over time and between laboratories. Ideally, this information should also allow for comparison to historical data. We developed a Web-based method for MLST of 66 bacterial species based on WGS data. As input, the method uses short sequence reads from four sequencing platforms or preassembled genomes. Updates from the MLST databases are downloaded monthly, and the best-matching MLST alleles of the specified MLST scheme are found using a BLAST-based ranking method. The sequence type is then determined by the combination of alleles identified. The method was tested on preassembled genomes from 336 isolates covering 56 MLST schemes, on short sequence reads from 387 isolates covering 10 schemes, and on a small test set of short sequence reads from 29 isolates for which the sequence type had been determined by traditional methods. The method presented here enables investigators to determine the sequence types of their isolates on the basis of WGS data. This method is publicly available at www.cbs.dtu.dk/services/ MLST. Copyright © 2012, American Society for Microbiology. All Rights Reserved.","author":[{"dropping-particle":"V.","family":"Larsen","given":"Mette","non-dropping-particle":"","parse-names":false,"suffix":""},{"dropping-particle":"","family":"Cosentino","given":"Salvatore","non-dropping-particle":"","parse-names":false,"suffix":""},{"dropping-particle":"","family":"Rasmussen","given":"Simon","non-dropping-particle":"","parse-names":false,"suffix":""},{"dropping-particle":"","family":"Friis","given":"Carsten","non-dropping-particle":"","parse-names":false,"suffix":""},{"dropping-particle":"","family":"Hasman","given":"Henrik","non-dropping-particle":"","parse-names":false,"suffix":""},{"dropping-particle":"","family":"Marvig","given":"Rasmus Lykke","non-dropping-particle":"","parse-names":false,"suffix":""},{"dropping-particle":"","family":"Jelsbak","given":"Lars","non-dropping-particle":"","parse-names":false,"suffix":""},{"dropping-particle":"","family":"Sicheritz-Pontén","given":"Thomas","non-dropping-particle":"","parse-names":false,"suffix":""},{"dropping-particle":"","family":"Ussery","given":"David W.","non-dropping-particle":"","parse-names":false,"suffix":""},{"dropping-particle":"","family":"Aarestrup","given":"Frank M.","non-dropping-particle":"","parse-names":false,"suffix":""},{"dropping-particle":"","family":"Lund","given":"Ole","non-dropping-particle":"","parse-names":false,"suffix":""}],"container-title":"Journal of Clinical Microbiology","id":"ITEM-1","issue":"4","issued":{"date-parts":[["2012","4"]]},"page":"1355","publisher":"American Society for Microbiology (ASM)","title":"Multilocus Sequence Typing of Total-Genome-Sequenced Bacteria","type":"article-journal","volume":"50"},"uris":["http://www.mendeley.com/documents/?uuid=7f4d9e66-eec9-3aaa-b6ae-337ef3615669"]}],"mendeley":{"formattedCitation":"(Larsen et al., 2012)","plainTextFormattedCitation":"(Larsen et al., 2012)"},"properties":{"noteIndex":0},"schema":"https://github.com/citation-style-language/schema/raw/master/csl-citation.json"}</w:instrText>
      </w:r>
      <w:r w:rsidR="00184ADD" w:rsidRPr="00E741C0">
        <w:rPr>
          <w:rFonts w:eastAsia="Calibri" w:cs="Times New Roman"/>
          <w:color w:val="000000" w:themeColor="text1"/>
          <w:kern w:val="2"/>
          <w:szCs w:val="24"/>
          <w:lang w:val="en-NZ"/>
          <w14:ligatures w14:val="standardContextual"/>
        </w:rPr>
        <w:fldChar w:fldCharType="separate"/>
      </w:r>
      <w:r w:rsidR="00184ADD" w:rsidRPr="00E741C0">
        <w:rPr>
          <w:rFonts w:eastAsia="Calibri" w:cs="Times New Roman"/>
          <w:noProof/>
          <w:color w:val="000000" w:themeColor="text1"/>
          <w:kern w:val="2"/>
          <w:szCs w:val="24"/>
          <w:lang w:val="en-NZ"/>
          <w14:ligatures w14:val="standardContextual"/>
        </w:rPr>
        <w:t>(Larsen et al., 2012)</w:t>
      </w:r>
      <w:r w:rsidR="00184ADD" w:rsidRPr="00E741C0">
        <w:rPr>
          <w:rFonts w:eastAsia="Calibri" w:cs="Times New Roman"/>
          <w:color w:val="000000" w:themeColor="text1"/>
          <w:kern w:val="2"/>
          <w:szCs w:val="24"/>
          <w:lang w:val="en-NZ"/>
          <w14:ligatures w14:val="standardContextual"/>
        </w:rPr>
        <w:fldChar w:fldCharType="end"/>
      </w:r>
      <w:r w:rsidRPr="00E741C0">
        <w:rPr>
          <w:rFonts w:eastAsia="Calibri" w:cs="Times New Roman"/>
          <w:color w:val="000000" w:themeColor="text1"/>
          <w:kern w:val="2"/>
          <w:szCs w:val="24"/>
          <w:lang w:val="en-NZ"/>
          <w14:ligatures w14:val="standardContextual"/>
        </w:rPr>
        <w:t xml:space="preserve">. AMR genes were detected using </w:t>
      </w:r>
      <w:proofErr w:type="spellStart"/>
      <w:r w:rsidRPr="00E741C0">
        <w:rPr>
          <w:rFonts w:eastAsia="Calibri" w:cs="Times New Roman"/>
          <w:color w:val="000000" w:themeColor="text1"/>
          <w:kern w:val="2"/>
          <w:szCs w:val="24"/>
          <w:lang w:val="en-NZ"/>
          <w14:ligatures w14:val="standardContextual"/>
        </w:rPr>
        <w:t>ABRicate</w:t>
      </w:r>
      <w:proofErr w:type="spellEnd"/>
      <w:r w:rsidRPr="00E741C0">
        <w:rPr>
          <w:rFonts w:eastAsia="Calibri" w:cs="Times New Roman"/>
          <w:color w:val="000000" w:themeColor="text1"/>
          <w:kern w:val="2"/>
          <w:szCs w:val="24"/>
          <w:lang w:val="en-NZ"/>
          <w14:ligatures w14:val="standardContextual"/>
        </w:rPr>
        <w:t xml:space="preserve"> (v0.9.8) (</w:t>
      </w:r>
      <w:hyperlink r:id="rId16" w:history="1">
        <w:r w:rsidRPr="00E741C0">
          <w:rPr>
            <w:rFonts w:eastAsia="Calibri" w:cs="Times New Roman"/>
            <w:color w:val="000000" w:themeColor="text1"/>
            <w:kern w:val="2"/>
            <w:szCs w:val="24"/>
            <w:u w:val="single"/>
            <w:lang w:val="en-NZ"/>
            <w14:ligatures w14:val="standardContextual"/>
          </w:rPr>
          <w:t>https://github.com/tseemann/abricate</w:t>
        </w:r>
      </w:hyperlink>
      <w:r w:rsidRPr="00E741C0">
        <w:rPr>
          <w:rFonts w:eastAsia="Calibri" w:cs="Times New Roman"/>
          <w:color w:val="000000" w:themeColor="text1"/>
          <w:kern w:val="2"/>
          <w:szCs w:val="24"/>
          <w:lang w:val="en-NZ"/>
          <w14:ligatures w14:val="standardContextual"/>
        </w:rPr>
        <w:t xml:space="preserve">) and databases such as </w:t>
      </w:r>
      <w:proofErr w:type="spellStart"/>
      <w:r w:rsidRPr="00E741C0">
        <w:rPr>
          <w:rFonts w:eastAsia="Calibri" w:cs="Times New Roman"/>
          <w:color w:val="000000" w:themeColor="text1"/>
          <w:kern w:val="2"/>
          <w:szCs w:val="24"/>
          <w:lang w:val="en-NZ"/>
          <w14:ligatures w14:val="standardContextual"/>
        </w:rPr>
        <w:t>ResFinder</w:t>
      </w:r>
      <w:proofErr w:type="spellEnd"/>
      <w:r w:rsidRPr="00E741C0">
        <w:rPr>
          <w:rFonts w:eastAsia="Calibri" w:cs="Times New Roman"/>
          <w:color w:val="000000" w:themeColor="text1"/>
          <w:kern w:val="2"/>
          <w:szCs w:val="24"/>
          <w:lang w:val="en-NZ"/>
          <w14:ligatures w14:val="standardContextual"/>
        </w:rPr>
        <w:t xml:space="preserve"> (</w:t>
      </w:r>
      <w:hyperlink r:id="rId17" w:history="1">
        <w:r w:rsidRPr="00E741C0">
          <w:rPr>
            <w:rFonts w:eastAsia="Calibri" w:cs="Times New Roman"/>
            <w:color w:val="000000" w:themeColor="text1"/>
            <w:kern w:val="2"/>
            <w:szCs w:val="24"/>
            <w:u w:val="single"/>
            <w:lang w:val="en-NZ"/>
            <w14:ligatures w14:val="standardContextual"/>
          </w:rPr>
          <w:t>https://genomicepidemiology.org/services/</w:t>
        </w:r>
      </w:hyperlink>
      <w:r w:rsidRPr="00E741C0">
        <w:rPr>
          <w:rFonts w:eastAsia="Calibri" w:cs="Times New Roman"/>
          <w:color w:val="000000" w:themeColor="text1"/>
          <w:kern w:val="2"/>
          <w:szCs w:val="24"/>
          <w:lang w:val="en-NZ"/>
          <w14:ligatures w14:val="standardContextual"/>
        </w:rPr>
        <w:t xml:space="preserve">) and the Comprehensive Antibiotic Resistance Database (CARD) </w:t>
      </w:r>
      <w:r w:rsidRPr="00E741C0">
        <w:rPr>
          <w:rFonts w:ascii="Calibri" w:eastAsia="Calibri" w:hAnsi="Calibri" w:cs="Times New Roman"/>
          <w:color w:val="000000" w:themeColor="text1"/>
          <w:kern w:val="2"/>
          <w:sz w:val="22"/>
          <w:lang w:val="en-NZ"/>
          <w14:ligatures w14:val="standardContextual"/>
        </w:rPr>
        <w:t>(</w:t>
      </w:r>
      <w:hyperlink r:id="rId18" w:history="1">
        <w:r w:rsidRPr="00E741C0">
          <w:rPr>
            <w:rFonts w:eastAsia="Calibri" w:cs="Times New Roman"/>
            <w:color w:val="000000" w:themeColor="text1"/>
            <w:kern w:val="2"/>
            <w:szCs w:val="24"/>
            <w:u w:val="single"/>
            <w:lang w:val="en-NZ"/>
            <w14:ligatures w14:val="standardContextual"/>
          </w:rPr>
          <w:t>https://card.mcmaster.ca/home</w:t>
        </w:r>
      </w:hyperlink>
      <w:r w:rsidRPr="00E741C0">
        <w:rPr>
          <w:rFonts w:eastAsia="Calibri" w:cs="Times New Roman"/>
          <w:color w:val="000000" w:themeColor="text1"/>
          <w:kern w:val="2"/>
          <w:szCs w:val="24"/>
          <w:lang w:val="en-NZ"/>
          <w14:ligatures w14:val="standardContextual"/>
        </w:rPr>
        <w:t xml:space="preserve">) </w:t>
      </w:r>
      <w:r w:rsidRPr="00E741C0">
        <w:rPr>
          <w:rFonts w:eastAsia="Calibri" w:cs="Times New Roman"/>
          <w:color w:val="000000" w:themeColor="text1"/>
          <w:kern w:val="2"/>
          <w:szCs w:val="24"/>
          <w:vertAlign w:val="superscript"/>
          <w:lang w:val="en-NZ"/>
          <w14:ligatures w14:val="standardContextual"/>
        </w:rPr>
        <w:fldChar w:fldCharType="begin" w:fldLock="1"/>
      </w:r>
      <w:r w:rsidR="00184ADD" w:rsidRPr="00E741C0">
        <w:rPr>
          <w:rFonts w:eastAsia="Calibri" w:cs="Times New Roman"/>
          <w:color w:val="000000" w:themeColor="text1"/>
          <w:kern w:val="2"/>
          <w:szCs w:val="24"/>
          <w:vertAlign w:val="superscript"/>
          <w:lang w:val="en-NZ"/>
          <w14:ligatures w14:val="standardContextual"/>
        </w:rPr>
        <w:instrText>ADDIN CSL_CITATION {"citationItems":[{"id":"ITEM-1","itemData":{"DOI":"10.1093/NAR/GKZ935","ISSN":"0305-1048","PMID":"31665441","abstract":"The Comprehensive Antibiotic Resistance Database (CARD; https://card.mcmaster.ca) is a curated resource providing reference DNA and protein sequences, detection models and bioinformatics tools on the molecular basis of bacterial antimicrobial resistance (AMR). CARD focuses on providing high-quality reference data and molecular sequences within a controlled vocabulary, the Antibiotic Resistance Ontology (ARO), designed by the CARD biocuration team to integrate with software development efforts for resistome analysis and prediction, such as CARD's Resistance Gene Identifier (RGI) software. Since 2017, CARD has expanded through extensive curation of reference sequences, revision of the ontological structure, curation of over 500 new AMR detection models, development of a new classification paradigm and expansion of analytical tools. Most notably, a new Resistomes &amp; Variants module provides analysis and statistical summary of in silico predicted resistance variants from 82 pathogens and over 100 000 genomes. By adding these resistance variants to CARD, we are able to summarize predicted resistance using the information included in CARD, identify trends in AMR mobility and determine previously undescribed and novel resistance variants. Here, we describe updates and recent expansions to CARD and its biocuration process, including new resources for community biocuration of AMR molecular reference data.","author":[{"dropping-particle":"","family":"Alcock","given":"Brian P.","non-dropping-particle":"","parse-names":false,"suffix":""},{"dropping-particle":"","family":"Raphenya","given":"Amogelang R.","non-dropping-particle":"","parse-names":false,"suffix":""},{"dropping-particle":"","family":"Lau","given":"Tammy T.Y.","non-dropping-particle":"","parse-names":false,"suffix":""},{"dropping-particle":"","family":"Tsang","given":"Kara K.","non-dropping-particle":"","parse-names":false,"suffix":""},{"dropping-particle":"","family":"Bouchard","given":"Mégane","non-dropping-particle":"","parse-names":false,"suffix":""},{"dropping-particle":"","family":"Edalatmand","given":"Arman","non-dropping-particle":"","parse-names":false,"suffix":""},{"dropping-particle":"","family":"Huynh","given":"William","non-dropping-particle":"","parse-names":false,"suffix":""},{"dropping-particle":"V.","family":"Nguyen","given":"Anna Lisa","non-dropping-particle":"","parse-names":false,"suffix":""},{"dropping-particle":"","family":"Cheng","given":"Annie A.","non-dropping-particle":"","parse-names":false,"suffix":""},{"dropping-particle":"","family":"Liu","given":"Sihan","non-dropping-particle":"","parse-names":false,"suffix":""},{"dropping-particle":"","family":"Min","given":"Sally Y.","non-dropping-particle":"","parse-names":false,"suffix":""},{"dropping-particle":"","family":"Miroshnichenko","given":"Anatoly","non-dropping-particle":"","parse-names":false,"suffix":""},{"dropping-particle":"","family":"Tran","given":"Hiu Ki","non-dropping-particle":"","parse-names":false,"suffix":""},{"dropping-particle":"","family":"Werfalli","given":"Rafik E.","non-dropping-particle":"","parse-names":false,"suffix":""},{"dropping-particle":"","family":"Nasir","given":"Jalees A.","non-dropping-particle":"","parse-names":false,"suffix":""},{"dropping-particle":"","family":"Oloni","given":"Martins","non-dropping-particle":"","parse-names":false,"suffix":""},{"dropping-particle":"","family":"Speicher","given":"David J.","non-dropping-particle":"","parse-names":false,"suffix":""},{"dropping-particle":"","family":"Florescu","given":"Alexandra","non-dropping-particle":"","parse-names":false,"suffix":""},{"dropping-particle":"","family":"Singh","given":"Bhavya","non-dropping-particle":"","parse-names":false,"suffix":""},{"dropping-particle":"","family":"Faltyn","given":"Mateusz","non-dropping-particle":"","parse-names":false,"suffix":""},{"dropping-particle":"","family":"Hernandez-Koutoucheva","given":"Anastasia","non-dropping-particle":"","parse-names":false,"suffix":""},{"dropping-particle":"","family":"Sharma","given":"Arjun N.","non-dropping-particle":"","parse-names":false,"suffix":""},{"dropping-particle":"","family":"Bordeleau","given":"Emily","non-dropping-particle":"","parse-names":false,"suffix":""},{"dropping-particle":"","family":"Pawlowski","given":"Andrew C.","non-dropping-particle":"","parse-names":false,"suffix":""},{"dropping-particle":"","family":"Zubyk","given":"Haley L.","non-dropping-particle":"","parse-names":false,"suffix":""},{"dropping-particle":"","family":"Dooley","given":"Damion","non-dropping-particle":"","parse-names":false,"suffix":""},{"dropping-particle":"","family":"Griffiths","given":"Emma","non-dropping-particle":"","parse-names":false,"suffix":""},{"dropping-particle":"","family":"Maguire","given":"Finlay","non-dropping-particle":"","parse-names":false,"suffix":""},{"dropping-particle":"","family":"Winsor","given":"Geoff L.","non-dropping-particle":"","parse-names":false,"suffix":""},{"dropping-particle":"","family":"Beiko","given":"Robert G.","non-dropping-particle":"","parse-names":false,"suffix":""},{"dropping-particle":"","family":"Brinkman","given":"Fiona S.L.","non-dropping-particle":"","parse-names":false,"suffix":""},{"dropping-particle":"","family":"Hsiao","given":"William W.L.","non-dropping-particle":"","parse-names":false,"suffix":""},{"dropping-particle":"V.","family":"Domselaar","given":"Gary","non-dropping-particle":"","parse-names":false,"suffix":""},{"dropping-particle":"","family":"McArthur","given":"Andrew G.","non-dropping-particle":"","parse-names":false,"suffix":""}],"container-title":"Nucleic Acids Research","id":"ITEM-1","issue":"D1","issued":{"date-parts":[["2020","1","8"]]},"page":"D517-D525","publisher":"Oxford Academic","title":"CARD 2020: antibiotic resistome surveillance with the comprehensive antibiotic resistance database","type":"article-journal","volume":"48"},"uris":["http://www.mendeley.com/documents/?uuid=dd71a1bf-1717-387c-8da8-98f7711e4524"]}],"mendeley":{"formattedCitation":"(Alcock et al., 2020)","plainTextFormattedCitation":"(Alcock et al., 2020)","previouslyFormattedCitation":"(Alcock et al., 2020)"},"properties":{"noteIndex":0},"schema":"https://github.com/citation-style-language/schema/raw/master/csl-citation.json"}</w:instrText>
      </w:r>
      <w:r w:rsidRPr="00E741C0">
        <w:rPr>
          <w:rFonts w:eastAsia="Calibri" w:cs="Times New Roman"/>
          <w:color w:val="000000" w:themeColor="text1"/>
          <w:kern w:val="2"/>
          <w:szCs w:val="24"/>
          <w:vertAlign w:val="superscript"/>
          <w:lang w:val="en-NZ"/>
          <w14:ligatures w14:val="standardContextual"/>
        </w:rPr>
        <w:fldChar w:fldCharType="separate"/>
      </w:r>
      <w:r w:rsidRPr="00E741C0">
        <w:rPr>
          <w:rFonts w:eastAsia="Calibri" w:cs="Times New Roman"/>
          <w:noProof/>
          <w:color w:val="000000" w:themeColor="text1"/>
          <w:kern w:val="2"/>
          <w:szCs w:val="24"/>
          <w:lang w:val="en-NZ"/>
          <w14:ligatures w14:val="standardContextual"/>
        </w:rPr>
        <w:t>(Alcock et al., 2020)</w:t>
      </w:r>
      <w:r w:rsidRPr="00E741C0">
        <w:rPr>
          <w:rFonts w:eastAsia="Calibri" w:cs="Times New Roman"/>
          <w:color w:val="000000" w:themeColor="text1"/>
          <w:kern w:val="2"/>
          <w:szCs w:val="24"/>
          <w:lang w:val="en-NZ"/>
          <w14:ligatures w14:val="standardContextual"/>
        </w:rPr>
        <w:fldChar w:fldCharType="end"/>
      </w:r>
      <w:r w:rsidRPr="00E741C0">
        <w:rPr>
          <w:rFonts w:eastAsia="Calibri" w:cs="Times New Roman"/>
          <w:color w:val="000000" w:themeColor="text1"/>
          <w:kern w:val="2"/>
          <w:szCs w:val="24"/>
          <w:lang w:val="en-NZ"/>
          <w14:ligatures w14:val="standardContextual"/>
        </w:rPr>
        <w:t xml:space="preserve">.  The presence of </w:t>
      </w:r>
      <w:proofErr w:type="spellStart"/>
      <w:r w:rsidRPr="00E741C0">
        <w:rPr>
          <w:rFonts w:eastAsia="Calibri" w:cs="Times New Roman"/>
          <w:i/>
          <w:iCs/>
          <w:color w:val="000000" w:themeColor="text1"/>
          <w:kern w:val="2"/>
          <w:szCs w:val="24"/>
          <w:lang w:val="en-NZ"/>
          <w14:ligatures w14:val="standardContextual"/>
        </w:rPr>
        <w:t>ampC</w:t>
      </w:r>
      <w:proofErr w:type="spellEnd"/>
      <w:r w:rsidRPr="00E741C0">
        <w:rPr>
          <w:rFonts w:eastAsia="Calibri" w:cs="Times New Roman"/>
          <w:i/>
          <w:iCs/>
          <w:color w:val="000000" w:themeColor="text1"/>
          <w:kern w:val="2"/>
          <w:szCs w:val="24"/>
          <w:lang w:val="en-NZ"/>
          <w14:ligatures w14:val="standardContextual"/>
        </w:rPr>
        <w:t xml:space="preserve"> </w:t>
      </w:r>
      <w:r w:rsidRPr="00E741C0">
        <w:rPr>
          <w:rFonts w:eastAsia="Calibri" w:cs="Times New Roman"/>
          <w:color w:val="000000" w:themeColor="text1"/>
          <w:kern w:val="2"/>
          <w:szCs w:val="24"/>
          <w:lang w:val="en-NZ"/>
          <w14:ligatures w14:val="standardContextual"/>
        </w:rPr>
        <w:t xml:space="preserve">alleles was determined using the </w:t>
      </w:r>
      <w:proofErr w:type="spellStart"/>
      <w:r w:rsidRPr="00E741C0">
        <w:rPr>
          <w:rFonts w:eastAsia="Calibri" w:cs="Times New Roman"/>
          <w:color w:val="000000" w:themeColor="text1"/>
          <w:kern w:val="2"/>
          <w:szCs w:val="24"/>
          <w:lang w:val="en-NZ"/>
          <w14:ligatures w14:val="standardContextual"/>
        </w:rPr>
        <w:t>PubMLST</w:t>
      </w:r>
      <w:proofErr w:type="spellEnd"/>
      <w:r w:rsidRPr="00E741C0">
        <w:rPr>
          <w:rFonts w:eastAsia="Calibri" w:cs="Times New Roman"/>
          <w:color w:val="000000" w:themeColor="text1"/>
          <w:kern w:val="2"/>
          <w:szCs w:val="24"/>
          <w:lang w:val="en-NZ"/>
          <w14:ligatures w14:val="standardContextual"/>
        </w:rPr>
        <w:t xml:space="preserve"> database of </w:t>
      </w:r>
      <w:r w:rsidRPr="00E741C0">
        <w:rPr>
          <w:rFonts w:eastAsia="Calibri" w:cs="Times New Roman"/>
          <w:i/>
          <w:iCs/>
          <w:color w:val="000000" w:themeColor="text1"/>
          <w:kern w:val="2"/>
          <w:szCs w:val="24"/>
          <w:lang w:val="en-NZ"/>
          <w14:ligatures w14:val="standardContextual"/>
        </w:rPr>
        <w:t>A. baumannii</w:t>
      </w:r>
      <w:r w:rsidRPr="00E741C0">
        <w:rPr>
          <w:rFonts w:eastAsia="Calibri" w:cs="Times New Roman"/>
          <w:color w:val="000000" w:themeColor="text1"/>
          <w:kern w:val="2"/>
          <w:szCs w:val="24"/>
          <w:lang w:val="en-NZ"/>
          <w14:ligatures w14:val="standardContextual"/>
        </w:rPr>
        <w:t xml:space="preserve"> (</w:t>
      </w:r>
      <w:hyperlink r:id="rId19" w:history="1">
        <w:r w:rsidRPr="00E741C0">
          <w:rPr>
            <w:rFonts w:eastAsia="Calibri" w:cs="Times New Roman"/>
            <w:color w:val="000000" w:themeColor="text1"/>
            <w:kern w:val="2"/>
            <w:szCs w:val="24"/>
            <w:u w:val="single"/>
            <w:lang w:val="en-NZ"/>
            <w14:ligatures w14:val="standardContextual"/>
          </w:rPr>
          <w:t>https://pubmlst.org/organisms/acinetobacter-baumannii/</w:t>
        </w:r>
      </w:hyperlink>
      <w:r w:rsidRPr="00E741C0">
        <w:rPr>
          <w:rFonts w:eastAsia="Calibri" w:cs="Times New Roman"/>
          <w:color w:val="000000" w:themeColor="text1"/>
          <w:kern w:val="2"/>
          <w:szCs w:val="24"/>
          <w:lang w:val="en-NZ"/>
          <w14:ligatures w14:val="standardContextual"/>
        </w:rPr>
        <w:t>). For phylogenetic analysis, reads were mapped to a complete reference genome with Snippy (v.4.6.0) (</w:t>
      </w:r>
      <w:hyperlink r:id="rId20" w:history="1">
        <w:r w:rsidRPr="00E741C0">
          <w:rPr>
            <w:rFonts w:eastAsia="Calibri" w:cs="Times New Roman"/>
            <w:color w:val="000000" w:themeColor="text1"/>
            <w:kern w:val="2"/>
            <w:szCs w:val="24"/>
            <w:u w:val="single"/>
            <w:lang w:val="en-NZ"/>
            <w14:ligatures w14:val="standardContextual"/>
          </w:rPr>
          <w:t>https://github.com/tseemann/snippy</w:t>
        </w:r>
      </w:hyperlink>
      <w:r w:rsidRPr="00E741C0">
        <w:rPr>
          <w:rFonts w:eastAsia="Calibri" w:cs="Times New Roman"/>
          <w:color w:val="000000" w:themeColor="text1"/>
          <w:kern w:val="2"/>
          <w:szCs w:val="24"/>
          <w:lang w:val="en-NZ"/>
          <w14:ligatures w14:val="standardContextual"/>
        </w:rPr>
        <w:t xml:space="preserve">) to identify the core genome and single nucleotide polymorphisms (SNPs). Recombinant </w:t>
      </w:r>
      <w:bookmarkStart w:id="9" w:name="_Hlk163654267"/>
      <w:r w:rsidRPr="00E741C0">
        <w:rPr>
          <w:rFonts w:eastAsia="Calibri" w:cs="Times New Roman"/>
          <w:color w:val="000000" w:themeColor="text1"/>
          <w:kern w:val="2"/>
          <w:szCs w:val="24"/>
          <w:lang w:val="en-NZ"/>
          <w14:ligatures w14:val="standardContextual"/>
        </w:rPr>
        <w:t>regions were then filtered and removed with Gubbins (v2.3.4)</w:t>
      </w:r>
      <w:r w:rsidRPr="00E741C0">
        <w:rPr>
          <w:rFonts w:eastAsia="Calibri" w:cs="Times New Roman"/>
          <w:color w:val="000000" w:themeColor="text1"/>
          <w:kern w:val="2"/>
          <w:szCs w:val="24"/>
          <w:lang w:val="en-GB"/>
          <w14:ligatures w14:val="standardContextual"/>
        </w:rPr>
        <w:fldChar w:fldCharType="begin" w:fldLock="1"/>
      </w:r>
      <w:r w:rsidR="00184ADD" w:rsidRPr="00E741C0">
        <w:rPr>
          <w:rFonts w:eastAsia="Calibri" w:cs="Times New Roman"/>
          <w:color w:val="000000" w:themeColor="text1"/>
          <w:kern w:val="2"/>
          <w:szCs w:val="24"/>
          <w:lang w:val="en-GB"/>
          <w14:ligatures w14:val="standardContextual"/>
        </w:rPr>
        <w:instrText>ADDIN CSL_CITATION {"citationItems":[{"id":"ITEM-1","itemData":{"DOI":"10.1093/nar/gku1196","ISSN":"13624962","PMID":"25414349","abstract":"The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X.","author":[{"dropping-particle":"","family":"Croucher","given":"Nicholas J.","non-dropping-particle":"","parse-names":false,"suffix":""},{"dropping-particle":"","family":"Page","given":"Andrew J.","non-dropping-particle":"","parse-names":false,"suffix":""},{"dropping-particle":"","family":"Connor","given":"Thomas R.","non-dropping-particle":"","parse-names":false,"suffix":""},{"dropping-particle":"","family":"Delaney","given":"Aidan J.","non-dropping-particle":"","parse-names":false,"suffix":""},{"dropping-particle":"","family":"Keane","given":"Jacqueline A.","non-dropping-particle":"","parse-names":false,"suffix":""},{"dropping-particle":"","family":"Bentley","given":"Stephen D.","non-dropping-particle":"","parse-names":false,"suffix":""},{"dropping-particle":"","family":"Parkhill","given":"Julian","non-dropping-particle":"","parse-names":false,"suffix":""},{"dropping-particle":"","family":"Harris","given":"Simon R.","non-dropping-particle":"","parse-names":false,"suffix":""}],"container-title":"Nucleic Acids Research","id":"ITEM-1","issue":"3","issued":{"date-parts":[["2015","2","18"]]},"page":"e15","publisher":"Oxford Academic","title":"Rapid phylogenetic analysis of large samples of recombinant bacterial whole genome sequences using Gubbins","type":"article-journal","volume":"43"},"uris":["http://www.mendeley.com/documents/?uuid=e852ae8d-447b-4bd7-b9af-baf2c2c33078"]}],"mendeley":{"formattedCitation":"(Croucher et al., 2015)","manualFormatting":" (Croucher et al., 2015)","plainTextFormattedCitation":"(Croucher et al., 2015)","previouslyFormattedCitation":"(Croucher et al., 2015)"},"properties":{"noteIndex":0},"schema":"https://github.com/citation-style-language/schema/raw/master/csl-citation.json"}</w:instrText>
      </w:r>
      <w:r w:rsidRPr="00E741C0">
        <w:rPr>
          <w:rFonts w:eastAsia="Calibri" w:cs="Times New Roman"/>
          <w:color w:val="000000" w:themeColor="text1"/>
          <w:kern w:val="2"/>
          <w:szCs w:val="24"/>
          <w:lang w:val="en-GB"/>
          <w14:ligatures w14:val="standardContextual"/>
        </w:rPr>
        <w:fldChar w:fldCharType="separate"/>
      </w:r>
      <w:r w:rsidRPr="00E741C0">
        <w:rPr>
          <w:rFonts w:eastAsia="Calibri" w:cs="Times New Roman"/>
          <w:noProof/>
          <w:color w:val="000000" w:themeColor="text1"/>
          <w:kern w:val="2"/>
          <w:szCs w:val="24"/>
          <w:lang w:val="en-GB"/>
          <w14:ligatures w14:val="standardContextual"/>
        </w:rPr>
        <w:t xml:space="preserve"> </w:t>
      </w:r>
      <w:bookmarkStart w:id="10" w:name="_Hlk163654230"/>
      <w:r w:rsidRPr="00E741C0">
        <w:rPr>
          <w:rFonts w:eastAsia="Calibri" w:cs="Times New Roman"/>
          <w:noProof/>
          <w:color w:val="000000" w:themeColor="text1"/>
          <w:kern w:val="2"/>
          <w:szCs w:val="24"/>
          <w:lang w:val="en-GB"/>
          <w14:ligatures w14:val="standardContextual"/>
        </w:rPr>
        <w:t xml:space="preserve">(Croucher </w:t>
      </w:r>
      <w:r w:rsidRPr="00E741C0">
        <w:rPr>
          <w:rFonts w:eastAsia="Calibri" w:cs="Times New Roman"/>
          <w:i/>
          <w:noProof/>
          <w:color w:val="000000" w:themeColor="text1"/>
          <w:kern w:val="2"/>
          <w:szCs w:val="24"/>
          <w:lang w:val="en-GB"/>
          <w14:ligatures w14:val="standardContextual"/>
        </w:rPr>
        <w:t>et al.</w:t>
      </w:r>
      <w:r w:rsidRPr="00E741C0">
        <w:rPr>
          <w:rFonts w:eastAsia="Calibri" w:cs="Times New Roman"/>
          <w:noProof/>
          <w:color w:val="000000" w:themeColor="text1"/>
          <w:kern w:val="2"/>
          <w:szCs w:val="24"/>
          <w:lang w:val="en-GB"/>
          <w14:ligatures w14:val="standardContextual"/>
        </w:rPr>
        <w:t>, 2015)</w:t>
      </w:r>
      <w:bookmarkEnd w:id="10"/>
      <w:r w:rsidRPr="00E741C0">
        <w:rPr>
          <w:rFonts w:eastAsia="Calibri" w:cs="Times New Roman"/>
          <w:color w:val="000000" w:themeColor="text1"/>
          <w:kern w:val="2"/>
          <w:szCs w:val="24"/>
          <w:lang w:val="en-GB"/>
          <w14:ligatures w14:val="standardContextual"/>
        </w:rPr>
        <w:fldChar w:fldCharType="end"/>
      </w:r>
      <w:r w:rsidRPr="00E741C0">
        <w:rPr>
          <w:rFonts w:eastAsia="Calibri" w:cs="Times New Roman"/>
          <w:color w:val="000000" w:themeColor="text1"/>
          <w:kern w:val="2"/>
          <w:szCs w:val="24"/>
          <w:lang w:val="en-NZ"/>
          <w14:ligatures w14:val="standardContextual"/>
        </w:rPr>
        <w:t xml:space="preserve"> from </w:t>
      </w:r>
      <w:bookmarkEnd w:id="9"/>
      <w:r w:rsidRPr="00E741C0">
        <w:rPr>
          <w:rFonts w:eastAsia="Calibri" w:cs="Times New Roman"/>
          <w:color w:val="000000" w:themeColor="text1"/>
          <w:kern w:val="2"/>
          <w:szCs w:val="24"/>
          <w:lang w:val="en-NZ"/>
          <w14:ligatures w14:val="standardContextual"/>
        </w:rPr>
        <w:t>the whole genome SNP alignment. Core genome SNPs were extracted using SNP-sites,</w:t>
      </w:r>
      <w:bookmarkStart w:id="11" w:name="_Hlk163654372"/>
      <w:r w:rsidRPr="00E741C0">
        <w:rPr>
          <w:rFonts w:eastAsia="Calibri" w:cs="Times New Roman"/>
          <w:color w:val="000000" w:themeColor="text1"/>
          <w:kern w:val="2"/>
          <w:szCs w:val="24"/>
          <w:lang w:val="en-NZ"/>
          <w14:ligatures w14:val="standardContextual"/>
        </w:rPr>
        <w:t xml:space="preserve"> </w:t>
      </w:r>
      <w:r w:rsidRPr="00E741C0">
        <w:rPr>
          <w:rFonts w:eastAsia="Calibri" w:cs="Times New Roman"/>
          <w:color w:val="000000" w:themeColor="text1"/>
          <w:kern w:val="2"/>
          <w:szCs w:val="24"/>
          <w:lang w:val="en-NZ"/>
          <w14:ligatures w14:val="standardContextual"/>
        </w:rPr>
        <w:fldChar w:fldCharType="begin" w:fldLock="1"/>
      </w:r>
      <w:r w:rsidR="00184ADD" w:rsidRPr="00E741C0">
        <w:rPr>
          <w:rFonts w:eastAsia="Calibri" w:cs="Times New Roman"/>
          <w:color w:val="000000" w:themeColor="text1"/>
          <w:kern w:val="2"/>
          <w:szCs w:val="24"/>
          <w:lang w:val="en-NZ"/>
          <w14:ligatures w14:val="standardContextual"/>
        </w:rPr>
        <w:instrText>ADDIN CSL_CITATION {"citationItems":[{"id":"ITEM-1","itemData":{"DOI":"10.1099/MGEN.0.000056/CITE/REFWORKS","ISSN":"20575858","PMID":"28348851","abstract":"Rapidly decreasing genome sequencing costs have led to a proportionate increase in the number of samples used in prokaryotic population studies. Extracting single nucleotide polymorphisms (SNPs) from a large whole genome alignment is now a routine task, but existing tools have failed to scale efficiently with the increased size of studies. These tools are slow, memory inefficient and are installed through non-standard procedures. We present SNP-sites which can rapidly extract SNPs from a multi-FASTA alignment using modest resources and can output results in multiple formats for downstream analysis. SNPs can be extracted from a 8.3 GB alignment file (1842 taxa, 22 618 sites) in 267 seconds using 59 MB of RAM and 1 CPU core, making it feasible to run on modest computers. It is easy to install through the Debian and Homebrew package managers, and has been successfully tested on more than 20 operating systems. SNP-sites is implemented in C and is available under the open source license GNU GPL version 3.","author":[{"dropping-particle":"","family":"Page","given":"Andrew J.","non-dropping-particle":"","parse-names":false,"suffix":""},{"dropping-particle":"","family":"Taylor","given":"Ben","non-dropping-particle":"","parse-names":false,"suffix":""},{"dropping-particle":"","family":"Delaney","given":"Aidan J.","non-dropping-particle":"","parse-names":false,"suffix":""},{"dropping-particle":"","family":"Soares","given":"Jorge","non-dropping-particle":"","parse-names":false,"suffix":""},{"dropping-particle":"","family":"Seemann","given":"Torsten","non-dropping-particle":"","parse-names":false,"suffix":""},{"dropping-particle":"","family":"Keane","given":"Jacqueline A.","non-dropping-particle":"","parse-names":false,"suffix":""},{"dropping-particle":"","family":"Harris","given":"Simon R.","non-dropping-particle":"","parse-names":false,"suffix":""}],"container-title":"Microbial genomics","id":"ITEM-1","issue":"4","issued":{"date-parts":[["2016","4","1"]]},"page":"e000056","publisher":"Microbiology Society","title":"SNP-sites: rapid efficient extraction of SNPs from multi-FASTA alignments","type":"article-journal","volume":"2"},"uris":["http://www.mendeley.com/documents/?uuid=80bffbb5-c3a5-382d-9202-b0b24305a09f"]}],"mendeley":{"formattedCitation":"(Page et al., 2016)","plainTextFormattedCitation":"(Page et al., 2016)","previouslyFormattedCitation":"(Page et al., 2016)"},"properties":{"noteIndex":0},"schema":"https://github.com/citation-style-language/schema/raw/master/csl-citation.json"}</w:instrText>
      </w:r>
      <w:r w:rsidRPr="00E741C0">
        <w:rPr>
          <w:rFonts w:eastAsia="Calibri" w:cs="Times New Roman"/>
          <w:color w:val="000000" w:themeColor="text1"/>
          <w:kern w:val="2"/>
          <w:szCs w:val="24"/>
          <w:lang w:val="en-NZ"/>
          <w14:ligatures w14:val="standardContextual"/>
        </w:rPr>
        <w:fldChar w:fldCharType="separate"/>
      </w:r>
      <w:r w:rsidRPr="00E741C0">
        <w:rPr>
          <w:rFonts w:eastAsia="Calibri" w:cs="Times New Roman"/>
          <w:noProof/>
          <w:color w:val="000000" w:themeColor="text1"/>
          <w:kern w:val="2"/>
          <w:szCs w:val="24"/>
          <w:lang w:val="en-NZ"/>
          <w14:ligatures w14:val="standardContextual"/>
        </w:rPr>
        <w:t>(Page et al., 2016)</w:t>
      </w:r>
      <w:r w:rsidRPr="00E741C0">
        <w:rPr>
          <w:rFonts w:eastAsia="Calibri" w:cs="Times New Roman"/>
          <w:color w:val="000000" w:themeColor="text1"/>
          <w:kern w:val="2"/>
          <w:szCs w:val="24"/>
          <w:lang w:val="en-NZ"/>
          <w14:ligatures w14:val="standardContextual"/>
        </w:rPr>
        <w:fldChar w:fldCharType="end"/>
      </w:r>
      <w:r w:rsidRPr="00E741C0">
        <w:rPr>
          <w:rFonts w:eastAsia="Calibri" w:cs="Times New Roman"/>
          <w:color w:val="000000" w:themeColor="text1"/>
          <w:kern w:val="2"/>
          <w:szCs w:val="24"/>
          <w:lang w:val="en-NZ"/>
          <w14:ligatures w14:val="standardContextual"/>
        </w:rPr>
        <w:t xml:space="preserve"> </w:t>
      </w:r>
      <w:bookmarkEnd w:id="11"/>
      <w:r w:rsidRPr="00E741C0">
        <w:rPr>
          <w:rFonts w:eastAsia="Calibri" w:cs="Times New Roman"/>
          <w:color w:val="000000" w:themeColor="text1"/>
          <w:kern w:val="2"/>
          <w:szCs w:val="24"/>
          <w:lang w:val="en-NZ"/>
          <w14:ligatures w14:val="standardContextual"/>
        </w:rPr>
        <w:t>and SNP distances between genomes were calculated using pairwise SNP distance matrix (</w:t>
      </w:r>
      <w:hyperlink r:id="rId21" w:history="1">
        <w:r w:rsidRPr="00E741C0">
          <w:rPr>
            <w:rFonts w:eastAsia="Calibri" w:cs="Times New Roman"/>
            <w:color w:val="000000" w:themeColor="text1"/>
            <w:kern w:val="2"/>
            <w:szCs w:val="24"/>
            <w:u w:val="single"/>
            <w:lang w:val="en-NZ"/>
            <w14:ligatures w14:val="standardContextual"/>
          </w:rPr>
          <w:t>https://github.com/tseemann/snp-dists</w:t>
        </w:r>
      </w:hyperlink>
      <w:r w:rsidRPr="00E741C0">
        <w:rPr>
          <w:rFonts w:eastAsia="Calibri" w:cs="Times New Roman"/>
          <w:color w:val="000000" w:themeColor="text1"/>
          <w:kern w:val="2"/>
          <w:szCs w:val="24"/>
          <w:lang w:val="en-NZ"/>
          <w14:ligatures w14:val="standardContextual"/>
        </w:rPr>
        <w:t xml:space="preserve">). A maximum-likelihood phylogenetic tree was constructed from core SNPs with </w:t>
      </w:r>
      <w:proofErr w:type="spellStart"/>
      <w:r w:rsidRPr="00E741C0">
        <w:rPr>
          <w:rFonts w:eastAsia="Calibri" w:cs="Times New Roman"/>
          <w:color w:val="000000" w:themeColor="text1"/>
          <w:kern w:val="2"/>
          <w:szCs w:val="24"/>
          <w:lang w:val="en-NZ"/>
          <w14:ligatures w14:val="standardContextual"/>
        </w:rPr>
        <w:t>FastTree</w:t>
      </w:r>
      <w:proofErr w:type="spellEnd"/>
      <w:r w:rsidRPr="00E741C0">
        <w:rPr>
          <w:rFonts w:eastAsia="Calibri" w:cs="Times New Roman"/>
          <w:color w:val="000000" w:themeColor="text1"/>
          <w:kern w:val="2"/>
          <w:szCs w:val="24"/>
          <w:lang w:val="en-NZ"/>
          <w14:ligatures w14:val="standardContextual"/>
        </w:rPr>
        <w:t xml:space="preserve"> (v2.1.10, double precision [No SSE3]) and the resulting trees were visualized using the Interactive Tree of Life (</w:t>
      </w:r>
      <w:proofErr w:type="spellStart"/>
      <w:r w:rsidRPr="00E741C0">
        <w:rPr>
          <w:rFonts w:eastAsia="Calibri" w:cs="Times New Roman"/>
          <w:color w:val="000000" w:themeColor="text1"/>
          <w:kern w:val="2"/>
          <w:szCs w:val="24"/>
          <w:lang w:val="en-NZ"/>
          <w14:ligatures w14:val="standardContextual"/>
        </w:rPr>
        <w:t>iTOL</w:t>
      </w:r>
      <w:proofErr w:type="spellEnd"/>
      <w:r w:rsidRPr="00E741C0">
        <w:rPr>
          <w:rFonts w:eastAsia="Calibri" w:cs="Times New Roman"/>
          <w:color w:val="000000" w:themeColor="text1"/>
          <w:kern w:val="2"/>
          <w:szCs w:val="24"/>
          <w:lang w:val="en-NZ"/>
          <w14:ligatures w14:val="standardContextual"/>
        </w:rPr>
        <w:t>) (v6.8.1) (</w:t>
      </w:r>
      <w:hyperlink r:id="rId22" w:history="1">
        <w:r w:rsidRPr="00E741C0">
          <w:rPr>
            <w:rFonts w:eastAsia="Calibri" w:cs="Times New Roman"/>
            <w:color w:val="000000" w:themeColor="text1"/>
            <w:kern w:val="2"/>
            <w:szCs w:val="24"/>
            <w:u w:val="single"/>
            <w:lang w:val="en-NZ"/>
            <w14:ligatures w14:val="standardContextual"/>
          </w:rPr>
          <w:t>https://itol.embl.de/</w:t>
        </w:r>
      </w:hyperlink>
      <w:r w:rsidRPr="00E741C0">
        <w:rPr>
          <w:rFonts w:eastAsia="Calibri" w:cs="Times New Roman"/>
          <w:color w:val="000000" w:themeColor="text1"/>
          <w:kern w:val="2"/>
          <w:szCs w:val="24"/>
          <w:lang w:val="en-NZ"/>
          <w14:ligatures w14:val="standardContextual"/>
        </w:rPr>
        <w:t>). Analyses included only samples with at least 50x depth of coverage and 90% genome coverage</w:t>
      </w:r>
      <w:r w:rsidRPr="00E741C0">
        <w:rPr>
          <w:rFonts w:eastAsia="Calibri" w:cs="Times New Roman"/>
          <w:b/>
          <w:bCs/>
          <w:color w:val="000000" w:themeColor="text1"/>
          <w:kern w:val="2"/>
          <w:szCs w:val="24"/>
          <w:lang w:val="en-NZ"/>
          <w14:ligatures w14:val="standardContextual"/>
        </w:rPr>
        <w:t>.</w:t>
      </w:r>
    </w:p>
    <w:p w14:paraId="7AF854EE" w14:textId="77777777" w:rsidR="000C40A7" w:rsidRPr="00E741C0" w:rsidRDefault="000C40A7" w:rsidP="000C40A7">
      <w:pPr>
        <w:spacing w:before="0" w:after="160"/>
        <w:jc w:val="both"/>
        <w:rPr>
          <w:rFonts w:eastAsia="Calibri" w:cs="Times New Roman"/>
          <w:b/>
          <w:bCs/>
          <w:color w:val="000000" w:themeColor="text1"/>
          <w:kern w:val="2"/>
          <w:szCs w:val="24"/>
          <w:lang w:val="en-NZ"/>
          <w14:ligatures w14:val="standardContextual"/>
        </w:rPr>
      </w:pPr>
    </w:p>
    <w:p w14:paraId="1A7CA6CA" w14:textId="77777777" w:rsidR="00A4133B" w:rsidRPr="00E741C0" w:rsidRDefault="00A4133B">
      <w:pPr>
        <w:spacing w:before="0" w:after="200" w:line="276" w:lineRule="auto"/>
        <w:rPr>
          <w:rFonts w:cs="Times New Roman"/>
          <w:b/>
          <w:bCs/>
          <w:color w:val="000000" w:themeColor="text1"/>
          <w:szCs w:val="24"/>
        </w:rPr>
      </w:pPr>
      <w:r w:rsidRPr="00E741C0">
        <w:rPr>
          <w:rFonts w:cs="Times New Roman"/>
          <w:b/>
          <w:bCs/>
          <w:color w:val="000000" w:themeColor="text1"/>
          <w:szCs w:val="24"/>
        </w:rPr>
        <w:br w:type="page"/>
      </w:r>
    </w:p>
    <w:p w14:paraId="50E7C1CB" w14:textId="77777777" w:rsidR="00A4133B" w:rsidRPr="00E741C0" w:rsidRDefault="00FE000E" w:rsidP="00A4133B">
      <w:pPr>
        <w:rPr>
          <w:rFonts w:cs="Times New Roman"/>
          <w:color w:val="000000" w:themeColor="text1"/>
          <w:szCs w:val="24"/>
        </w:rPr>
      </w:pPr>
      <w:r w:rsidRPr="00E741C0">
        <w:rPr>
          <w:rFonts w:cs="Times New Roman"/>
          <w:b/>
          <w:bCs/>
          <w:color w:val="000000" w:themeColor="text1"/>
          <w:szCs w:val="24"/>
        </w:rPr>
        <w:lastRenderedPageBreak/>
        <w:t>Supplementary Table</w:t>
      </w:r>
      <w:r w:rsidRPr="00E741C0">
        <w:rPr>
          <w:rFonts w:cs="Times New Roman"/>
          <w:b/>
          <w:bCs/>
          <w:color w:val="000000" w:themeColor="text1"/>
          <w:szCs w:val="24"/>
        </w:rPr>
        <w:t>s</w:t>
      </w:r>
      <w:r w:rsidRPr="00E741C0">
        <w:rPr>
          <w:rFonts w:cs="Times New Roman"/>
          <w:b/>
          <w:bCs/>
          <w:color w:val="000000" w:themeColor="text1"/>
          <w:szCs w:val="24"/>
        </w:rPr>
        <w:t xml:space="preserve"> 3</w:t>
      </w:r>
      <w:r w:rsidRPr="00E741C0">
        <w:rPr>
          <w:rFonts w:cs="Times New Roman"/>
          <w:color w:val="000000" w:themeColor="text1"/>
          <w:szCs w:val="24"/>
        </w:rPr>
        <w:t xml:space="preserve">. </w:t>
      </w:r>
      <w:bookmarkStart w:id="12" w:name="_Hlk170906543"/>
      <w:r w:rsidRPr="00E741C0">
        <w:rPr>
          <w:rFonts w:cs="Times New Roman"/>
          <w:b/>
          <w:bCs/>
          <w:color w:val="000000" w:themeColor="text1"/>
          <w:szCs w:val="24"/>
        </w:rPr>
        <w:t xml:space="preserve">Refer to excel for </w:t>
      </w:r>
      <w:r w:rsidRPr="00E741C0">
        <w:rPr>
          <w:rFonts w:cs="Times New Roman"/>
          <w:b/>
          <w:bCs/>
          <w:color w:val="000000" w:themeColor="text1"/>
          <w:szCs w:val="24"/>
        </w:rPr>
        <w:t>m</w:t>
      </w:r>
      <w:r w:rsidRPr="00E741C0">
        <w:rPr>
          <w:rFonts w:cs="Times New Roman"/>
          <w:b/>
          <w:bCs/>
          <w:color w:val="000000" w:themeColor="text1"/>
          <w:szCs w:val="24"/>
        </w:rPr>
        <w:t xml:space="preserve">etadata for clinical </w:t>
      </w:r>
      <w:proofErr w:type="spellStart"/>
      <w:r w:rsidRPr="00E741C0">
        <w:rPr>
          <w:rFonts w:cs="Times New Roman"/>
          <w:b/>
          <w:bCs/>
          <w:color w:val="000000" w:themeColor="text1"/>
          <w:szCs w:val="24"/>
        </w:rPr>
        <w:t>CR</w:t>
      </w:r>
      <w:r w:rsidRPr="00E741C0">
        <w:rPr>
          <w:rFonts w:cs="Times New Roman"/>
          <w:b/>
          <w:bCs/>
          <w:i/>
          <w:iCs/>
          <w:color w:val="000000" w:themeColor="text1"/>
          <w:szCs w:val="24"/>
        </w:rPr>
        <w:t>Ab</w:t>
      </w:r>
      <w:proofErr w:type="spellEnd"/>
      <w:r w:rsidRPr="00E741C0">
        <w:rPr>
          <w:rFonts w:cs="Times New Roman"/>
          <w:b/>
          <w:bCs/>
          <w:i/>
          <w:iCs/>
          <w:color w:val="000000" w:themeColor="text1"/>
          <w:szCs w:val="24"/>
        </w:rPr>
        <w:t xml:space="preserve"> </w:t>
      </w:r>
      <w:r w:rsidRPr="00E741C0">
        <w:rPr>
          <w:rFonts w:cs="Times New Roman"/>
          <w:b/>
          <w:bCs/>
          <w:color w:val="000000" w:themeColor="text1"/>
          <w:szCs w:val="24"/>
        </w:rPr>
        <w:t>ST2 isolates collected</w:t>
      </w:r>
      <w:r w:rsidRPr="00E741C0">
        <w:rPr>
          <w:rFonts w:eastAsia="Calibri" w:cs="Times New Roman"/>
          <w:b/>
          <w:bCs/>
          <w:color w:val="000000" w:themeColor="text1"/>
          <w:szCs w:val="24"/>
          <w:lang w:val="en-NZ"/>
        </w:rPr>
        <w:t xml:space="preserve"> from </w:t>
      </w:r>
      <w:r w:rsidRPr="00E741C0">
        <w:rPr>
          <w:rFonts w:cs="Times New Roman"/>
          <w:b/>
          <w:bCs/>
          <w:color w:val="000000" w:themeColor="text1"/>
          <w:szCs w:val="24"/>
          <w:lang w:val="en-NZ"/>
        </w:rPr>
        <w:t>CWMH in 2016/2017</w:t>
      </w:r>
      <w:r w:rsidR="00A4133B" w:rsidRPr="00E741C0">
        <w:rPr>
          <w:rFonts w:cs="Times New Roman"/>
          <w:b/>
          <w:bCs/>
          <w:color w:val="000000" w:themeColor="text1"/>
          <w:szCs w:val="24"/>
          <w:lang w:val="en-NZ"/>
        </w:rPr>
        <w:t xml:space="preserve"> and 2019 to </w:t>
      </w:r>
      <w:r w:rsidRPr="00E741C0">
        <w:rPr>
          <w:rFonts w:cs="Times New Roman"/>
          <w:b/>
          <w:bCs/>
          <w:color w:val="000000" w:themeColor="text1"/>
          <w:szCs w:val="24"/>
          <w:lang w:val="en-NZ"/>
        </w:rPr>
        <w:t>2021, as well as LTKH and LBSH from 2020 to 2021.</w:t>
      </w:r>
      <w:bookmarkEnd w:id="12"/>
    </w:p>
    <w:p w14:paraId="4B82D9A1" w14:textId="77777777" w:rsidR="00A4133B" w:rsidRPr="00E741C0" w:rsidRDefault="00A4133B" w:rsidP="00A4133B">
      <w:pPr>
        <w:rPr>
          <w:rFonts w:cs="Times New Roman"/>
          <w:b/>
          <w:bCs/>
          <w:color w:val="000000" w:themeColor="text1"/>
          <w:szCs w:val="24"/>
        </w:rPr>
      </w:pPr>
    </w:p>
    <w:p w14:paraId="2AD5E6A5" w14:textId="70FD967B" w:rsidR="000C40A7" w:rsidRPr="00E741C0" w:rsidRDefault="00A4133B" w:rsidP="00A4133B">
      <w:pPr>
        <w:rPr>
          <w:rFonts w:cs="Times New Roman"/>
          <w:color w:val="000000" w:themeColor="text1"/>
          <w:szCs w:val="24"/>
        </w:rPr>
      </w:pPr>
      <w:r w:rsidRPr="00E741C0">
        <w:rPr>
          <w:rFonts w:cs="Times New Roman"/>
          <w:b/>
          <w:bCs/>
          <w:color w:val="000000" w:themeColor="text1"/>
          <w:szCs w:val="24"/>
        </w:rPr>
        <w:t xml:space="preserve">Supplementary Table 4. Refer to excel for </w:t>
      </w:r>
      <w:r w:rsidRPr="00E741C0">
        <w:rPr>
          <w:rFonts w:cs="Times New Roman"/>
          <w:b/>
          <w:bCs/>
          <w:color w:val="000000" w:themeColor="text1"/>
          <w:szCs w:val="24"/>
        </w:rPr>
        <w:t>m</w:t>
      </w:r>
      <w:r w:rsidRPr="00E741C0">
        <w:rPr>
          <w:rFonts w:cs="Times New Roman"/>
          <w:b/>
          <w:bCs/>
          <w:color w:val="000000" w:themeColor="text1"/>
          <w:szCs w:val="24"/>
        </w:rPr>
        <w:t xml:space="preserve">etadata for clinical </w:t>
      </w:r>
      <w:proofErr w:type="spellStart"/>
      <w:r w:rsidRPr="00E741C0">
        <w:rPr>
          <w:rFonts w:cs="Times New Roman"/>
          <w:b/>
          <w:bCs/>
          <w:color w:val="000000" w:themeColor="text1"/>
          <w:szCs w:val="24"/>
        </w:rPr>
        <w:t>CR</w:t>
      </w:r>
      <w:r w:rsidRPr="00E741C0">
        <w:rPr>
          <w:rFonts w:cs="Times New Roman"/>
          <w:b/>
          <w:bCs/>
          <w:i/>
          <w:iCs/>
          <w:color w:val="000000" w:themeColor="text1"/>
          <w:szCs w:val="24"/>
        </w:rPr>
        <w:t>Ab</w:t>
      </w:r>
      <w:proofErr w:type="spellEnd"/>
      <w:r w:rsidRPr="00E741C0">
        <w:rPr>
          <w:rFonts w:cs="Times New Roman"/>
          <w:b/>
          <w:bCs/>
          <w:i/>
          <w:iCs/>
          <w:color w:val="000000" w:themeColor="text1"/>
          <w:szCs w:val="24"/>
        </w:rPr>
        <w:t xml:space="preserve"> </w:t>
      </w:r>
      <w:r w:rsidRPr="00E741C0">
        <w:rPr>
          <w:rFonts w:cs="Times New Roman"/>
          <w:b/>
          <w:bCs/>
          <w:color w:val="000000" w:themeColor="text1"/>
          <w:szCs w:val="24"/>
        </w:rPr>
        <w:t>ST25 isolates collected</w:t>
      </w:r>
      <w:r w:rsidRPr="00E741C0">
        <w:rPr>
          <w:rFonts w:cs="Times New Roman"/>
          <w:b/>
          <w:bCs/>
          <w:color w:val="000000" w:themeColor="text1"/>
          <w:szCs w:val="24"/>
          <w:lang w:val="en-NZ"/>
        </w:rPr>
        <w:t xml:space="preserve"> from CWMH in 2019</w:t>
      </w:r>
      <w:r w:rsidRPr="00E741C0">
        <w:rPr>
          <w:rFonts w:cs="Times New Roman"/>
          <w:b/>
          <w:bCs/>
          <w:color w:val="000000" w:themeColor="text1"/>
          <w:szCs w:val="24"/>
          <w:lang w:val="en-NZ"/>
        </w:rPr>
        <w:t xml:space="preserve">to </w:t>
      </w:r>
      <w:r w:rsidRPr="00E741C0">
        <w:rPr>
          <w:rFonts w:cs="Times New Roman"/>
          <w:b/>
          <w:bCs/>
          <w:color w:val="000000" w:themeColor="text1"/>
          <w:szCs w:val="24"/>
          <w:lang w:val="en-NZ"/>
        </w:rPr>
        <w:t>2021, as well as LBSH from 2020 to 2021.</w:t>
      </w:r>
    </w:p>
    <w:p w14:paraId="1F2AAB60" w14:textId="77777777" w:rsidR="00A4133B" w:rsidRPr="00E741C0" w:rsidRDefault="00A4133B" w:rsidP="00A4133B">
      <w:pPr>
        <w:spacing w:before="0" w:after="160" w:line="259" w:lineRule="auto"/>
        <w:contextualSpacing/>
        <w:jc w:val="both"/>
        <w:rPr>
          <w:rFonts w:cs="Times New Roman"/>
          <w:b/>
          <w:bCs/>
          <w:color w:val="000000" w:themeColor="text1"/>
          <w:szCs w:val="24"/>
        </w:rPr>
      </w:pPr>
    </w:p>
    <w:p w14:paraId="46405597" w14:textId="0C547574" w:rsidR="00A4133B" w:rsidRPr="00E741C0" w:rsidRDefault="00A4133B" w:rsidP="00A4133B">
      <w:pPr>
        <w:spacing w:before="0" w:after="160" w:line="259" w:lineRule="auto"/>
        <w:contextualSpacing/>
        <w:jc w:val="both"/>
        <w:rPr>
          <w:rFonts w:cs="Times New Roman"/>
          <w:b/>
          <w:bCs/>
          <w:color w:val="000000" w:themeColor="text1"/>
          <w:szCs w:val="24"/>
        </w:rPr>
      </w:pPr>
      <w:r w:rsidRPr="00E741C0">
        <w:rPr>
          <w:rFonts w:cs="Times New Roman"/>
          <w:b/>
          <w:bCs/>
          <w:color w:val="000000" w:themeColor="text1"/>
          <w:szCs w:val="24"/>
        </w:rPr>
        <w:t xml:space="preserve">Supplementary Table </w:t>
      </w:r>
      <w:r w:rsidRPr="00E741C0">
        <w:rPr>
          <w:rFonts w:cs="Times New Roman"/>
          <w:b/>
          <w:bCs/>
          <w:color w:val="000000" w:themeColor="text1"/>
          <w:szCs w:val="24"/>
        </w:rPr>
        <w:t>5</w:t>
      </w:r>
      <w:r w:rsidRPr="00E741C0">
        <w:rPr>
          <w:rFonts w:cs="Times New Roman"/>
          <w:b/>
          <w:bCs/>
          <w:color w:val="000000" w:themeColor="text1"/>
          <w:szCs w:val="24"/>
        </w:rPr>
        <w:t xml:space="preserve">. Refer to excel for </w:t>
      </w:r>
      <w:r w:rsidRPr="00E741C0">
        <w:rPr>
          <w:rFonts w:cs="Times New Roman"/>
          <w:b/>
          <w:bCs/>
          <w:color w:val="000000" w:themeColor="text1"/>
          <w:szCs w:val="24"/>
        </w:rPr>
        <w:t>m</w:t>
      </w:r>
      <w:r w:rsidRPr="00E741C0">
        <w:rPr>
          <w:rFonts w:cs="Times New Roman"/>
          <w:b/>
          <w:bCs/>
          <w:color w:val="000000" w:themeColor="text1"/>
          <w:szCs w:val="24"/>
        </w:rPr>
        <w:t xml:space="preserve">etadata for clinical </w:t>
      </w:r>
      <w:proofErr w:type="spellStart"/>
      <w:r w:rsidRPr="00E741C0">
        <w:rPr>
          <w:rFonts w:cs="Times New Roman"/>
          <w:b/>
          <w:bCs/>
          <w:color w:val="000000" w:themeColor="text1"/>
          <w:szCs w:val="24"/>
        </w:rPr>
        <w:t>CR</w:t>
      </w:r>
      <w:r w:rsidRPr="00E741C0">
        <w:rPr>
          <w:rFonts w:cs="Times New Roman"/>
          <w:b/>
          <w:bCs/>
          <w:i/>
          <w:iCs/>
          <w:color w:val="000000" w:themeColor="text1"/>
          <w:szCs w:val="24"/>
        </w:rPr>
        <w:t>Ab</w:t>
      </w:r>
      <w:proofErr w:type="spellEnd"/>
      <w:r w:rsidRPr="00E741C0">
        <w:rPr>
          <w:rFonts w:cs="Times New Roman"/>
          <w:b/>
          <w:bCs/>
          <w:i/>
          <w:iCs/>
          <w:color w:val="000000" w:themeColor="text1"/>
          <w:szCs w:val="24"/>
        </w:rPr>
        <w:t xml:space="preserve"> </w:t>
      </w:r>
      <w:r w:rsidRPr="00E741C0">
        <w:rPr>
          <w:rFonts w:cs="Times New Roman"/>
          <w:b/>
          <w:bCs/>
          <w:color w:val="000000" w:themeColor="text1"/>
          <w:szCs w:val="24"/>
        </w:rPr>
        <w:t>ST</w:t>
      </w:r>
      <w:r w:rsidRPr="00E741C0">
        <w:rPr>
          <w:rFonts w:cs="Times New Roman"/>
          <w:b/>
          <w:bCs/>
          <w:color w:val="000000" w:themeColor="text1"/>
          <w:szCs w:val="24"/>
        </w:rPr>
        <w:t>499</w:t>
      </w:r>
      <w:r w:rsidRPr="00E741C0">
        <w:rPr>
          <w:rFonts w:cs="Times New Roman"/>
          <w:b/>
          <w:bCs/>
          <w:color w:val="000000" w:themeColor="text1"/>
          <w:szCs w:val="24"/>
        </w:rPr>
        <w:t xml:space="preserve"> isolates collected</w:t>
      </w:r>
      <w:r w:rsidRPr="00E741C0">
        <w:rPr>
          <w:rFonts w:cs="Times New Roman"/>
          <w:b/>
          <w:bCs/>
          <w:color w:val="000000" w:themeColor="text1"/>
          <w:szCs w:val="24"/>
          <w:lang w:val="en-NZ"/>
        </w:rPr>
        <w:t xml:space="preserve"> from CWMH in 20</w:t>
      </w:r>
      <w:r w:rsidRPr="00E741C0">
        <w:rPr>
          <w:rFonts w:cs="Times New Roman"/>
          <w:b/>
          <w:bCs/>
          <w:color w:val="000000" w:themeColor="text1"/>
          <w:szCs w:val="24"/>
          <w:lang w:val="en-NZ"/>
        </w:rPr>
        <w:t xml:space="preserve">20 to </w:t>
      </w:r>
      <w:r w:rsidRPr="00E741C0">
        <w:rPr>
          <w:rFonts w:cs="Times New Roman"/>
          <w:b/>
          <w:bCs/>
          <w:color w:val="000000" w:themeColor="text1"/>
          <w:szCs w:val="24"/>
          <w:lang w:val="en-NZ"/>
        </w:rPr>
        <w:t>2021.</w:t>
      </w:r>
    </w:p>
    <w:p w14:paraId="4CEA6A48" w14:textId="77777777" w:rsidR="00A4133B" w:rsidRPr="00E741C0" w:rsidRDefault="00A4133B" w:rsidP="006B2D5B">
      <w:pPr>
        <w:rPr>
          <w:rFonts w:cs="Times New Roman"/>
          <w:color w:val="000000" w:themeColor="text1"/>
          <w:szCs w:val="24"/>
        </w:rPr>
      </w:pPr>
    </w:p>
    <w:p w14:paraId="76EFCDBD" w14:textId="77777777" w:rsidR="000C40A7" w:rsidRPr="00E741C0" w:rsidRDefault="000C40A7" w:rsidP="006B2D5B">
      <w:pPr>
        <w:rPr>
          <w:rFonts w:cs="Times New Roman"/>
          <w:color w:val="000000" w:themeColor="text1"/>
          <w:szCs w:val="24"/>
        </w:rPr>
      </w:pPr>
    </w:p>
    <w:p w14:paraId="7B8AE608" w14:textId="77777777" w:rsidR="000C40A7" w:rsidRPr="00E741C0" w:rsidRDefault="000C40A7" w:rsidP="006B2D5B">
      <w:pPr>
        <w:rPr>
          <w:rFonts w:cs="Times New Roman"/>
          <w:color w:val="000000" w:themeColor="text1"/>
          <w:szCs w:val="24"/>
        </w:rPr>
      </w:pPr>
    </w:p>
    <w:p w14:paraId="2ABC4B37" w14:textId="77777777" w:rsidR="000C40A7" w:rsidRPr="00E741C0" w:rsidRDefault="000C40A7" w:rsidP="006B2D5B">
      <w:pPr>
        <w:rPr>
          <w:rFonts w:cs="Times New Roman"/>
          <w:color w:val="000000" w:themeColor="text1"/>
          <w:szCs w:val="24"/>
        </w:rPr>
        <w:sectPr w:rsidR="000C40A7" w:rsidRPr="00E741C0" w:rsidSect="00A3254A">
          <w:footerReference w:type="even" r:id="rId23"/>
          <w:footerReference w:type="default" r:id="rId24"/>
          <w:headerReference w:type="first" r:id="rId25"/>
          <w:pgSz w:w="12240" w:h="15840"/>
          <w:pgMar w:top="1140" w:right="1179" w:bottom="1140" w:left="1281" w:header="284" w:footer="510" w:gutter="0"/>
          <w:lnNumType w:countBy="1" w:restart="continuous"/>
          <w:pgNumType w:start="0"/>
          <w:cols w:space="720"/>
          <w:titlePg/>
          <w:docGrid w:linePitch="360"/>
        </w:sectPr>
      </w:pPr>
    </w:p>
    <w:p w14:paraId="1B729EB4" w14:textId="5EBADFD7" w:rsidR="000C40A7" w:rsidRPr="00E741C0" w:rsidRDefault="000C40A7" w:rsidP="000C40A7">
      <w:pPr>
        <w:spacing w:before="0" w:after="160"/>
        <w:jc w:val="both"/>
        <w:rPr>
          <w:rFonts w:eastAsia="Calibri" w:cs="Times New Roman"/>
          <w:b/>
          <w:bCs/>
          <w:color w:val="000000" w:themeColor="text1"/>
          <w:kern w:val="2"/>
          <w:szCs w:val="24"/>
          <w:lang w:val="en-NZ"/>
          <w14:ligatures w14:val="standardContextual"/>
        </w:rPr>
      </w:pPr>
      <w:r w:rsidRPr="00E741C0">
        <w:rPr>
          <w:rFonts w:eastAsia="Calibri" w:cs="Times New Roman"/>
          <w:b/>
          <w:bCs/>
          <w:color w:val="000000" w:themeColor="text1"/>
          <w:szCs w:val="24"/>
          <w:lang w:val="en-NZ"/>
        </w:rPr>
        <w:lastRenderedPageBreak/>
        <w:t xml:space="preserve">Supplementary Figure 2. Core genome SNP phylogeny of environmental and clinical carbapenem resistant </w:t>
      </w:r>
      <w:r w:rsidRPr="00E741C0">
        <w:rPr>
          <w:rFonts w:eastAsia="Calibri" w:cs="Times New Roman"/>
          <w:b/>
          <w:bCs/>
          <w:i/>
          <w:iCs/>
          <w:color w:val="000000" w:themeColor="text1"/>
          <w:szCs w:val="24"/>
          <w:lang w:val="en-NZ"/>
        </w:rPr>
        <w:t xml:space="preserve">Acinetobacter baumannii </w:t>
      </w:r>
      <w:r w:rsidRPr="00E741C0">
        <w:rPr>
          <w:rFonts w:eastAsia="Calibri" w:cs="Times New Roman"/>
          <w:b/>
          <w:bCs/>
          <w:color w:val="000000" w:themeColor="text1"/>
          <w:szCs w:val="24"/>
          <w:lang w:val="en-NZ"/>
        </w:rPr>
        <w:t xml:space="preserve">ST2 from Fiji’s CWMH, </w:t>
      </w:r>
      <w:r w:rsidRPr="00E741C0">
        <w:rPr>
          <w:rFonts w:eastAsia="Calibri" w:cs="Times New Roman"/>
          <w:b/>
          <w:bCs/>
          <w:color w:val="000000" w:themeColor="text1"/>
          <w:kern w:val="2"/>
          <w:szCs w:val="24"/>
          <w:lang w:val="en-NZ"/>
          <w14:ligatures w14:val="standardContextual"/>
        </w:rPr>
        <w:t xml:space="preserve">(2016/2017, 2019, 2020 – 2022). </w:t>
      </w:r>
    </w:p>
    <w:p w14:paraId="3DA80D5D" w14:textId="77777777" w:rsidR="000C40A7" w:rsidRPr="00E741C0" w:rsidRDefault="000C40A7" w:rsidP="000C40A7">
      <w:pPr>
        <w:spacing w:before="0" w:after="160"/>
        <w:jc w:val="both"/>
        <w:rPr>
          <w:rFonts w:eastAsia="Calibri" w:cs="Times New Roman"/>
          <w:b/>
          <w:bCs/>
          <w:color w:val="000000" w:themeColor="text1"/>
          <w:szCs w:val="24"/>
          <w:lang w:val="en-NZ"/>
        </w:rPr>
      </w:pPr>
    </w:p>
    <w:p w14:paraId="2E764C1A" w14:textId="79F6B59C" w:rsidR="000C40A7" w:rsidRPr="00E741C0" w:rsidRDefault="000C40A7" w:rsidP="006B2D5B">
      <w:pPr>
        <w:rPr>
          <w:rFonts w:cs="Times New Roman"/>
          <w:b/>
          <w:bCs/>
          <w:color w:val="000000" w:themeColor="text1"/>
          <w:szCs w:val="24"/>
        </w:rPr>
      </w:pPr>
      <w:r w:rsidRPr="00E741C0">
        <w:rPr>
          <w:rFonts w:cs="Times New Roman"/>
          <w:b/>
          <w:bCs/>
          <w:color w:val="000000" w:themeColor="text1"/>
          <w:szCs w:val="24"/>
        </w:rPr>
        <w:t>a.</w:t>
      </w:r>
    </w:p>
    <w:p w14:paraId="5C60938A" w14:textId="75829AB7" w:rsidR="000C40A7" w:rsidRPr="00E741C0" w:rsidRDefault="000C40A7" w:rsidP="006B2D5B">
      <w:pPr>
        <w:rPr>
          <w:rFonts w:cs="Times New Roman"/>
          <w:color w:val="000000" w:themeColor="text1"/>
          <w:szCs w:val="24"/>
        </w:rPr>
      </w:pPr>
      <w:r w:rsidRPr="00E741C0">
        <w:rPr>
          <w:rFonts w:ascii="Calibri" w:eastAsia="Calibri" w:hAnsi="Calibri" w:cs="Times New Roman"/>
          <w:noProof/>
          <w:color w:val="000000" w:themeColor="text1"/>
          <w:kern w:val="2"/>
          <w:sz w:val="22"/>
          <w:lang w:val="en-NZ"/>
          <w14:ligatures w14:val="standardContextual"/>
        </w:rPr>
        <w:drawing>
          <wp:inline distT="0" distB="0" distL="0" distR="0" wp14:anchorId="367FD348" wp14:editId="6C354675">
            <wp:extent cx="8610600" cy="3697514"/>
            <wp:effectExtent l="0" t="0" r="0" b="0"/>
            <wp:docPr id="257107002"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07002" name="Picture 1" descr="A screenshot of a computer game&#10;&#10;Description automatically generated"/>
                    <pic:cNvPicPr/>
                  </pic:nvPicPr>
                  <pic:blipFill>
                    <a:blip r:embed="rId26"/>
                    <a:stretch>
                      <a:fillRect/>
                    </a:stretch>
                  </pic:blipFill>
                  <pic:spPr>
                    <a:xfrm>
                      <a:off x="0" y="0"/>
                      <a:ext cx="8610600" cy="3697514"/>
                    </a:xfrm>
                    <a:prstGeom prst="rect">
                      <a:avLst/>
                    </a:prstGeom>
                  </pic:spPr>
                </pic:pic>
              </a:graphicData>
            </a:graphic>
          </wp:inline>
        </w:drawing>
      </w:r>
    </w:p>
    <w:p w14:paraId="641BAAB4" w14:textId="1EC2C521" w:rsidR="000C40A7" w:rsidRPr="00E741C0" w:rsidRDefault="000C40A7" w:rsidP="006B2D5B">
      <w:pPr>
        <w:rPr>
          <w:rFonts w:cs="Times New Roman"/>
          <w:b/>
          <w:bCs/>
          <w:color w:val="000000" w:themeColor="text1"/>
          <w:szCs w:val="24"/>
        </w:rPr>
      </w:pPr>
    </w:p>
    <w:p w14:paraId="5420F0E7" w14:textId="77777777" w:rsidR="000C40A7" w:rsidRPr="00E741C0" w:rsidRDefault="000C40A7" w:rsidP="006B2D5B">
      <w:pPr>
        <w:rPr>
          <w:rFonts w:cs="Times New Roman"/>
          <w:b/>
          <w:bCs/>
          <w:color w:val="000000" w:themeColor="text1"/>
          <w:szCs w:val="24"/>
        </w:rPr>
      </w:pPr>
    </w:p>
    <w:p w14:paraId="04B780B4" w14:textId="77777777" w:rsidR="000C40A7" w:rsidRPr="00E741C0" w:rsidRDefault="000C40A7" w:rsidP="006B2D5B">
      <w:pPr>
        <w:rPr>
          <w:rFonts w:cs="Times New Roman"/>
          <w:b/>
          <w:bCs/>
          <w:color w:val="000000" w:themeColor="text1"/>
          <w:szCs w:val="24"/>
        </w:rPr>
      </w:pPr>
    </w:p>
    <w:p w14:paraId="616E5F17" w14:textId="77777777" w:rsidR="000C40A7" w:rsidRPr="00E741C0" w:rsidRDefault="000C40A7" w:rsidP="006B2D5B">
      <w:pPr>
        <w:rPr>
          <w:rFonts w:cs="Times New Roman"/>
          <w:b/>
          <w:bCs/>
          <w:color w:val="000000" w:themeColor="text1"/>
          <w:szCs w:val="24"/>
        </w:rPr>
      </w:pPr>
    </w:p>
    <w:p w14:paraId="6D72953E" w14:textId="77A23E2D" w:rsidR="000C40A7" w:rsidRPr="00E741C0" w:rsidRDefault="000C40A7" w:rsidP="006B2D5B">
      <w:pPr>
        <w:rPr>
          <w:rFonts w:cs="Times New Roman"/>
          <w:b/>
          <w:bCs/>
          <w:color w:val="000000" w:themeColor="text1"/>
          <w:szCs w:val="24"/>
        </w:rPr>
      </w:pPr>
      <w:r w:rsidRPr="00E741C0">
        <w:rPr>
          <w:rFonts w:cs="Times New Roman"/>
          <w:b/>
          <w:bCs/>
          <w:color w:val="000000" w:themeColor="text1"/>
          <w:szCs w:val="24"/>
        </w:rPr>
        <w:lastRenderedPageBreak/>
        <w:t>b.</w:t>
      </w:r>
    </w:p>
    <w:p w14:paraId="3E91C0F5" w14:textId="318168EA" w:rsidR="000C40A7" w:rsidRPr="00E741C0" w:rsidRDefault="005B58BB" w:rsidP="000C40A7">
      <w:pPr>
        <w:jc w:val="center"/>
        <w:rPr>
          <w:rFonts w:cs="Times New Roman"/>
          <w:b/>
          <w:bCs/>
          <w:color w:val="000000" w:themeColor="text1"/>
          <w:szCs w:val="24"/>
        </w:rPr>
      </w:pPr>
      <w:r w:rsidRPr="00E741C0">
        <w:rPr>
          <w:noProof/>
          <w:color w:val="000000" w:themeColor="text1"/>
        </w:rPr>
        <w:drawing>
          <wp:inline distT="0" distB="0" distL="0" distR="0" wp14:anchorId="4CA2B3BF" wp14:editId="2CED3AAF">
            <wp:extent cx="6534150" cy="5303235"/>
            <wp:effectExtent l="0" t="0" r="0" b="0"/>
            <wp:docPr id="125904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7009" name=""/>
                    <pic:cNvPicPr/>
                  </pic:nvPicPr>
                  <pic:blipFill>
                    <a:blip r:embed="rId27"/>
                    <a:stretch>
                      <a:fillRect/>
                    </a:stretch>
                  </pic:blipFill>
                  <pic:spPr>
                    <a:xfrm>
                      <a:off x="0" y="0"/>
                      <a:ext cx="6541919" cy="5309540"/>
                    </a:xfrm>
                    <a:prstGeom prst="rect">
                      <a:avLst/>
                    </a:prstGeom>
                  </pic:spPr>
                </pic:pic>
              </a:graphicData>
            </a:graphic>
          </wp:inline>
        </w:drawing>
      </w:r>
    </w:p>
    <w:p w14:paraId="1F3455B0" w14:textId="77777777" w:rsidR="000C40A7" w:rsidRPr="00E741C0" w:rsidRDefault="000C40A7" w:rsidP="006B2D5B">
      <w:pPr>
        <w:rPr>
          <w:rFonts w:cs="Times New Roman"/>
          <w:color w:val="000000" w:themeColor="text1"/>
          <w:szCs w:val="24"/>
        </w:rPr>
      </w:pPr>
    </w:p>
    <w:p w14:paraId="72AC8D39" w14:textId="77777777" w:rsidR="000C40A7" w:rsidRPr="00E741C0" w:rsidRDefault="000C40A7" w:rsidP="006B2D5B">
      <w:pPr>
        <w:rPr>
          <w:rFonts w:cs="Times New Roman"/>
          <w:color w:val="000000" w:themeColor="text1"/>
          <w:szCs w:val="24"/>
        </w:rPr>
        <w:sectPr w:rsidR="000C40A7" w:rsidRPr="00E741C0" w:rsidSect="000C40A7">
          <w:pgSz w:w="15840" w:h="12240" w:orient="landscape"/>
          <w:pgMar w:top="1281" w:right="1140" w:bottom="1179" w:left="1140" w:header="284" w:footer="510" w:gutter="0"/>
          <w:lnNumType w:countBy="1" w:restart="continuous"/>
          <w:cols w:space="720"/>
          <w:titlePg/>
          <w:docGrid w:linePitch="360"/>
        </w:sectPr>
      </w:pPr>
    </w:p>
    <w:p w14:paraId="66CA3A9B" w14:textId="3DFDE30A" w:rsidR="000C40A7" w:rsidRPr="00E741C0" w:rsidRDefault="000C40A7" w:rsidP="006B2D5B">
      <w:pPr>
        <w:rPr>
          <w:rFonts w:cs="Times New Roman"/>
          <w:b/>
          <w:bCs/>
          <w:color w:val="000000" w:themeColor="text1"/>
          <w:szCs w:val="24"/>
        </w:rPr>
      </w:pPr>
      <w:r w:rsidRPr="00E741C0">
        <w:rPr>
          <w:rFonts w:cs="Times New Roman"/>
          <w:b/>
          <w:bCs/>
          <w:color w:val="000000" w:themeColor="text1"/>
          <w:szCs w:val="24"/>
        </w:rPr>
        <w:lastRenderedPageBreak/>
        <w:t>c.</w:t>
      </w:r>
    </w:p>
    <w:p w14:paraId="1E84FBFF" w14:textId="21C9FDD8" w:rsidR="000C40A7" w:rsidRPr="00E741C0" w:rsidRDefault="005B58BB" w:rsidP="000C40A7">
      <w:pPr>
        <w:jc w:val="center"/>
        <w:rPr>
          <w:rFonts w:cs="Times New Roman"/>
          <w:color w:val="000000" w:themeColor="text1"/>
          <w:szCs w:val="24"/>
        </w:rPr>
      </w:pPr>
      <w:r w:rsidRPr="00E741C0">
        <w:rPr>
          <w:noProof/>
          <w:color w:val="000000" w:themeColor="text1"/>
        </w:rPr>
        <w:drawing>
          <wp:inline distT="0" distB="0" distL="0" distR="0" wp14:anchorId="5D1C0429" wp14:editId="5CF88D6F">
            <wp:extent cx="6210300" cy="6456045"/>
            <wp:effectExtent l="0" t="0" r="0" b="1905"/>
            <wp:docPr id="78372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26255" name="Picture 1" descr="A screenshot of a computer screen&#10;&#10;Description automatically generated"/>
                    <pic:cNvPicPr/>
                  </pic:nvPicPr>
                  <pic:blipFill>
                    <a:blip r:embed="rId28"/>
                    <a:stretch>
                      <a:fillRect/>
                    </a:stretch>
                  </pic:blipFill>
                  <pic:spPr>
                    <a:xfrm>
                      <a:off x="0" y="0"/>
                      <a:ext cx="6210300" cy="6456045"/>
                    </a:xfrm>
                    <a:prstGeom prst="rect">
                      <a:avLst/>
                    </a:prstGeom>
                  </pic:spPr>
                </pic:pic>
              </a:graphicData>
            </a:graphic>
          </wp:inline>
        </w:drawing>
      </w:r>
    </w:p>
    <w:p w14:paraId="50569051" w14:textId="4DC4012E" w:rsidR="005C6195" w:rsidRPr="00E741C0" w:rsidRDefault="000C40A7" w:rsidP="00B464CA">
      <w:pPr>
        <w:pStyle w:val="ListParagraph"/>
        <w:numPr>
          <w:ilvl w:val="0"/>
          <w:numId w:val="23"/>
        </w:numPr>
        <w:tabs>
          <w:tab w:val="left" w:pos="501"/>
        </w:tabs>
        <w:spacing w:before="0" w:after="160" w:line="259" w:lineRule="auto"/>
        <w:jc w:val="both"/>
        <w:rPr>
          <w:rFonts w:eastAsia="Calibri"/>
          <w:b/>
          <w:bCs/>
          <w:color w:val="000000" w:themeColor="text1"/>
          <w:kern w:val="2"/>
          <w:sz w:val="20"/>
          <w:szCs w:val="20"/>
          <w:lang w:val="en-NZ"/>
          <w14:ligatures w14:val="standardContextual"/>
        </w:rPr>
      </w:pPr>
      <w:r w:rsidRPr="00E741C0">
        <w:rPr>
          <w:rFonts w:eastAsia="Calibri"/>
          <w:b/>
          <w:bCs/>
          <w:color w:val="000000" w:themeColor="text1"/>
          <w:kern w:val="2"/>
          <w:sz w:val="20"/>
          <w:szCs w:val="20"/>
          <w:lang w:val="en-NZ"/>
          <w14:ligatures w14:val="standardContextual"/>
        </w:rPr>
        <w:t xml:space="preserve">Core genome SNP phylogeny of environmental carbapenem resistant </w:t>
      </w:r>
      <w:r w:rsidRPr="00E741C0">
        <w:rPr>
          <w:rFonts w:eastAsia="Calibri"/>
          <w:b/>
          <w:bCs/>
          <w:i/>
          <w:iCs/>
          <w:color w:val="000000" w:themeColor="text1"/>
          <w:kern w:val="2"/>
          <w:sz w:val="20"/>
          <w:szCs w:val="20"/>
          <w:lang w:val="en-NZ"/>
          <w14:ligatures w14:val="standardContextual"/>
        </w:rPr>
        <w:t xml:space="preserve">Acinetobacter baumannii </w:t>
      </w:r>
      <w:r w:rsidRPr="00E741C0">
        <w:rPr>
          <w:rFonts w:eastAsia="Calibri"/>
          <w:b/>
          <w:bCs/>
          <w:color w:val="000000" w:themeColor="text1"/>
          <w:kern w:val="2"/>
          <w:sz w:val="20"/>
          <w:szCs w:val="20"/>
          <w:lang w:val="en-NZ"/>
          <w14:ligatures w14:val="standardContextual"/>
        </w:rPr>
        <w:t xml:space="preserve">ST2 from Fiji’s CWMH, (2021). Phylogenetic tree inferred from core genome SNPs of 3 </w:t>
      </w:r>
      <w:proofErr w:type="spellStart"/>
      <w:r w:rsidRPr="00E741C0">
        <w:rPr>
          <w:rFonts w:eastAsia="Calibri"/>
          <w:b/>
          <w:bCs/>
          <w:color w:val="000000" w:themeColor="text1"/>
          <w:kern w:val="2"/>
          <w:sz w:val="20"/>
          <w:szCs w:val="20"/>
          <w:lang w:val="en-NZ"/>
          <w14:ligatures w14:val="standardContextual"/>
        </w:rPr>
        <w:t>CR</w:t>
      </w:r>
      <w:r w:rsidRPr="00E741C0">
        <w:rPr>
          <w:rFonts w:eastAsia="Calibri"/>
          <w:b/>
          <w:bCs/>
          <w:i/>
          <w:iCs/>
          <w:color w:val="000000" w:themeColor="text1"/>
          <w:kern w:val="2"/>
          <w:sz w:val="20"/>
          <w:szCs w:val="20"/>
          <w:lang w:val="en-NZ"/>
          <w14:ligatures w14:val="standardContextual"/>
        </w:rPr>
        <w:t>Ab</w:t>
      </w:r>
      <w:proofErr w:type="spellEnd"/>
      <w:r w:rsidRPr="00E741C0">
        <w:rPr>
          <w:rFonts w:eastAsia="Calibri"/>
          <w:b/>
          <w:bCs/>
          <w:color w:val="000000" w:themeColor="text1"/>
          <w:kern w:val="2"/>
          <w:sz w:val="20"/>
          <w:szCs w:val="20"/>
          <w:lang w:val="en-NZ"/>
          <w14:ligatures w14:val="standardContextual"/>
        </w:rPr>
        <w:t xml:space="preserve"> ST2 isolates. The core genome was generated by aligning at least 95% of the available sequence data for all isolates. </w:t>
      </w:r>
      <w:r w:rsidR="005C6195" w:rsidRPr="00E741C0">
        <w:rPr>
          <w:rFonts w:eastAsia="Calibri"/>
          <w:b/>
          <w:bCs/>
          <w:color w:val="000000" w:themeColor="text1"/>
          <w:sz w:val="20"/>
          <w:szCs w:val="20"/>
          <w:lang w:val="en-NZ"/>
        </w:rPr>
        <w:t xml:space="preserve">The reference genome used was a </w:t>
      </w:r>
      <w:proofErr w:type="spellStart"/>
      <w:r w:rsidR="005C6195" w:rsidRPr="00E741C0">
        <w:rPr>
          <w:rFonts w:eastAsia="Calibri"/>
          <w:b/>
          <w:bCs/>
          <w:color w:val="000000" w:themeColor="text1"/>
          <w:sz w:val="20"/>
          <w:szCs w:val="20"/>
          <w:lang w:val="en-NZ"/>
        </w:rPr>
        <w:t>CR</w:t>
      </w:r>
      <w:r w:rsidR="005C6195" w:rsidRPr="00E741C0">
        <w:rPr>
          <w:rFonts w:eastAsia="Calibri"/>
          <w:b/>
          <w:bCs/>
          <w:i/>
          <w:iCs/>
          <w:color w:val="000000" w:themeColor="text1"/>
          <w:sz w:val="20"/>
          <w:szCs w:val="20"/>
          <w:lang w:val="en-NZ"/>
        </w:rPr>
        <w:t>Ab</w:t>
      </w:r>
      <w:proofErr w:type="spellEnd"/>
      <w:r w:rsidR="005C6195" w:rsidRPr="00E741C0">
        <w:rPr>
          <w:rFonts w:eastAsia="Calibri"/>
          <w:b/>
          <w:bCs/>
          <w:color w:val="000000" w:themeColor="text1"/>
          <w:sz w:val="20"/>
          <w:szCs w:val="20"/>
          <w:lang w:val="en-NZ"/>
        </w:rPr>
        <w:t xml:space="preserve"> ST2 (FJ104_CW) isolated from a patient at CWMH’s adult ICU in 2020</w:t>
      </w:r>
      <w:r w:rsidR="001567D1" w:rsidRPr="00E741C0">
        <w:rPr>
          <w:rFonts w:eastAsia="Calibri"/>
          <w:b/>
          <w:bCs/>
          <w:color w:val="000000" w:themeColor="text1"/>
          <w:sz w:val="20"/>
          <w:szCs w:val="20"/>
          <w:lang w:val="en-NZ"/>
        </w:rPr>
        <w:t xml:space="preserve"> </w:t>
      </w:r>
      <w:r w:rsidR="001567D1" w:rsidRPr="00E741C0">
        <w:rPr>
          <w:rFonts w:eastAsia="Calibri"/>
          <w:b/>
          <w:bCs/>
          <w:color w:val="000000" w:themeColor="text1"/>
          <w:sz w:val="20"/>
          <w:szCs w:val="20"/>
          <w:lang w:val="en-NZ"/>
        </w:rPr>
        <w:fldChar w:fldCharType="begin" w:fldLock="1"/>
      </w:r>
      <w:r w:rsidR="00184ADD" w:rsidRPr="00E741C0">
        <w:rPr>
          <w:rFonts w:eastAsia="Calibri"/>
          <w:b/>
          <w:bCs/>
          <w:color w:val="000000" w:themeColor="text1"/>
          <w:sz w:val="20"/>
          <w:szCs w:val="20"/>
          <w:lang w:val="en-NZ"/>
        </w:rPr>
        <w:instrText>ADDIN CSL_CITATION {"citationItems":[{"id":"ITEM-1","itemData":{"DOI":"10.1016/j.lanwpc.2024.101095","ISSN":"26666065","abstract":"Background: Carbapenem resistant organisms (CROs) such as Acinetobacter baumannii (CRAb), Pseudomonas aeruginosa (CRPa), Escherichia coli (CREc), and Klebsiella pneumoniae (CRKp) have been identified by the World Health Organization (WHO) as global priority pathogens. The dissemination of these pathogens and clonal outbreaks within healthcare facilities are of serious concern, particularly in regions with limited resources. In Fiji, where healthcare services are primarily provided by public hospitals, understanding the extent and nature of this problem is essential for the development of effective patient management, prevention interventions and control strategies. Methods: CROs isolated from 211 (77.3%) non-sterile (urinary catheters, urine, sputum, wound swab, and endotracheal tube) and 62 (22.7%) normally sterile (blood, cerebrospinal fluid, intravascular catheter, and aspirates) body sites of 272 patients treated at the three major hospitals in Fiji, the Colonial War Memorial Hospital (CWMH), Lautoka Hospital (LTKH), and Labasa Hospital (LBSH), and outer peripheral health centres around Fiji, were analysed. Clinical and demographic patient data such as age, sex, admission diagnosis, admission and discharge dates, patient outcomes, date of death, start and end date of meropenem and colistin treatment were reviewed. These CRO isolates comprised A. baumannii, P. aeruginosa, E. coli, and K. pneumoniae, that were prospectively collected at the microbiology laboratory of CWMH and LBSH from January 2020 through August 2021 and at the LTKH from January 2020 to December 2021. In addition, 10 retrospectively stored CRPa isolates collected from patients at the CWMH from January through December 2019, were also included in the study. All isolates were characterised using mass spectrometry, antimicrobial susceptibility testing, and whole genome sequencing. Phylogenetic relationships among the CROs were assessed through core genome single nucleotide polymorphism (SNP) analysis. The CRAb isolates were also compared to the CRAb isolates from CWMH isolated in 2016/2017 and 2019, along with CRAb isolates obtained from Fijian patients admitted to New Zealand hospitals in 2020 and 2021 from our retrospective study. Findings: Of 272 patients, 140 (51.5%) were male, the median (range) age of patients was 45 (&lt;1–89) years, 161 (59.2%) were I-Taukei, 104 (38.2%) Fijians of Indian descent, and 7 (2.6%) were from other ethnic backgrounds. 234 (86.0%) of these 272 patients, h…","author":[{"dropping-particle":"","family":"Baleivanualala","given":"Sakiusa C.","non-dropping-particle":"","parse-names":false,"suffix":""},{"dropping-particle":"","family":"Matanitobua","given":"Silivia","non-dropping-particle":"","parse-names":false,"suffix":""},{"dropping-particle":"","family":"Soqo","given":"Vika","non-dropping-particle":"","parse-names":false,"suffix":""},{"dropping-particle":"","family":"Smita","given":"Shayal","non-dropping-particle":"","parse-names":false,"suffix":""},{"dropping-particle":"","family":"Limaono","given":"Josese","non-dropping-particle":"","parse-names":false,"suffix":""},{"dropping-particle":"","family":"Sharma","given":"Sajnel C.","non-dropping-particle":"","parse-names":false,"suffix":""},{"dropping-particle":"V.","family":"Devi","given":"Swastika","non-dropping-particle":"","parse-names":false,"suffix":""},{"dropping-particle":"V.","family":"Boseiwaqa","given":"Lusiana","non-dropping-particle":"","parse-names":false,"suffix":""},{"dropping-particle":"","family":"Vera","given":"Numa","non-dropping-particle":"","parse-names":false,"suffix":""},{"dropping-particle":"","family":"Kumar","given":"Silpa","non-dropping-particle":"","parse-names":false,"suffix":""},{"dropping-particle":"","family":"Lalibuli","given":"Amele","non-dropping-particle":"","parse-names":false,"suffix":""},{"dropping-particle":"","family":"Mailulu","given":"Josese","non-dropping-particle":"","parse-names":false,"suffix":""},{"dropping-particle":"","family":"Wilson","given":"Donald","non-dropping-particle":"","parse-names":false,"suffix":""},{"dropping-particle":"","family":"Samisoni","given":"Yvette","non-dropping-particle":"","parse-names":false,"suffix":""},{"dropping-particle":"","family":"Crump","given":"John A.","non-dropping-particle":"","parse-names":false,"suffix":""},{"dropping-particle":"","family":"Ussher","given":"James E.","non-dropping-particle":"","parse-names":false,"suffix":""}],"container-title":"The Lancet Regional Health - Western Pacific","id":"ITEM-1","issued":{"date-parts":[["2024"]]},"page":"101095","publisher":"The Author(s)","title":"Molecular and clinical epidemiology of carbapenem resistant Acinetobacter baumannii, Pseudomonas aeruginosa and Enterobacterales in Fiji: a multicentre prospective observational study","type":"article-journal","volume":"47"},"uris":["http://www.mendeley.com/documents/?uuid=3f4fd4e7-d910-455c-8eb3-0eada342d61e"]}],"mendeley":{"formattedCitation":"(Baleivanualala et al., 2024)","plainTextFormattedCitation":"(Baleivanualala et al., 2024)","previouslyFormattedCitation":"(Baleivanualala et al., 2024)"},"properties":{"noteIndex":0},"schema":"https://github.com/citation-style-language/schema/raw/master/csl-citation.json"}</w:instrText>
      </w:r>
      <w:r w:rsidR="001567D1" w:rsidRPr="00E741C0">
        <w:rPr>
          <w:rFonts w:eastAsia="Calibri"/>
          <w:b/>
          <w:bCs/>
          <w:color w:val="000000" w:themeColor="text1"/>
          <w:sz w:val="20"/>
          <w:szCs w:val="20"/>
          <w:lang w:val="en-NZ"/>
        </w:rPr>
        <w:fldChar w:fldCharType="separate"/>
      </w:r>
      <w:r w:rsidR="001567D1" w:rsidRPr="00E741C0">
        <w:rPr>
          <w:rFonts w:eastAsia="Calibri"/>
          <w:bCs/>
          <w:noProof/>
          <w:color w:val="000000" w:themeColor="text1"/>
          <w:sz w:val="20"/>
          <w:szCs w:val="20"/>
          <w:lang w:val="en-NZ"/>
        </w:rPr>
        <w:t>(Baleivanualala et al., 2024)</w:t>
      </w:r>
      <w:r w:rsidR="001567D1" w:rsidRPr="00E741C0">
        <w:rPr>
          <w:rFonts w:eastAsia="Calibri"/>
          <w:b/>
          <w:bCs/>
          <w:color w:val="000000" w:themeColor="text1"/>
          <w:sz w:val="20"/>
          <w:szCs w:val="20"/>
          <w:lang w:val="en-NZ"/>
        </w:rPr>
        <w:fldChar w:fldCharType="end"/>
      </w:r>
      <w:r w:rsidR="005C6195" w:rsidRPr="00E741C0">
        <w:rPr>
          <w:rFonts w:eastAsia="Calibri"/>
          <w:b/>
          <w:bCs/>
          <w:color w:val="000000" w:themeColor="text1"/>
          <w:sz w:val="20"/>
          <w:szCs w:val="20"/>
          <w:lang w:val="en-NZ"/>
        </w:rPr>
        <w:t xml:space="preserve">. </w:t>
      </w:r>
      <w:r w:rsidR="005C6195" w:rsidRPr="00E741C0">
        <w:rPr>
          <w:rFonts w:eastAsia="Calibri"/>
          <w:b/>
          <w:bCs/>
          <w:color w:val="000000" w:themeColor="text1"/>
          <w:kern w:val="2"/>
          <w:sz w:val="20"/>
          <w:szCs w:val="20"/>
          <w:lang w:val="en-NZ"/>
          <w14:ligatures w14:val="standardContextual"/>
        </w:rPr>
        <w:t>Both environmental isolates were genetically identical with 0 SNPs. The tree was rooted using the earliest isolate (reference genome</w:t>
      </w:r>
      <w:r w:rsidR="002B7FF7" w:rsidRPr="00E741C0">
        <w:rPr>
          <w:rFonts w:eastAsia="Calibri"/>
          <w:b/>
          <w:bCs/>
          <w:color w:val="000000" w:themeColor="text1"/>
          <w:kern w:val="2"/>
          <w:sz w:val="20"/>
          <w:szCs w:val="20"/>
          <w:lang w:val="en-NZ"/>
          <w14:ligatures w14:val="standardContextual"/>
        </w:rPr>
        <w:t>, FJ104_CW</w:t>
      </w:r>
      <w:r w:rsidR="005C6195" w:rsidRPr="00E741C0">
        <w:rPr>
          <w:rFonts w:eastAsia="Calibri"/>
          <w:b/>
          <w:bCs/>
          <w:color w:val="000000" w:themeColor="text1"/>
          <w:kern w:val="2"/>
          <w:sz w:val="20"/>
          <w:szCs w:val="20"/>
          <w:lang w:val="en-NZ"/>
          <w14:ligatures w14:val="standardContextual"/>
        </w:rPr>
        <w:t>). Isolation dates, locations, collection site, and AMR phenotypic and genotypic profiles are annotated on the tree. The scale bar represents the frequency of mutations per site</w:t>
      </w:r>
      <w:r w:rsidR="002B7FF7" w:rsidRPr="00E741C0">
        <w:rPr>
          <w:rFonts w:eastAsia="Calibri"/>
          <w:b/>
          <w:bCs/>
          <w:color w:val="000000" w:themeColor="text1"/>
          <w:kern w:val="2"/>
          <w:sz w:val="20"/>
          <w:szCs w:val="20"/>
          <w:lang w:val="en-NZ"/>
          <w14:ligatures w14:val="standardContextual"/>
        </w:rPr>
        <w:t>.</w:t>
      </w:r>
    </w:p>
    <w:p w14:paraId="3F0C67A6" w14:textId="49B7C67E" w:rsidR="000C40A7" w:rsidRPr="00E741C0" w:rsidRDefault="000C40A7" w:rsidP="00A54287">
      <w:pPr>
        <w:numPr>
          <w:ilvl w:val="0"/>
          <w:numId w:val="23"/>
        </w:numPr>
        <w:spacing w:before="0" w:after="160" w:line="259" w:lineRule="auto"/>
        <w:contextualSpacing/>
        <w:jc w:val="both"/>
        <w:rPr>
          <w:rFonts w:eastAsia="Calibri" w:cs="Times New Roman"/>
          <w:b/>
          <w:bCs/>
          <w:color w:val="000000" w:themeColor="text1"/>
          <w:kern w:val="2"/>
          <w:sz w:val="20"/>
          <w:szCs w:val="20"/>
          <w:lang w:val="en-NZ"/>
          <w14:ligatures w14:val="standardContextual"/>
        </w:rPr>
      </w:pPr>
      <w:r w:rsidRPr="00E741C0">
        <w:rPr>
          <w:rFonts w:eastAsia="Calibri" w:cs="Times New Roman"/>
          <w:b/>
          <w:bCs/>
          <w:color w:val="000000" w:themeColor="text1"/>
          <w:kern w:val="2"/>
          <w:sz w:val="20"/>
          <w:szCs w:val="20"/>
          <w:lang w:val="en-NZ"/>
          <w14:ligatures w14:val="standardContextual"/>
        </w:rPr>
        <w:lastRenderedPageBreak/>
        <w:t xml:space="preserve">Core genome SNP phylogeny of environmental and clinical carbapenem resistant </w:t>
      </w:r>
      <w:r w:rsidRPr="00E741C0">
        <w:rPr>
          <w:rFonts w:eastAsia="Calibri" w:cs="Times New Roman"/>
          <w:b/>
          <w:bCs/>
          <w:i/>
          <w:iCs/>
          <w:color w:val="000000" w:themeColor="text1"/>
          <w:kern w:val="2"/>
          <w:sz w:val="20"/>
          <w:szCs w:val="20"/>
          <w:lang w:val="en-NZ"/>
          <w14:ligatures w14:val="standardContextual"/>
        </w:rPr>
        <w:t>A. baumannii</w:t>
      </w:r>
      <w:r w:rsidRPr="00E741C0">
        <w:rPr>
          <w:rFonts w:eastAsia="Calibri" w:cs="Times New Roman"/>
          <w:b/>
          <w:bCs/>
          <w:color w:val="000000" w:themeColor="text1"/>
          <w:kern w:val="2"/>
          <w:sz w:val="20"/>
          <w:szCs w:val="20"/>
          <w:lang w:val="en-NZ"/>
          <w14:ligatures w14:val="standardContextual"/>
        </w:rPr>
        <w:t xml:space="preserve"> ST2 isolates from CWMH (2016/2017, 2019 – 2022),  LTKH, and LBSH (2020 - 2022). Phylogenetic tree inferred from core genome SNPs of 167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color w:val="000000" w:themeColor="text1"/>
          <w:kern w:val="2"/>
          <w:sz w:val="20"/>
          <w:szCs w:val="20"/>
          <w:lang w:val="en-NZ"/>
          <w14:ligatures w14:val="standardContextual"/>
        </w:rPr>
        <w:t xml:space="preserve"> ST2 isolates obtained from patients and high touch surface and equipment. The core genome was generated by aligning at least 92% of the available sequence data for all isolates. </w:t>
      </w:r>
      <w:bookmarkStart w:id="13" w:name="_Hlk170594280"/>
      <w:r w:rsidRPr="00E741C0">
        <w:rPr>
          <w:rFonts w:eastAsia="Calibri" w:cs="Times New Roman"/>
          <w:b/>
          <w:bCs/>
          <w:color w:val="000000" w:themeColor="text1"/>
          <w:kern w:val="2"/>
          <w:sz w:val="20"/>
          <w:szCs w:val="20"/>
          <w:lang w:val="en-NZ"/>
          <w14:ligatures w14:val="standardContextual"/>
        </w:rPr>
        <w:t>The core SNP density, representing the average number of SNPs per base pair in the core genome, was 5379 SNPs across 4062284 base pairs in the reference genome</w:t>
      </w:r>
      <w:bookmarkEnd w:id="13"/>
      <w:r w:rsidRPr="00E741C0">
        <w:rPr>
          <w:rFonts w:eastAsia="Calibri" w:cs="Times New Roman"/>
          <w:b/>
          <w:bCs/>
          <w:color w:val="000000" w:themeColor="text1"/>
          <w:kern w:val="2"/>
          <w:sz w:val="20"/>
          <w:szCs w:val="20"/>
          <w:lang w:val="en-NZ"/>
          <w14:ligatures w14:val="standardContextual"/>
        </w:rPr>
        <w:t xml:space="preserve">. The reference genome used was from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color w:val="000000" w:themeColor="text1"/>
          <w:kern w:val="2"/>
          <w:sz w:val="20"/>
          <w:szCs w:val="20"/>
          <w:lang w:val="en-NZ"/>
          <w14:ligatures w14:val="standardContextual"/>
        </w:rPr>
        <w:t xml:space="preserve"> ST2 clone 1 (FJ16), isolated from an adult ICU patient at the CWMH in 2019 </w:t>
      </w:r>
      <w:r w:rsidRPr="00E741C0">
        <w:rPr>
          <w:rFonts w:eastAsia="Calibri" w:cs="Times New Roman"/>
          <w:b/>
          <w:bCs/>
          <w:color w:val="000000" w:themeColor="text1"/>
          <w:kern w:val="2"/>
          <w:sz w:val="20"/>
          <w:szCs w:val="20"/>
          <w:lang w:val="en-NZ"/>
          <w14:ligatures w14:val="standardContextual"/>
        </w:rPr>
        <w:fldChar w:fldCharType="begin" w:fldLock="1"/>
      </w:r>
      <w:r w:rsidR="00184ADD" w:rsidRPr="00E741C0">
        <w:rPr>
          <w:rFonts w:eastAsia="Calibri" w:cs="Times New Roman"/>
          <w:b/>
          <w:bCs/>
          <w:color w:val="000000" w:themeColor="text1"/>
          <w:kern w:val="2"/>
          <w:sz w:val="20"/>
          <w:szCs w:val="20"/>
          <w:lang w:val="en-NZ"/>
          <w14:ligatures w14:val="standardContextual"/>
        </w:rPr>
        <w:instrText>ADDIN CSL_CITATION {"citationItems":[{"id":"ITEM-1","itemData":{"DOI":"10.1016/j.lanwpc.2023.100896","ISSN":"2666-6065","author":[{"dropping-particle":"","family":"Baleivanualala","given":"Sakiusa C","non-dropping-particle":"","parse-names":false,"suffix":""},{"dropping-particle":"","family":"Isaia","given":"Lupeoletalalelei","non-dropping-particle":"","parse-names":false,"suffix":""},{"dropping-particle":"V","family":"Devi","given":"Swastika","non-dropping-particle":"","parse-names":false,"suffix":""},{"dropping-particle":"","family":"Howden","given":"Benjamin","non-dropping-particle":"","parse-names":false,"suffix":""},{"dropping-particle":"","family":"Gorrie","given":"Claire L","non-dropping-particle":"","parse-names":false,"suffix":""},{"dropping-particle":"","family":"Matanitobua","given":"Silivia","non-dropping-particle":"","parse-names":false,"suffix":""}],"container-title":"The Lancet Regional Health - Western Pacific","id":"ITEM-1","issued":{"date-parts":[["2023"]]},"page":"100896","publisher":"The Author(s)","title":"Articles Molecular and clinical epidemiology of carbapenem resistant Acinetobacter baumannii ST2 in Oceania : a multicountry cohort study","type":"article-journal"},"uris":["http://www.mendeley.com/documents/?uuid=2b3a61c8-5d26-406a-aa2d-e79b8e2077c2"]}],"mendeley":{"formattedCitation":"(Baleivanualala et al., 2023)","plainTextFormattedCitation":"(Baleivanualala et al., 2023)","previouslyFormattedCitation":"(Baleivanualala et al., 2023)"},"properties":{"noteIndex":0},"schema":"https://github.com/citation-style-language/schema/raw/master/csl-citation.json"}</w:instrText>
      </w:r>
      <w:r w:rsidRPr="00E741C0">
        <w:rPr>
          <w:rFonts w:eastAsia="Calibri" w:cs="Times New Roman"/>
          <w:b/>
          <w:bCs/>
          <w:color w:val="000000" w:themeColor="text1"/>
          <w:kern w:val="2"/>
          <w:sz w:val="20"/>
          <w:szCs w:val="20"/>
          <w:lang w:val="en-NZ"/>
          <w14:ligatures w14:val="standardContextual"/>
        </w:rPr>
        <w:fldChar w:fldCharType="separate"/>
      </w:r>
      <w:r w:rsidRPr="00E741C0">
        <w:rPr>
          <w:rFonts w:eastAsia="Calibri" w:cs="Times New Roman"/>
          <w:bCs/>
          <w:noProof/>
          <w:color w:val="000000" w:themeColor="text1"/>
          <w:kern w:val="2"/>
          <w:sz w:val="20"/>
          <w:szCs w:val="20"/>
          <w:lang w:val="en-NZ"/>
          <w14:ligatures w14:val="standardContextual"/>
        </w:rPr>
        <w:t>(Baleivanualala et al., 2023)</w:t>
      </w:r>
      <w:r w:rsidRPr="00E741C0">
        <w:rPr>
          <w:rFonts w:eastAsia="Calibri" w:cs="Times New Roman"/>
          <w:b/>
          <w:bCs/>
          <w:color w:val="000000" w:themeColor="text1"/>
          <w:kern w:val="2"/>
          <w:sz w:val="20"/>
          <w:szCs w:val="20"/>
          <w:lang w:val="en-NZ"/>
          <w14:ligatures w14:val="standardContextual"/>
        </w:rPr>
        <w:fldChar w:fldCharType="end"/>
      </w:r>
      <w:r w:rsidRPr="00E741C0">
        <w:rPr>
          <w:rFonts w:eastAsia="Calibri" w:cs="Times New Roman"/>
          <w:b/>
          <w:bCs/>
          <w:color w:val="000000" w:themeColor="text1"/>
          <w:kern w:val="2"/>
          <w:sz w:val="20"/>
          <w:szCs w:val="20"/>
          <w:lang w:val="en-NZ"/>
          <w14:ligatures w14:val="standardContextual"/>
        </w:rPr>
        <w:t>. The tree was rooted using the earliest isolate, from a NICU patient of CWMH isolated in 2016. Isolation dates and hospitals  and clonal types are annotated on the tree. The scale bar represents the frequency of mutations per site</w:t>
      </w:r>
      <w:r w:rsidR="002B7FF7" w:rsidRPr="00E741C0">
        <w:rPr>
          <w:rFonts w:eastAsia="Calibri" w:cs="Times New Roman"/>
          <w:b/>
          <w:bCs/>
          <w:color w:val="000000" w:themeColor="text1"/>
          <w:kern w:val="2"/>
          <w:sz w:val="20"/>
          <w:szCs w:val="20"/>
          <w:lang w:val="en-NZ"/>
          <w14:ligatures w14:val="standardContextual"/>
        </w:rPr>
        <w:t>.</w:t>
      </w:r>
    </w:p>
    <w:p w14:paraId="7D1BCD72" w14:textId="77777777" w:rsidR="002B7FF7" w:rsidRPr="00E741C0" w:rsidRDefault="002B7FF7" w:rsidP="002B7FF7">
      <w:pPr>
        <w:spacing w:before="0" w:after="160" w:line="259" w:lineRule="auto"/>
        <w:ind w:left="720"/>
        <w:contextualSpacing/>
        <w:jc w:val="both"/>
        <w:rPr>
          <w:rFonts w:eastAsia="Calibri" w:cs="Times New Roman"/>
          <w:b/>
          <w:bCs/>
          <w:color w:val="000000" w:themeColor="text1"/>
          <w:kern w:val="2"/>
          <w:sz w:val="20"/>
          <w:szCs w:val="20"/>
          <w:lang w:val="en-NZ"/>
          <w14:ligatures w14:val="standardContextual"/>
        </w:rPr>
      </w:pPr>
    </w:p>
    <w:p w14:paraId="76B05A0C" w14:textId="460C1740" w:rsidR="000C40A7" w:rsidRPr="00E741C0" w:rsidRDefault="000C40A7" w:rsidP="00774ED3">
      <w:pPr>
        <w:numPr>
          <w:ilvl w:val="0"/>
          <w:numId w:val="23"/>
        </w:numPr>
        <w:spacing w:before="0" w:after="160" w:line="259" w:lineRule="auto"/>
        <w:contextualSpacing/>
        <w:jc w:val="both"/>
        <w:rPr>
          <w:rFonts w:cs="Times New Roman"/>
          <w:color w:val="000000" w:themeColor="text1"/>
          <w:szCs w:val="24"/>
        </w:rPr>
      </w:pPr>
      <w:r w:rsidRPr="00E741C0">
        <w:rPr>
          <w:rFonts w:eastAsia="Calibri" w:cs="Times New Roman"/>
          <w:b/>
          <w:bCs/>
          <w:color w:val="000000" w:themeColor="text1"/>
          <w:kern w:val="2"/>
          <w:sz w:val="20"/>
          <w:szCs w:val="20"/>
          <w:lang w:val="en-NZ"/>
          <w14:ligatures w14:val="standardContextual"/>
        </w:rPr>
        <w:t xml:space="preserve">Core genome SNP phylogeny of clinical and environmental carbapenem resistant </w:t>
      </w:r>
      <w:r w:rsidRPr="00E741C0">
        <w:rPr>
          <w:rFonts w:eastAsia="Calibri" w:cs="Times New Roman"/>
          <w:b/>
          <w:bCs/>
          <w:i/>
          <w:iCs/>
          <w:color w:val="000000" w:themeColor="text1"/>
          <w:kern w:val="2"/>
          <w:sz w:val="20"/>
          <w:szCs w:val="20"/>
          <w:lang w:val="en-NZ"/>
          <w14:ligatures w14:val="standardContextual"/>
        </w:rPr>
        <w:t>A. baumannii</w:t>
      </w:r>
      <w:r w:rsidRPr="00E741C0">
        <w:rPr>
          <w:rFonts w:eastAsia="Calibri" w:cs="Times New Roman"/>
          <w:b/>
          <w:bCs/>
          <w:color w:val="000000" w:themeColor="text1"/>
          <w:kern w:val="2"/>
          <w:sz w:val="20"/>
          <w:szCs w:val="20"/>
          <w:lang w:val="en-NZ"/>
          <w14:ligatures w14:val="standardContextual"/>
        </w:rPr>
        <w:t xml:space="preserve"> ST2 clone 3 isolates from of CWMH, LTKH, and LBSH (2020 - 2022). Phylogenetic tree inferred from core genome SNPs of 58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i/>
          <w:iCs/>
          <w:color w:val="000000" w:themeColor="text1"/>
          <w:kern w:val="2"/>
          <w:sz w:val="20"/>
          <w:szCs w:val="20"/>
          <w:lang w:val="en-NZ"/>
          <w14:ligatures w14:val="standardContextual"/>
        </w:rPr>
        <w:t xml:space="preserve"> </w:t>
      </w:r>
      <w:r w:rsidRPr="00E741C0">
        <w:rPr>
          <w:rFonts w:eastAsia="Calibri" w:cs="Times New Roman"/>
          <w:b/>
          <w:bCs/>
          <w:color w:val="000000" w:themeColor="text1"/>
          <w:kern w:val="2"/>
          <w:sz w:val="20"/>
          <w:szCs w:val="20"/>
          <w:lang w:val="en-NZ"/>
          <w14:ligatures w14:val="standardContextual"/>
        </w:rPr>
        <w:t xml:space="preserve">ST2 clone 3 isolates obtained from patients and high touch surfaces and equipment. The core genome was generated by aligning at least 95% of the available sequence data for all isolates. The core SNP density, representing the average number of SNPs per base pair in the core genome, was 24 SNPs across 4080253 base pairs in the reference genome. The reference genome used was from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color w:val="000000" w:themeColor="text1"/>
          <w:kern w:val="2"/>
          <w:sz w:val="20"/>
          <w:szCs w:val="20"/>
          <w:lang w:val="en-NZ"/>
          <w14:ligatures w14:val="standardContextual"/>
        </w:rPr>
        <w:t xml:space="preserve"> ST2 clone 3 (FJ104) isolated from an adult ICU patient at the CWMH in 2020</w:t>
      </w:r>
      <w:r w:rsidR="00B820CB" w:rsidRPr="00E741C0">
        <w:rPr>
          <w:rFonts w:eastAsia="Calibri" w:cs="Times New Roman"/>
          <w:b/>
          <w:bCs/>
          <w:color w:val="000000" w:themeColor="text1"/>
          <w:kern w:val="2"/>
          <w:sz w:val="20"/>
          <w:szCs w:val="20"/>
          <w:lang w:val="en-NZ"/>
          <w14:ligatures w14:val="standardContextual"/>
        </w:rPr>
        <w:t xml:space="preserve"> </w:t>
      </w:r>
      <w:r w:rsidR="00B820CB" w:rsidRPr="00E741C0">
        <w:rPr>
          <w:rFonts w:eastAsia="Calibri" w:cs="Times New Roman"/>
          <w:b/>
          <w:bCs/>
          <w:color w:val="000000" w:themeColor="text1"/>
          <w:kern w:val="2"/>
          <w:sz w:val="20"/>
          <w:szCs w:val="20"/>
          <w:lang w:val="en-NZ"/>
          <w14:ligatures w14:val="standardContextual"/>
        </w:rPr>
        <w:fldChar w:fldCharType="begin" w:fldLock="1"/>
      </w:r>
      <w:r w:rsidR="00184ADD" w:rsidRPr="00E741C0">
        <w:rPr>
          <w:rFonts w:eastAsia="Calibri" w:cs="Times New Roman"/>
          <w:b/>
          <w:bCs/>
          <w:color w:val="000000" w:themeColor="text1"/>
          <w:kern w:val="2"/>
          <w:sz w:val="20"/>
          <w:szCs w:val="20"/>
          <w:lang w:val="en-NZ"/>
          <w14:ligatures w14:val="standardContextual"/>
        </w:rPr>
        <w:instrText>ADDIN CSL_CITATION {"citationItems":[{"id":"ITEM-1","itemData":{"DOI":"10.1016/j.lanwpc.2024.101095","ISSN":"26666065","abstract":"Background: Carbapenem resistant organisms (CROs) such as Acinetobacter baumannii (CRAb), Pseudomonas aeruginosa (CRPa), Escherichia coli (CREc), and Klebsiella pneumoniae (CRKp) have been identified by the World Health Organization (WHO) as global priority pathogens. The dissemination of these pathogens and clonal outbreaks within healthcare facilities are of serious concern, particularly in regions with limited resources. In Fiji, where healthcare services are primarily provided by public hospitals, understanding the extent and nature of this problem is essential for the development of effective patient management, prevention interventions and control strategies. Methods: CROs isolated from 211 (77.3%) non-sterile (urinary catheters, urine, sputum, wound swab, and endotracheal tube) and 62 (22.7%) normally sterile (blood, cerebrospinal fluid, intravascular catheter, and aspirates) body sites of 272 patients treated at the three major hospitals in Fiji, the Colonial War Memorial Hospital (CWMH), Lautoka Hospital (LTKH), and Labasa Hospital (LBSH), and outer peripheral health centres around Fiji, were analysed. Clinical and demographic patient data such as age, sex, admission diagnosis, admission and discharge dates, patient outcomes, date of death, start and end date of meropenem and colistin treatment were reviewed. These CRO isolates comprised A. baumannii, P. aeruginosa, E. coli, and K. pneumoniae, that were prospectively collected at the microbiology laboratory of CWMH and LBSH from January 2020 through August 2021 and at the LTKH from January 2020 to December 2021. In addition, 10 retrospectively stored CRPa isolates collected from patients at the CWMH from January through December 2019, were also included in the study. All isolates were characterised using mass spectrometry, antimicrobial susceptibility testing, and whole genome sequencing. Phylogenetic relationships among the CROs were assessed through core genome single nucleotide polymorphism (SNP) analysis. The CRAb isolates were also compared to the CRAb isolates from CWMH isolated in 2016/2017 and 2019, along with CRAb isolates obtained from Fijian patients admitted to New Zealand hospitals in 2020 and 2021 from our retrospective study. Findings: Of 272 patients, 140 (51.5%) were male, the median (range) age of patients was 45 (&lt;1–89) years, 161 (59.2%) were I-Taukei, 104 (38.2%) Fijians of Indian descent, and 7 (2.6%) were from other ethnic backgrounds. 234 (86.0%) of these 272 patients, h…","author":[{"dropping-particle":"","family":"Baleivanualala","given":"Sakiusa C.","non-dropping-particle":"","parse-names":false,"suffix":""},{"dropping-particle":"","family":"Matanitobua","given":"Silivia","non-dropping-particle":"","parse-names":false,"suffix":""},{"dropping-particle":"","family":"Soqo","given":"Vika","non-dropping-particle":"","parse-names":false,"suffix":""},{"dropping-particle":"","family":"Smita","given":"Shayal","non-dropping-particle":"","parse-names":false,"suffix":""},{"dropping-particle":"","family":"Limaono","given":"Josese","non-dropping-particle":"","parse-names":false,"suffix":""},{"dropping-particle":"","family":"Sharma","given":"Sajnel C.","non-dropping-particle":"","parse-names":false,"suffix":""},{"dropping-particle":"V.","family":"Devi","given":"Swastika","non-dropping-particle":"","parse-names":false,"suffix":""},{"dropping-particle":"V.","family":"Boseiwaqa","given":"Lusiana","non-dropping-particle":"","parse-names":false,"suffix":""},{"dropping-particle":"","family":"Vera","given":"Numa","non-dropping-particle":"","parse-names":false,"suffix":""},{"dropping-particle":"","family":"Kumar","given":"Silpa","non-dropping-particle":"","parse-names":false,"suffix":""},{"dropping-particle":"","family":"Lalibuli","given":"Amele","non-dropping-particle":"","parse-names":false,"suffix":""},{"dropping-particle":"","family":"Mailulu","given":"Josese","non-dropping-particle":"","parse-names":false,"suffix":""},{"dropping-particle":"","family":"Wilson","given":"Donald","non-dropping-particle":"","parse-names":false,"suffix":""},{"dropping-particle":"","family":"Samisoni","given":"Yvette","non-dropping-particle":"","parse-names":false,"suffix":""},{"dropping-particle":"","family":"Crump","given":"John A.","non-dropping-particle":"","parse-names":false,"suffix":""},{"dropping-particle":"","family":"Ussher","given":"James E.","non-dropping-particle":"","parse-names":false,"suffix":""}],"container-title":"The Lancet Regional Health - Western Pacific","id":"ITEM-1","issued":{"date-parts":[["2024"]]},"page":"101095","publisher":"The Author(s)","title":"Molecular and clinical epidemiology of carbapenem resistant Acinetobacter baumannii, Pseudomonas aeruginosa and Enterobacterales in Fiji: a multicentre prospective observational study","type":"article-journal","volume":"47"},"uris":["http://www.mendeley.com/documents/?uuid=3f4fd4e7-d910-455c-8eb3-0eada342d61e"]}],"mendeley":{"formattedCitation":"(Baleivanualala et al., 2024)","plainTextFormattedCitation":"(Baleivanualala et al., 2024)","previouslyFormattedCitation":"(Baleivanualala et al., 2024)"},"properties":{"noteIndex":0},"schema":"https://github.com/citation-style-language/schema/raw/master/csl-citation.json"}</w:instrText>
      </w:r>
      <w:r w:rsidR="00B820CB" w:rsidRPr="00E741C0">
        <w:rPr>
          <w:rFonts w:eastAsia="Calibri" w:cs="Times New Roman"/>
          <w:b/>
          <w:bCs/>
          <w:color w:val="000000" w:themeColor="text1"/>
          <w:kern w:val="2"/>
          <w:sz w:val="20"/>
          <w:szCs w:val="20"/>
          <w:lang w:val="en-NZ"/>
          <w14:ligatures w14:val="standardContextual"/>
        </w:rPr>
        <w:fldChar w:fldCharType="separate"/>
      </w:r>
      <w:r w:rsidR="00B820CB" w:rsidRPr="00E741C0">
        <w:rPr>
          <w:rFonts w:eastAsia="Calibri" w:cs="Times New Roman"/>
          <w:bCs/>
          <w:noProof/>
          <w:color w:val="000000" w:themeColor="text1"/>
          <w:kern w:val="2"/>
          <w:sz w:val="20"/>
          <w:szCs w:val="20"/>
          <w:lang w:val="en-NZ"/>
          <w14:ligatures w14:val="standardContextual"/>
        </w:rPr>
        <w:t>(Baleivanualala et al., 2024)</w:t>
      </w:r>
      <w:r w:rsidR="00B820CB" w:rsidRPr="00E741C0">
        <w:rPr>
          <w:rFonts w:eastAsia="Calibri" w:cs="Times New Roman"/>
          <w:b/>
          <w:bCs/>
          <w:color w:val="000000" w:themeColor="text1"/>
          <w:kern w:val="2"/>
          <w:sz w:val="20"/>
          <w:szCs w:val="20"/>
          <w:lang w:val="en-NZ"/>
          <w14:ligatures w14:val="standardContextual"/>
        </w:rPr>
        <w:fldChar w:fldCharType="end"/>
      </w:r>
      <w:r w:rsidRPr="00E741C0">
        <w:rPr>
          <w:rFonts w:eastAsia="Calibri" w:cs="Times New Roman"/>
          <w:b/>
          <w:bCs/>
          <w:color w:val="000000" w:themeColor="text1"/>
          <w:kern w:val="2"/>
          <w:sz w:val="20"/>
          <w:szCs w:val="20"/>
          <w:lang w:val="en-NZ"/>
          <w14:ligatures w14:val="standardContextual"/>
        </w:rPr>
        <w:t>. Isolation dates and hospitals  are annotated on the tree. The scale bar represents the frequency of mutations per site</w:t>
      </w:r>
      <w:r w:rsidR="002B7FF7" w:rsidRPr="00E741C0">
        <w:rPr>
          <w:rFonts w:eastAsia="Calibri" w:cs="Times New Roman"/>
          <w:b/>
          <w:bCs/>
          <w:color w:val="000000" w:themeColor="text1"/>
          <w:kern w:val="2"/>
          <w:sz w:val="20"/>
          <w:szCs w:val="20"/>
          <w:lang w:val="en-NZ"/>
          <w14:ligatures w14:val="standardContextual"/>
        </w:rPr>
        <w:t xml:space="preserve">. </w:t>
      </w:r>
    </w:p>
    <w:p w14:paraId="1B00A78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2BDAFCD5"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498F280A"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7A538221"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26022FF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6D7B28A"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253B5A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4C20B488"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03CA8F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51A2931B"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07EAE3C7"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6C422F20"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3981CDA7"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6928B64D"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6F48B2CC"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71409F78"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6B1EA5E4"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05B894F"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3BDDAB36"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05BBCE64"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34F65C35"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75DC6D6A"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561ED0A7"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09FBBFD6"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58C48A8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2D38DA2"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20225847"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2F5F5334"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0C71FB0B"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1373CC58" w14:textId="77777777" w:rsidR="00B820CB" w:rsidRPr="00E741C0" w:rsidRDefault="00B820CB" w:rsidP="00B820CB">
      <w:pPr>
        <w:spacing w:before="0" w:after="160" w:line="259" w:lineRule="auto"/>
        <w:contextualSpacing/>
        <w:jc w:val="both"/>
        <w:rPr>
          <w:rFonts w:eastAsia="Calibri" w:cs="Times New Roman"/>
          <w:b/>
          <w:bCs/>
          <w:color w:val="000000" w:themeColor="text1"/>
          <w:kern w:val="2"/>
          <w:sz w:val="20"/>
          <w:szCs w:val="20"/>
          <w:lang w:val="en-NZ"/>
          <w14:ligatures w14:val="standardContextual"/>
        </w:rPr>
      </w:pPr>
    </w:p>
    <w:p w14:paraId="36E6CF95" w14:textId="77777777" w:rsidR="00B820CB" w:rsidRPr="00E741C0" w:rsidRDefault="00B820CB" w:rsidP="00B820CB">
      <w:pPr>
        <w:spacing w:before="0" w:after="160" w:line="259" w:lineRule="auto"/>
        <w:contextualSpacing/>
        <w:jc w:val="both"/>
        <w:rPr>
          <w:rFonts w:cs="Times New Roman"/>
          <w:color w:val="000000" w:themeColor="text1"/>
          <w:szCs w:val="24"/>
        </w:rPr>
        <w:sectPr w:rsidR="00B820CB" w:rsidRPr="00E741C0" w:rsidSect="000C40A7">
          <w:pgSz w:w="12240" w:h="15840"/>
          <w:pgMar w:top="1140" w:right="1179" w:bottom="1140" w:left="1281" w:header="284" w:footer="510" w:gutter="0"/>
          <w:lnNumType w:countBy="1" w:restart="continuous"/>
          <w:cols w:space="720"/>
          <w:titlePg/>
          <w:docGrid w:linePitch="360"/>
        </w:sectPr>
      </w:pPr>
    </w:p>
    <w:p w14:paraId="62A64C2D" w14:textId="6507895A" w:rsidR="00B820CB" w:rsidRPr="00E741C0" w:rsidRDefault="00B820CB" w:rsidP="00B820CB">
      <w:pPr>
        <w:spacing w:before="0" w:after="160"/>
        <w:jc w:val="both"/>
        <w:rPr>
          <w:rFonts w:eastAsia="Calibri" w:cs="Times New Roman"/>
          <w:b/>
          <w:bCs/>
          <w:color w:val="000000" w:themeColor="text1"/>
          <w:szCs w:val="24"/>
          <w:lang w:val="en-NZ"/>
        </w:rPr>
      </w:pPr>
      <w:r w:rsidRPr="00E741C0">
        <w:rPr>
          <w:rFonts w:eastAsia="Calibri" w:cs="Times New Roman"/>
          <w:b/>
          <w:bCs/>
          <w:color w:val="000000" w:themeColor="text1"/>
          <w:szCs w:val="24"/>
          <w:lang w:val="en-NZ"/>
        </w:rPr>
        <w:lastRenderedPageBreak/>
        <w:t xml:space="preserve">Supplementary Figure </w:t>
      </w:r>
      <w:r w:rsidR="00F50236" w:rsidRPr="00E741C0">
        <w:rPr>
          <w:rFonts w:eastAsia="Calibri" w:cs="Times New Roman"/>
          <w:b/>
          <w:bCs/>
          <w:color w:val="000000" w:themeColor="text1"/>
          <w:szCs w:val="24"/>
          <w:lang w:val="en-NZ"/>
        </w:rPr>
        <w:t>3</w:t>
      </w:r>
      <w:r w:rsidRPr="00E741C0">
        <w:rPr>
          <w:rFonts w:eastAsia="Calibri" w:cs="Times New Roman"/>
          <w:b/>
          <w:bCs/>
          <w:color w:val="000000" w:themeColor="text1"/>
          <w:szCs w:val="24"/>
          <w:lang w:val="en-NZ"/>
        </w:rPr>
        <w:t xml:space="preserve">. Core genome SNP phylogeny of environmental and clinical carbapenem resistant </w:t>
      </w:r>
      <w:r w:rsidRPr="00E741C0">
        <w:rPr>
          <w:rFonts w:eastAsia="Calibri" w:cs="Times New Roman"/>
          <w:b/>
          <w:bCs/>
          <w:i/>
          <w:iCs/>
          <w:color w:val="000000" w:themeColor="text1"/>
          <w:szCs w:val="24"/>
          <w:lang w:val="en-NZ"/>
        </w:rPr>
        <w:t xml:space="preserve">Acinetobacter baumannii </w:t>
      </w:r>
      <w:r w:rsidRPr="00E741C0">
        <w:rPr>
          <w:rFonts w:eastAsia="Calibri" w:cs="Times New Roman"/>
          <w:b/>
          <w:bCs/>
          <w:color w:val="000000" w:themeColor="text1"/>
          <w:szCs w:val="24"/>
          <w:lang w:val="en-NZ"/>
        </w:rPr>
        <w:t>ST25 isolates from Fiji’s CWMH (2021)</w:t>
      </w:r>
    </w:p>
    <w:p w14:paraId="43799C97" w14:textId="7005BB1A" w:rsidR="00B820CB" w:rsidRPr="00E741C0" w:rsidRDefault="00B820CB" w:rsidP="00B820CB">
      <w:pPr>
        <w:spacing w:before="0" w:after="160" w:line="259" w:lineRule="auto"/>
        <w:contextualSpacing/>
        <w:jc w:val="both"/>
        <w:rPr>
          <w:rFonts w:cs="Times New Roman"/>
          <w:b/>
          <w:bCs/>
          <w:color w:val="000000" w:themeColor="text1"/>
          <w:szCs w:val="24"/>
        </w:rPr>
      </w:pPr>
      <w:r w:rsidRPr="00E741C0">
        <w:rPr>
          <w:rFonts w:cs="Times New Roman"/>
          <w:b/>
          <w:bCs/>
          <w:color w:val="000000" w:themeColor="text1"/>
          <w:szCs w:val="24"/>
        </w:rPr>
        <w:t>a.</w:t>
      </w:r>
    </w:p>
    <w:p w14:paraId="37457DF9" w14:textId="330BAB3E" w:rsidR="00B820CB" w:rsidRPr="00E741C0" w:rsidRDefault="00B820CB" w:rsidP="00B820CB">
      <w:pPr>
        <w:spacing w:before="0" w:after="160" w:line="259" w:lineRule="auto"/>
        <w:contextualSpacing/>
        <w:jc w:val="both"/>
        <w:rPr>
          <w:rFonts w:cs="Times New Roman"/>
          <w:color w:val="000000" w:themeColor="text1"/>
          <w:szCs w:val="24"/>
        </w:rPr>
      </w:pPr>
      <w:r w:rsidRPr="00E741C0">
        <w:rPr>
          <w:rFonts w:ascii="Calibri" w:eastAsia="Calibri" w:hAnsi="Calibri" w:cs="Times New Roman"/>
          <w:noProof/>
          <w:color w:val="000000" w:themeColor="text1"/>
          <w:kern w:val="2"/>
          <w:sz w:val="22"/>
          <w:lang w:val="en-NZ"/>
          <w14:ligatures w14:val="standardContextual"/>
        </w:rPr>
        <w:drawing>
          <wp:inline distT="0" distB="0" distL="0" distR="0" wp14:anchorId="61B52B4F" wp14:editId="23B7C752">
            <wp:extent cx="8610600" cy="2983920"/>
            <wp:effectExtent l="0" t="0" r="0" b="6985"/>
            <wp:docPr id="89427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4388" name=""/>
                    <pic:cNvPicPr/>
                  </pic:nvPicPr>
                  <pic:blipFill>
                    <a:blip r:embed="rId29"/>
                    <a:stretch>
                      <a:fillRect/>
                    </a:stretch>
                  </pic:blipFill>
                  <pic:spPr>
                    <a:xfrm>
                      <a:off x="0" y="0"/>
                      <a:ext cx="8610600" cy="2983920"/>
                    </a:xfrm>
                    <a:prstGeom prst="rect">
                      <a:avLst/>
                    </a:prstGeom>
                  </pic:spPr>
                </pic:pic>
              </a:graphicData>
            </a:graphic>
          </wp:inline>
        </w:drawing>
      </w:r>
    </w:p>
    <w:p w14:paraId="34B29CE7"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21498D04"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0033C9D3"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17944725"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6B717709"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7833F998" w14:textId="0D6AAB71" w:rsidR="00B820CB" w:rsidRPr="00E741C0" w:rsidRDefault="00B820CB" w:rsidP="00B820CB">
      <w:pPr>
        <w:spacing w:before="0" w:after="160" w:line="259" w:lineRule="auto"/>
        <w:contextualSpacing/>
        <w:jc w:val="both"/>
        <w:rPr>
          <w:rFonts w:cs="Times New Roman"/>
          <w:color w:val="000000" w:themeColor="text1"/>
          <w:szCs w:val="24"/>
        </w:rPr>
      </w:pPr>
    </w:p>
    <w:p w14:paraId="5D10EB48"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79F0DCBC"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199457FA"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02437525"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68432576"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7F1031A6"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64F91F63"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7773D4FA" w14:textId="77777777" w:rsidR="00B820CB" w:rsidRPr="00E741C0" w:rsidRDefault="00B820CB" w:rsidP="00B820CB">
      <w:pPr>
        <w:spacing w:before="0" w:after="160" w:line="259" w:lineRule="auto"/>
        <w:contextualSpacing/>
        <w:jc w:val="both"/>
        <w:rPr>
          <w:rFonts w:cs="Times New Roman"/>
          <w:color w:val="000000" w:themeColor="text1"/>
          <w:szCs w:val="24"/>
        </w:rPr>
        <w:sectPr w:rsidR="00B820CB" w:rsidRPr="00E741C0" w:rsidSect="00B820CB">
          <w:pgSz w:w="15840" w:h="12240" w:orient="landscape"/>
          <w:pgMar w:top="1281" w:right="1140" w:bottom="1179" w:left="1140" w:header="284" w:footer="510" w:gutter="0"/>
          <w:lnNumType w:countBy="1" w:restart="continuous"/>
          <w:cols w:space="720"/>
          <w:titlePg/>
          <w:docGrid w:linePitch="360"/>
        </w:sectPr>
      </w:pPr>
    </w:p>
    <w:p w14:paraId="50792FD0" w14:textId="3955AE04" w:rsidR="00B820CB" w:rsidRPr="00E741C0" w:rsidRDefault="009145EE" w:rsidP="00B820CB">
      <w:pPr>
        <w:spacing w:before="0" w:after="160" w:line="259" w:lineRule="auto"/>
        <w:contextualSpacing/>
        <w:jc w:val="both"/>
        <w:rPr>
          <w:rFonts w:cs="Times New Roman"/>
          <w:b/>
          <w:bCs/>
          <w:color w:val="000000" w:themeColor="text1"/>
          <w:szCs w:val="24"/>
        </w:rPr>
      </w:pPr>
      <w:r w:rsidRPr="00E741C0">
        <w:rPr>
          <w:rFonts w:cs="Times New Roman"/>
          <w:b/>
          <w:bCs/>
          <w:color w:val="000000" w:themeColor="text1"/>
          <w:szCs w:val="24"/>
        </w:rPr>
        <w:lastRenderedPageBreak/>
        <w:t>b.</w:t>
      </w:r>
    </w:p>
    <w:p w14:paraId="60069088" w14:textId="37D64270" w:rsidR="009145EE" w:rsidRPr="00E741C0" w:rsidRDefault="009145EE" w:rsidP="00B820CB">
      <w:pPr>
        <w:spacing w:before="0" w:after="160" w:line="259" w:lineRule="auto"/>
        <w:contextualSpacing/>
        <w:jc w:val="both"/>
        <w:rPr>
          <w:rFonts w:cs="Times New Roman"/>
          <w:color w:val="000000" w:themeColor="text1"/>
          <w:szCs w:val="24"/>
        </w:rPr>
      </w:pPr>
      <w:r w:rsidRPr="00E741C0">
        <w:rPr>
          <w:rFonts w:eastAsia="Calibri" w:cs="Times New Roman"/>
          <w:noProof/>
          <w:color w:val="000000" w:themeColor="text1"/>
          <w:kern w:val="2"/>
          <w:szCs w:val="24"/>
          <w:lang w:val="en-NZ"/>
          <w14:ligatures w14:val="standardContextual"/>
        </w:rPr>
        <w:drawing>
          <wp:inline distT="0" distB="0" distL="0" distR="0" wp14:anchorId="31BFA6DE" wp14:editId="207166DF">
            <wp:extent cx="5731510" cy="2778760"/>
            <wp:effectExtent l="0" t="0" r="2540" b="2540"/>
            <wp:docPr id="155908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88269" name=""/>
                    <pic:cNvPicPr/>
                  </pic:nvPicPr>
                  <pic:blipFill>
                    <a:blip r:embed="rId30"/>
                    <a:stretch>
                      <a:fillRect/>
                    </a:stretch>
                  </pic:blipFill>
                  <pic:spPr>
                    <a:xfrm>
                      <a:off x="0" y="0"/>
                      <a:ext cx="5731510" cy="2778760"/>
                    </a:xfrm>
                    <a:prstGeom prst="rect">
                      <a:avLst/>
                    </a:prstGeom>
                  </pic:spPr>
                </pic:pic>
              </a:graphicData>
            </a:graphic>
          </wp:inline>
        </w:drawing>
      </w:r>
    </w:p>
    <w:p w14:paraId="1BF5E210"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0D48EAF4" w14:textId="4DDCBE38" w:rsidR="009145EE" w:rsidRPr="00E741C0" w:rsidRDefault="009145EE" w:rsidP="009145EE">
      <w:pPr>
        <w:spacing w:before="0" w:after="160"/>
        <w:jc w:val="both"/>
        <w:rPr>
          <w:rFonts w:eastAsia="Calibri" w:cs="Times New Roman"/>
          <w:b/>
          <w:bCs/>
          <w:color w:val="000000" w:themeColor="text1"/>
          <w:kern w:val="2"/>
          <w:sz w:val="20"/>
          <w:szCs w:val="20"/>
          <w:lang w:val="en-NZ"/>
          <w14:ligatures w14:val="standardContextual"/>
        </w:rPr>
      </w:pPr>
      <w:r w:rsidRPr="00E741C0">
        <w:rPr>
          <w:rFonts w:eastAsia="Calibri" w:cs="Times New Roman"/>
          <w:b/>
          <w:bCs/>
          <w:color w:val="000000" w:themeColor="text1"/>
          <w:sz w:val="20"/>
          <w:szCs w:val="20"/>
          <w:lang w:val="en-NZ"/>
        </w:rPr>
        <w:t>a</w:t>
      </w:r>
      <w:bookmarkStart w:id="14" w:name="_Hlk155730056"/>
      <w:r w:rsidRPr="00E741C0">
        <w:rPr>
          <w:rFonts w:eastAsia="Calibri" w:cs="Times New Roman"/>
          <w:b/>
          <w:bCs/>
          <w:color w:val="000000" w:themeColor="text1"/>
          <w:sz w:val="20"/>
          <w:szCs w:val="20"/>
          <w:lang w:val="en-NZ"/>
        </w:rPr>
        <w:t xml:space="preserve">) Core genome SNP phylogeny of environmental carbapenem resistant </w:t>
      </w:r>
      <w:r w:rsidRPr="00E741C0">
        <w:rPr>
          <w:rFonts w:eastAsia="Calibri" w:cs="Times New Roman"/>
          <w:b/>
          <w:bCs/>
          <w:i/>
          <w:iCs/>
          <w:color w:val="000000" w:themeColor="text1"/>
          <w:sz w:val="20"/>
          <w:szCs w:val="20"/>
          <w:lang w:val="en-NZ"/>
        </w:rPr>
        <w:t>A. baumannii</w:t>
      </w:r>
      <w:r w:rsidRPr="00E741C0">
        <w:rPr>
          <w:rFonts w:eastAsia="Calibri" w:cs="Times New Roman"/>
          <w:b/>
          <w:bCs/>
          <w:color w:val="000000" w:themeColor="text1"/>
          <w:sz w:val="20"/>
          <w:szCs w:val="20"/>
          <w:lang w:val="en-NZ"/>
        </w:rPr>
        <w:t xml:space="preserve"> ST25 isolates from CWMH (2021). Phylogenetic tree inferred from core genome SNPs of three </w:t>
      </w:r>
      <w:proofErr w:type="spellStart"/>
      <w:r w:rsidRPr="00E741C0">
        <w:rPr>
          <w:rFonts w:eastAsia="Calibri" w:cs="Times New Roman"/>
          <w:b/>
          <w:bCs/>
          <w:color w:val="000000" w:themeColor="text1"/>
          <w:sz w:val="20"/>
          <w:szCs w:val="20"/>
          <w:lang w:val="en-NZ"/>
        </w:rPr>
        <w:t>CR</w:t>
      </w:r>
      <w:r w:rsidRPr="00E741C0">
        <w:rPr>
          <w:rFonts w:eastAsia="Calibri" w:cs="Times New Roman"/>
          <w:b/>
          <w:bCs/>
          <w:i/>
          <w:iCs/>
          <w:color w:val="000000" w:themeColor="text1"/>
          <w:sz w:val="20"/>
          <w:szCs w:val="20"/>
          <w:lang w:val="en-NZ"/>
        </w:rPr>
        <w:t>Ab</w:t>
      </w:r>
      <w:proofErr w:type="spellEnd"/>
      <w:r w:rsidRPr="00E741C0">
        <w:rPr>
          <w:rFonts w:eastAsia="Calibri" w:cs="Times New Roman"/>
          <w:b/>
          <w:bCs/>
          <w:color w:val="000000" w:themeColor="text1"/>
          <w:sz w:val="20"/>
          <w:szCs w:val="20"/>
          <w:lang w:val="en-NZ"/>
        </w:rPr>
        <w:t xml:space="preserve"> ST25 isolates. The core genome was generated by aligning at least 94% of the available sequence data for all isolates. The core SNP density, representing the average number of SNPs per base pair in the core genome, was 32 SNPs across 4210148 base pairs in the reference genome. The reference genome used was from </w:t>
      </w:r>
      <w:proofErr w:type="spellStart"/>
      <w:r w:rsidRPr="00E741C0">
        <w:rPr>
          <w:rFonts w:eastAsia="Calibri" w:cs="Times New Roman"/>
          <w:b/>
          <w:bCs/>
          <w:color w:val="000000" w:themeColor="text1"/>
          <w:sz w:val="20"/>
          <w:szCs w:val="20"/>
          <w:lang w:val="en-NZ"/>
        </w:rPr>
        <w:t>CR</w:t>
      </w:r>
      <w:r w:rsidRPr="00E741C0">
        <w:rPr>
          <w:rFonts w:eastAsia="Calibri" w:cs="Times New Roman"/>
          <w:b/>
          <w:bCs/>
          <w:i/>
          <w:iCs/>
          <w:color w:val="000000" w:themeColor="text1"/>
          <w:sz w:val="20"/>
          <w:szCs w:val="20"/>
          <w:lang w:val="en-NZ"/>
        </w:rPr>
        <w:t>Ab</w:t>
      </w:r>
      <w:proofErr w:type="spellEnd"/>
      <w:r w:rsidRPr="00E741C0">
        <w:rPr>
          <w:rFonts w:eastAsia="Calibri" w:cs="Times New Roman"/>
          <w:b/>
          <w:bCs/>
          <w:color w:val="000000" w:themeColor="text1"/>
          <w:sz w:val="20"/>
          <w:szCs w:val="20"/>
          <w:lang w:val="en-NZ"/>
        </w:rPr>
        <w:t xml:space="preserve"> ST25 (FJ14), isolated from an adult ICU patient at the CWMH in 2019 </w:t>
      </w:r>
      <w:r w:rsidRPr="00E741C0">
        <w:rPr>
          <w:rFonts w:eastAsia="Calibri" w:cs="Times New Roman"/>
          <w:b/>
          <w:bCs/>
          <w:color w:val="000000" w:themeColor="text1"/>
          <w:sz w:val="20"/>
          <w:szCs w:val="20"/>
          <w:lang w:val="en-NZ"/>
        </w:rPr>
        <w:fldChar w:fldCharType="begin" w:fldLock="1"/>
      </w:r>
      <w:r w:rsidR="00184ADD" w:rsidRPr="00E741C0">
        <w:rPr>
          <w:rFonts w:eastAsia="Calibri" w:cs="Times New Roman"/>
          <w:b/>
          <w:bCs/>
          <w:color w:val="000000" w:themeColor="text1"/>
          <w:sz w:val="20"/>
          <w:szCs w:val="20"/>
          <w:lang w:val="en-NZ"/>
        </w:rPr>
        <w:instrText>ADDIN CSL_CITATION {"citationItems":[{"id":"ITEM-1","itemData":{"DOI":"10.1016/j.lanwpc.2023.100896","ISSN":"2666-6065","author":[{"dropping-particle":"","family":"Baleivanualala","given":"Sakiusa C","non-dropping-particle":"","parse-names":false,"suffix":""},{"dropping-particle":"","family":"Isaia","given":"Lupeoletalalelei","non-dropping-particle":"","parse-names":false,"suffix":""},{"dropping-particle":"V","family":"Devi","given":"Swastika","non-dropping-particle":"","parse-names":false,"suffix":""},{"dropping-particle":"","family":"Howden","given":"Benjamin","non-dropping-particle":"","parse-names":false,"suffix":""},{"dropping-particle":"","family":"Gorrie","given":"Claire L","non-dropping-particle":"","parse-names":false,"suffix":""},{"dropping-particle":"","family":"Matanitobua","given":"Silivia","non-dropping-particle":"","parse-names":false,"suffix":""}],"container-title":"The Lancet Regional Health - Western Pacific","id":"ITEM-1","issued":{"date-parts":[["2023"]]},"page":"100896","publisher":"The Author(s)","title":"Articles Molecular and clinical epidemiology of carbapenem resistant Acinetobacter baumannii ST2 in Oceania : a multicountry cohort study","type":"article-journal"},"uris":["http://www.mendeley.com/documents/?uuid=2b3a61c8-5d26-406a-aa2d-e79b8e2077c2"]}],"mendeley":{"formattedCitation":"(Baleivanualala et al., 2023)","plainTextFormattedCitation":"(Baleivanualala et al., 2023)","previouslyFormattedCitation":"(Baleivanualala et al., 2023)"},"properties":{"noteIndex":0},"schema":"https://github.com/citation-style-language/schema/raw/master/csl-citation.json"}</w:instrText>
      </w:r>
      <w:r w:rsidRPr="00E741C0">
        <w:rPr>
          <w:rFonts w:eastAsia="Calibri" w:cs="Times New Roman"/>
          <w:b/>
          <w:bCs/>
          <w:color w:val="000000" w:themeColor="text1"/>
          <w:sz w:val="20"/>
          <w:szCs w:val="20"/>
          <w:lang w:val="en-NZ"/>
        </w:rPr>
        <w:fldChar w:fldCharType="separate"/>
      </w:r>
      <w:r w:rsidRPr="00E741C0">
        <w:rPr>
          <w:rFonts w:eastAsia="Calibri" w:cs="Times New Roman"/>
          <w:bCs/>
          <w:noProof/>
          <w:color w:val="000000" w:themeColor="text1"/>
          <w:sz w:val="20"/>
          <w:szCs w:val="20"/>
          <w:lang w:val="en-NZ"/>
        </w:rPr>
        <w:t>(Baleivanualala et al., 2023)</w:t>
      </w:r>
      <w:r w:rsidRPr="00E741C0">
        <w:rPr>
          <w:rFonts w:eastAsia="Calibri" w:cs="Times New Roman"/>
          <w:b/>
          <w:bCs/>
          <w:color w:val="000000" w:themeColor="text1"/>
          <w:sz w:val="20"/>
          <w:szCs w:val="20"/>
          <w:lang w:val="en-NZ"/>
        </w:rPr>
        <w:fldChar w:fldCharType="end"/>
      </w:r>
      <w:r w:rsidRPr="00E741C0">
        <w:rPr>
          <w:rFonts w:eastAsia="Calibri" w:cs="Times New Roman"/>
          <w:b/>
          <w:bCs/>
          <w:color w:val="000000" w:themeColor="text1"/>
          <w:sz w:val="20"/>
          <w:szCs w:val="20"/>
          <w:lang w:val="en-NZ"/>
        </w:rPr>
        <w:t xml:space="preserve">. The tree was rooted using the earliest isolate (reference genome, FJ14). Isolation dates, locations, collection site, and AMR phenotypic and genotypic profiles are annotated on the tree. The scale bar represents the frequency of mutations per site. </w:t>
      </w:r>
      <w:bookmarkEnd w:id="14"/>
    </w:p>
    <w:p w14:paraId="416A4B36" w14:textId="3B67AAA8" w:rsidR="009145EE" w:rsidRPr="00E741C0" w:rsidRDefault="009145EE" w:rsidP="009145EE">
      <w:pPr>
        <w:tabs>
          <w:tab w:val="left" w:pos="501"/>
        </w:tabs>
        <w:spacing w:before="0" w:after="160"/>
        <w:jc w:val="both"/>
        <w:rPr>
          <w:rFonts w:eastAsia="Calibri" w:cs="Times New Roman"/>
          <w:b/>
          <w:bCs/>
          <w:color w:val="000000" w:themeColor="text1"/>
          <w:kern w:val="2"/>
          <w:sz w:val="20"/>
          <w:szCs w:val="20"/>
          <w:lang w:val="en-NZ"/>
          <w14:ligatures w14:val="standardContextual"/>
        </w:rPr>
      </w:pPr>
      <w:r w:rsidRPr="00E741C0">
        <w:rPr>
          <w:rFonts w:eastAsia="Calibri" w:cs="Times New Roman"/>
          <w:b/>
          <w:bCs/>
          <w:color w:val="000000" w:themeColor="text1"/>
          <w:kern w:val="2"/>
          <w:sz w:val="20"/>
          <w:szCs w:val="20"/>
          <w:lang w:val="en-NZ"/>
          <w14:ligatures w14:val="standardContextual"/>
        </w:rPr>
        <w:t xml:space="preserve">b. Core genome SNP phylogeny of environmental and clinical carbapenem resistant </w:t>
      </w:r>
      <w:r w:rsidRPr="00E741C0">
        <w:rPr>
          <w:rFonts w:eastAsia="Calibri" w:cs="Times New Roman"/>
          <w:b/>
          <w:bCs/>
          <w:i/>
          <w:iCs/>
          <w:color w:val="000000" w:themeColor="text1"/>
          <w:kern w:val="2"/>
          <w:sz w:val="20"/>
          <w:szCs w:val="20"/>
          <w:lang w:val="en-NZ"/>
          <w14:ligatures w14:val="standardContextual"/>
        </w:rPr>
        <w:t>A. baumannii</w:t>
      </w:r>
      <w:r w:rsidRPr="00E741C0">
        <w:rPr>
          <w:rFonts w:eastAsia="Calibri" w:cs="Times New Roman"/>
          <w:b/>
          <w:bCs/>
          <w:color w:val="000000" w:themeColor="text1"/>
          <w:kern w:val="2"/>
          <w:sz w:val="20"/>
          <w:szCs w:val="20"/>
          <w:lang w:val="en-NZ"/>
          <w14:ligatures w14:val="standardContextual"/>
        </w:rPr>
        <w:t xml:space="preserve"> ST25 isolates from CWMH and LBSH (2019 - 2021). Phylogenetic tree inferred from core genome SNPs of 17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color w:val="000000" w:themeColor="text1"/>
          <w:kern w:val="2"/>
          <w:sz w:val="20"/>
          <w:szCs w:val="20"/>
          <w:lang w:val="en-NZ"/>
          <w14:ligatures w14:val="standardContextual"/>
        </w:rPr>
        <w:t xml:space="preserve"> ST25 isolates. The core genome was generated by aligning at least 91% of the available sequence data for all isolates. The core SNP density, representing the average number of SNPs per base pair in the core genome, was 8918 SNPs across 4210148 base pairs in the reference genome. The reference genome used was from </w:t>
      </w:r>
      <w:proofErr w:type="spellStart"/>
      <w:r w:rsidRPr="00E741C0">
        <w:rPr>
          <w:rFonts w:eastAsia="Calibri" w:cs="Times New Roman"/>
          <w:b/>
          <w:bCs/>
          <w:color w:val="000000" w:themeColor="text1"/>
          <w:kern w:val="2"/>
          <w:sz w:val="20"/>
          <w:szCs w:val="20"/>
          <w:lang w:val="en-NZ"/>
          <w14:ligatures w14:val="standardContextual"/>
        </w:rPr>
        <w:t>CR</w:t>
      </w:r>
      <w:r w:rsidRPr="00E741C0">
        <w:rPr>
          <w:rFonts w:eastAsia="Calibri" w:cs="Times New Roman"/>
          <w:b/>
          <w:bCs/>
          <w:i/>
          <w:iCs/>
          <w:color w:val="000000" w:themeColor="text1"/>
          <w:kern w:val="2"/>
          <w:sz w:val="20"/>
          <w:szCs w:val="20"/>
          <w:lang w:val="en-NZ"/>
          <w14:ligatures w14:val="standardContextual"/>
        </w:rPr>
        <w:t>Ab</w:t>
      </w:r>
      <w:proofErr w:type="spellEnd"/>
      <w:r w:rsidRPr="00E741C0">
        <w:rPr>
          <w:rFonts w:eastAsia="Calibri" w:cs="Times New Roman"/>
          <w:b/>
          <w:bCs/>
          <w:color w:val="000000" w:themeColor="text1"/>
          <w:kern w:val="2"/>
          <w:sz w:val="20"/>
          <w:szCs w:val="20"/>
          <w:lang w:val="en-NZ"/>
          <w14:ligatures w14:val="standardContextual"/>
        </w:rPr>
        <w:t xml:space="preserve"> ST25 (FJ14), isolated from an adult ICU patient at the CWMH in 2019 </w:t>
      </w:r>
      <w:r w:rsidRPr="00E741C0">
        <w:rPr>
          <w:rFonts w:eastAsia="Calibri" w:cs="Times New Roman"/>
          <w:b/>
          <w:bCs/>
          <w:color w:val="000000" w:themeColor="text1"/>
          <w:kern w:val="2"/>
          <w:sz w:val="20"/>
          <w:szCs w:val="20"/>
          <w:lang w:val="en-NZ"/>
          <w14:ligatures w14:val="standardContextual"/>
        </w:rPr>
        <w:fldChar w:fldCharType="begin" w:fldLock="1"/>
      </w:r>
      <w:r w:rsidR="00184ADD" w:rsidRPr="00E741C0">
        <w:rPr>
          <w:rFonts w:eastAsia="Calibri" w:cs="Times New Roman"/>
          <w:b/>
          <w:bCs/>
          <w:color w:val="000000" w:themeColor="text1"/>
          <w:kern w:val="2"/>
          <w:sz w:val="20"/>
          <w:szCs w:val="20"/>
          <w:lang w:val="en-NZ"/>
          <w14:ligatures w14:val="standardContextual"/>
        </w:rPr>
        <w:instrText>ADDIN CSL_CITATION {"citationItems":[{"id":"ITEM-1","itemData":{"DOI":"10.1016/j.lanwpc.2023.100896","ISSN":"2666-6065","author":[{"dropping-particle":"","family":"Baleivanualala","given":"Sakiusa C","non-dropping-particle":"","parse-names":false,"suffix":""},{"dropping-particle":"","family":"Isaia","given":"Lupeoletalalelei","non-dropping-particle":"","parse-names":false,"suffix":""},{"dropping-particle":"V","family":"Devi","given":"Swastika","non-dropping-particle":"","parse-names":false,"suffix":""},{"dropping-particle":"","family":"Howden","given":"Benjamin","non-dropping-particle":"","parse-names":false,"suffix":""},{"dropping-particle":"","family":"Gorrie","given":"Claire L","non-dropping-particle":"","parse-names":false,"suffix":""},{"dropping-particle":"","family":"Matanitobua","given":"Silivia","non-dropping-particle":"","parse-names":false,"suffix":""}],"container-title":"The Lancet Regional Health - Western Pacific","id":"ITEM-1","issued":{"date-parts":[["2023"]]},"page":"100896","publisher":"The Author(s)","title":"Articles Molecular and clinical epidemiology of carbapenem resistant Acinetobacter baumannii ST2 in Oceania : a multicountry cohort study","type":"article-journal"},"uris":["http://www.mendeley.com/documents/?uuid=2b3a61c8-5d26-406a-aa2d-e79b8e2077c2"]}],"mendeley":{"formattedCitation":"(Baleivanualala et al., 2023)","plainTextFormattedCitation":"(Baleivanualala et al., 2023)","previouslyFormattedCitation":"(Baleivanualala et al., 2023)"},"properties":{"noteIndex":0},"schema":"https://github.com/citation-style-language/schema/raw/master/csl-citation.json"}</w:instrText>
      </w:r>
      <w:r w:rsidRPr="00E741C0">
        <w:rPr>
          <w:rFonts w:eastAsia="Calibri" w:cs="Times New Roman"/>
          <w:b/>
          <w:bCs/>
          <w:color w:val="000000" w:themeColor="text1"/>
          <w:kern w:val="2"/>
          <w:sz w:val="20"/>
          <w:szCs w:val="20"/>
          <w:lang w:val="en-NZ"/>
          <w14:ligatures w14:val="standardContextual"/>
        </w:rPr>
        <w:fldChar w:fldCharType="separate"/>
      </w:r>
      <w:r w:rsidRPr="00E741C0">
        <w:rPr>
          <w:rFonts w:eastAsia="Calibri" w:cs="Times New Roman"/>
          <w:bCs/>
          <w:noProof/>
          <w:color w:val="000000" w:themeColor="text1"/>
          <w:kern w:val="2"/>
          <w:sz w:val="20"/>
          <w:szCs w:val="20"/>
          <w:lang w:val="en-NZ"/>
          <w14:ligatures w14:val="standardContextual"/>
        </w:rPr>
        <w:t>(Baleivanualala et al., 2023)</w:t>
      </w:r>
      <w:r w:rsidRPr="00E741C0">
        <w:rPr>
          <w:rFonts w:eastAsia="Calibri" w:cs="Times New Roman"/>
          <w:b/>
          <w:bCs/>
          <w:color w:val="000000" w:themeColor="text1"/>
          <w:kern w:val="2"/>
          <w:sz w:val="20"/>
          <w:szCs w:val="20"/>
          <w:lang w:val="en-NZ"/>
          <w14:ligatures w14:val="standardContextual"/>
        </w:rPr>
        <w:fldChar w:fldCharType="end"/>
      </w:r>
      <w:r w:rsidRPr="00E741C0">
        <w:rPr>
          <w:rFonts w:eastAsia="Calibri" w:cs="Times New Roman"/>
          <w:b/>
          <w:bCs/>
          <w:color w:val="000000" w:themeColor="text1"/>
          <w:kern w:val="2"/>
          <w:sz w:val="20"/>
          <w:szCs w:val="20"/>
          <w:lang w:val="en-NZ"/>
          <w14:ligatures w14:val="standardContextual"/>
        </w:rPr>
        <w:t>. The tree was rooted using the earliest isolate (reference genome, FJ14) from CWMH patient. Isolation dates and hospitals are annotated on the tree. The scale bar represents the frequency of mutations per site.</w:t>
      </w:r>
    </w:p>
    <w:p w14:paraId="7343C4BB" w14:textId="77777777" w:rsidR="00B820CB" w:rsidRPr="00E741C0" w:rsidRDefault="00B820CB" w:rsidP="00B820CB">
      <w:pPr>
        <w:spacing w:before="0" w:after="160" w:line="259" w:lineRule="auto"/>
        <w:contextualSpacing/>
        <w:jc w:val="both"/>
        <w:rPr>
          <w:rFonts w:cs="Times New Roman"/>
          <w:color w:val="000000" w:themeColor="text1"/>
          <w:szCs w:val="24"/>
        </w:rPr>
      </w:pPr>
    </w:p>
    <w:p w14:paraId="2146F970"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274D73DD"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7F565851"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75B76EE6"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21FA38FD"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00CD8133"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11FE636D"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6386DDA5"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686E4306"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6BD93312"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03B3FE78" w14:textId="77777777" w:rsidR="009145EE" w:rsidRPr="00E741C0" w:rsidRDefault="009145EE" w:rsidP="00B820CB">
      <w:pPr>
        <w:spacing w:before="0" w:after="160" w:line="259" w:lineRule="auto"/>
        <w:contextualSpacing/>
        <w:jc w:val="both"/>
        <w:rPr>
          <w:rFonts w:cs="Times New Roman"/>
          <w:color w:val="000000" w:themeColor="text1"/>
          <w:szCs w:val="24"/>
        </w:rPr>
        <w:sectPr w:rsidR="009145EE" w:rsidRPr="00E741C0" w:rsidSect="00B820CB">
          <w:pgSz w:w="12240" w:h="15840"/>
          <w:pgMar w:top="1140" w:right="1179" w:bottom="1140" w:left="1281" w:header="284" w:footer="510" w:gutter="0"/>
          <w:lnNumType w:countBy="1" w:restart="continuous"/>
          <w:cols w:space="720"/>
          <w:titlePg/>
          <w:docGrid w:linePitch="360"/>
        </w:sectPr>
      </w:pPr>
    </w:p>
    <w:p w14:paraId="46ADE58C" w14:textId="0A9C973E" w:rsidR="009145EE" w:rsidRPr="00E741C0" w:rsidRDefault="009145EE" w:rsidP="009145EE">
      <w:pPr>
        <w:spacing w:before="0" w:after="160"/>
        <w:jc w:val="both"/>
        <w:rPr>
          <w:rFonts w:eastAsia="Calibri" w:cs="Times New Roman"/>
          <w:b/>
          <w:bCs/>
          <w:color w:val="000000" w:themeColor="text1"/>
          <w:szCs w:val="24"/>
          <w:lang w:val="en-NZ"/>
        </w:rPr>
      </w:pPr>
      <w:r w:rsidRPr="00E741C0">
        <w:rPr>
          <w:rFonts w:eastAsia="Calibri" w:cs="Times New Roman"/>
          <w:b/>
          <w:bCs/>
          <w:color w:val="000000" w:themeColor="text1"/>
          <w:szCs w:val="24"/>
          <w:lang w:val="en-NZ"/>
        </w:rPr>
        <w:lastRenderedPageBreak/>
        <w:t xml:space="preserve">Supplementary Figure </w:t>
      </w:r>
      <w:r w:rsidR="00F50236" w:rsidRPr="00E741C0">
        <w:rPr>
          <w:rFonts w:eastAsia="Calibri" w:cs="Times New Roman"/>
          <w:b/>
          <w:bCs/>
          <w:color w:val="000000" w:themeColor="text1"/>
          <w:szCs w:val="24"/>
          <w:lang w:val="en-NZ"/>
        </w:rPr>
        <w:t>4</w:t>
      </w:r>
      <w:r w:rsidRPr="00E741C0">
        <w:rPr>
          <w:rFonts w:eastAsia="Calibri" w:cs="Times New Roman"/>
          <w:b/>
          <w:bCs/>
          <w:color w:val="000000" w:themeColor="text1"/>
          <w:szCs w:val="24"/>
          <w:lang w:val="en-NZ"/>
        </w:rPr>
        <w:t xml:space="preserve">. Core genome SNP phylogeny of environmental and clinical carbapenem resistant </w:t>
      </w:r>
      <w:r w:rsidRPr="00E741C0">
        <w:rPr>
          <w:rFonts w:eastAsia="Calibri" w:cs="Times New Roman"/>
          <w:b/>
          <w:bCs/>
          <w:i/>
          <w:iCs/>
          <w:color w:val="000000" w:themeColor="text1"/>
          <w:szCs w:val="24"/>
          <w:lang w:val="en-NZ"/>
        </w:rPr>
        <w:t xml:space="preserve">Acinetobacter baumannii </w:t>
      </w:r>
      <w:r w:rsidRPr="00E741C0">
        <w:rPr>
          <w:rFonts w:eastAsia="Calibri" w:cs="Times New Roman"/>
          <w:b/>
          <w:bCs/>
          <w:color w:val="000000" w:themeColor="text1"/>
          <w:szCs w:val="24"/>
          <w:lang w:val="en-NZ"/>
        </w:rPr>
        <w:t>ST499 isolates from Fiji’s CWMH and LTKH (2022)</w:t>
      </w:r>
    </w:p>
    <w:p w14:paraId="5DAE9286" w14:textId="4E79F729" w:rsidR="009145EE" w:rsidRPr="00E741C0" w:rsidRDefault="009145EE" w:rsidP="00B820CB">
      <w:pPr>
        <w:spacing w:before="0" w:after="160" w:line="259" w:lineRule="auto"/>
        <w:contextualSpacing/>
        <w:jc w:val="both"/>
        <w:rPr>
          <w:rFonts w:cs="Times New Roman"/>
          <w:color w:val="000000" w:themeColor="text1"/>
          <w:szCs w:val="24"/>
        </w:rPr>
      </w:pPr>
      <w:r w:rsidRPr="00E741C0">
        <w:rPr>
          <w:rFonts w:ascii="Calibri" w:eastAsia="Calibri" w:hAnsi="Calibri" w:cs="Times New Roman"/>
          <w:noProof/>
          <w:color w:val="000000" w:themeColor="text1"/>
          <w:sz w:val="22"/>
          <w:lang w:val="en-NZ"/>
          <w14:ligatures w14:val="standardContextual"/>
        </w:rPr>
        <w:drawing>
          <wp:inline distT="0" distB="0" distL="0" distR="0" wp14:anchorId="380BC2BA" wp14:editId="13C67513">
            <wp:extent cx="8610600" cy="3301772"/>
            <wp:effectExtent l="0" t="0" r="0" b="0"/>
            <wp:docPr id="936035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35631" name="Picture 1" descr="A screenshot of a computer&#10;&#10;Description automatically generated"/>
                    <pic:cNvPicPr/>
                  </pic:nvPicPr>
                  <pic:blipFill>
                    <a:blip r:embed="rId31"/>
                    <a:stretch>
                      <a:fillRect/>
                    </a:stretch>
                  </pic:blipFill>
                  <pic:spPr>
                    <a:xfrm>
                      <a:off x="0" y="0"/>
                      <a:ext cx="8610600" cy="3301772"/>
                    </a:xfrm>
                    <a:prstGeom prst="rect">
                      <a:avLst/>
                    </a:prstGeom>
                  </pic:spPr>
                </pic:pic>
              </a:graphicData>
            </a:graphic>
          </wp:inline>
        </w:drawing>
      </w:r>
    </w:p>
    <w:p w14:paraId="2792EF4B" w14:textId="0EC96560" w:rsidR="009145EE" w:rsidRPr="00E741C0" w:rsidRDefault="009145EE" w:rsidP="009145EE">
      <w:pPr>
        <w:spacing w:before="0" w:after="160"/>
        <w:jc w:val="both"/>
        <w:rPr>
          <w:rFonts w:eastAsia="Calibri" w:cs="Times New Roman"/>
          <w:b/>
          <w:bCs/>
          <w:color w:val="000000" w:themeColor="text1"/>
          <w:sz w:val="20"/>
          <w:szCs w:val="20"/>
          <w:lang w:val="en-NZ"/>
        </w:rPr>
      </w:pPr>
      <w:r w:rsidRPr="00E741C0">
        <w:rPr>
          <w:rFonts w:eastAsia="Calibri" w:cs="Times New Roman"/>
          <w:b/>
          <w:bCs/>
          <w:color w:val="000000" w:themeColor="text1"/>
          <w:sz w:val="20"/>
          <w:szCs w:val="20"/>
          <w:lang w:val="en-NZ"/>
        </w:rPr>
        <w:t xml:space="preserve">Core genome SNP phylogeny of environmental carbapenem resistant </w:t>
      </w:r>
      <w:r w:rsidRPr="00E741C0">
        <w:rPr>
          <w:rFonts w:eastAsia="Calibri" w:cs="Times New Roman"/>
          <w:b/>
          <w:bCs/>
          <w:i/>
          <w:iCs/>
          <w:color w:val="000000" w:themeColor="text1"/>
          <w:sz w:val="20"/>
          <w:szCs w:val="20"/>
          <w:lang w:val="en-NZ"/>
        </w:rPr>
        <w:t>A. baumannii</w:t>
      </w:r>
      <w:r w:rsidRPr="00E741C0">
        <w:rPr>
          <w:rFonts w:eastAsia="Calibri" w:cs="Times New Roman"/>
          <w:b/>
          <w:bCs/>
          <w:color w:val="000000" w:themeColor="text1"/>
          <w:sz w:val="20"/>
          <w:szCs w:val="20"/>
          <w:lang w:val="en-NZ"/>
        </w:rPr>
        <w:t xml:space="preserve"> ST499  isolates from CWMH  and LTKH (2022). Phylogenetic tree inferred from core genome SNPs of five </w:t>
      </w:r>
      <w:proofErr w:type="spellStart"/>
      <w:r w:rsidRPr="00E741C0">
        <w:rPr>
          <w:rFonts w:eastAsia="Calibri" w:cs="Times New Roman"/>
          <w:b/>
          <w:bCs/>
          <w:color w:val="000000" w:themeColor="text1"/>
          <w:sz w:val="20"/>
          <w:szCs w:val="20"/>
          <w:lang w:val="en-NZ"/>
        </w:rPr>
        <w:t>CR</w:t>
      </w:r>
      <w:r w:rsidRPr="00E741C0">
        <w:rPr>
          <w:rFonts w:eastAsia="Calibri" w:cs="Times New Roman"/>
          <w:b/>
          <w:bCs/>
          <w:i/>
          <w:iCs/>
          <w:color w:val="000000" w:themeColor="text1"/>
          <w:sz w:val="20"/>
          <w:szCs w:val="20"/>
          <w:lang w:val="en-NZ"/>
        </w:rPr>
        <w:t>Ab</w:t>
      </w:r>
      <w:proofErr w:type="spellEnd"/>
      <w:r w:rsidRPr="00E741C0">
        <w:rPr>
          <w:rFonts w:eastAsia="Calibri" w:cs="Times New Roman"/>
          <w:b/>
          <w:bCs/>
          <w:color w:val="000000" w:themeColor="text1"/>
          <w:sz w:val="20"/>
          <w:szCs w:val="20"/>
          <w:lang w:val="en-NZ"/>
        </w:rPr>
        <w:t xml:space="preserve"> ST499 isolates. The core genome was generated by aligning at least 94% of the available sequence data for all isolates. The core SNP density, representing the average number of SNPs per base pair in the core genome, was 2945 SNPs across 4274662 base pairs in the reference genome. The reference genome used was </w:t>
      </w:r>
      <w:proofErr w:type="spellStart"/>
      <w:r w:rsidRPr="00E741C0">
        <w:rPr>
          <w:rFonts w:eastAsia="Calibri" w:cs="Times New Roman"/>
          <w:b/>
          <w:bCs/>
          <w:color w:val="000000" w:themeColor="text1"/>
          <w:sz w:val="20"/>
          <w:szCs w:val="20"/>
          <w:lang w:val="en-NZ"/>
        </w:rPr>
        <w:t>CR</w:t>
      </w:r>
      <w:r w:rsidRPr="00E741C0">
        <w:rPr>
          <w:rFonts w:eastAsia="Calibri" w:cs="Times New Roman"/>
          <w:b/>
          <w:bCs/>
          <w:i/>
          <w:iCs/>
          <w:color w:val="000000" w:themeColor="text1"/>
          <w:sz w:val="20"/>
          <w:szCs w:val="20"/>
          <w:lang w:val="en-NZ"/>
        </w:rPr>
        <w:t>Ab</w:t>
      </w:r>
      <w:proofErr w:type="spellEnd"/>
      <w:r w:rsidRPr="00E741C0">
        <w:rPr>
          <w:rFonts w:eastAsia="Calibri" w:cs="Times New Roman"/>
          <w:b/>
          <w:bCs/>
          <w:color w:val="000000" w:themeColor="text1"/>
          <w:sz w:val="20"/>
          <w:szCs w:val="20"/>
          <w:lang w:val="en-NZ"/>
        </w:rPr>
        <w:t xml:space="preserve"> ST499 (FJ275_CW), isolated from a patient in CWMH in 2020</w:t>
      </w:r>
      <w:r w:rsidRPr="00E741C0">
        <w:rPr>
          <w:rFonts w:eastAsia="Calibri" w:cs="Times New Roman"/>
          <w:b/>
          <w:bCs/>
          <w:color w:val="000000" w:themeColor="text1"/>
          <w:kern w:val="2"/>
          <w:sz w:val="20"/>
          <w:szCs w:val="20"/>
          <w:lang w:val="en-NZ"/>
          <w14:ligatures w14:val="standardContextual"/>
        </w:rPr>
        <w:t xml:space="preserve"> </w:t>
      </w:r>
      <w:r w:rsidRPr="00E741C0">
        <w:rPr>
          <w:rFonts w:eastAsia="Calibri" w:cs="Times New Roman"/>
          <w:b/>
          <w:bCs/>
          <w:color w:val="000000" w:themeColor="text1"/>
          <w:kern w:val="2"/>
          <w:sz w:val="20"/>
          <w:szCs w:val="20"/>
          <w:lang w:val="en-NZ"/>
          <w14:ligatures w14:val="standardContextual"/>
        </w:rPr>
        <w:fldChar w:fldCharType="begin" w:fldLock="1"/>
      </w:r>
      <w:r w:rsidR="00184ADD" w:rsidRPr="00E741C0">
        <w:rPr>
          <w:rFonts w:eastAsia="Calibri" w:cs="Times New Roman"/>
          <w:b/>
          <w:bCs/>
          <w:color w:val="000000" w:themeColor="text1"/>
          <w:kern w:val="2"/>
          <w:sz w:val="20"/>
          <w:szCs w:val="20"/>
          <w:lang w:val="en-NZ"/>
          <w14:ligatures w14:val="standardContextual"/>
        </w:rPr>
        <w:instrText>ADDIN CSL_CITATION {"citationItems":[{"id":"ITEM-1","itemData":{"DOI":"10.1016/j.lanwpc.2024.101095","ISSN":"26666065","abstract":"Background: Carbapenem resistant organisms (CROs) such as Acinetobacter baumannii (CRAb), Pseudomonas aeruginosa (CRPa), Escherichia coli (CREc), and Klebsiella pneumoniae (CRKp) have been identified by the World Health Organization (WHO) as global priority pathogens. The dissemination of these pathogens and clonal outbreaks within healthcare facilities are of serious concern, particularly in regions with limited resources. In Fiji, where healthcare services are primarily provided by public hospitals, understanding the extent and nature of this problem is essential for the development of effective patient management, prevention interventions and control strategies. Methods: CROs isolated from 211 (77.3%) non-sterile (urinary catheters, urine, sputum, wound swab, and endotracheal tube) and 62 (22.7%) normally sterile (blood, cerebrospinal fluid, intravascular catheter, and aspirates) body sites of 272 patients treated at the three major hospitals in Fiji, the Colonial War Memorial Hospital (CWMH), Lautoka Hospital (LTKH), and Labasa Hospital (LBSH), and outer peripheral health centres around Fiji, were analysed. Clinical and demographic patient data such as age, sex, admission diagnosis, admission and discharge dates, patient outcomes, date of death, start and end date of meropenem and colistin treatment were reviewed. These CRO isolates comprised A. baumannii, P. aeruginosa, E. coli, and K. pneumoniae, that were prospectively collected at the microbiology laboratory of CWMH and LBSH from January 2020 through August 2021 and at the LTKH from January 2020 to December 2021. In addition, 10 retrospectively stored CRPa isolates collected from patients at the CWMH from January through December 2019, were also included in the study. All isolates were characterised using mass spectrometry, antimicrobial susceptibility testing, and whole genome sequencing. Phylogenetic relationships among the CROs were assessed through core genome single nucleotide polymorphism (SNP) analysis. The CRAb isolates were also compared to the CRAb isolates from CWMH isolated in 2016/2017 and 2019, along with CRAb isolates obtained from Fijian patients admitted to New Zealand hospitals in 2020 and 2021 from our retrospective study. Findings: Of 272 patients, 140 (51.5%) were male, the median (range) age of patients was 45 (&lt;1–89) years, 161 (59.2%) were I-Taukei, 104 (38.2%) Fijians of Indian descent, and 7 (2.6%) were from other ethnic backgrounds. 234 (86.0%) of these 272 patients, h…","author":[{"dropping-particle":"","family":"Baleivanualala","given":"Sakiusa C.","non-dropping-particle":"","parse-names":false,"suffix":""},{"dropping-particle":"","family":"Matanitobua","given":"Silivia","non-dropping-particle":"","parse-names":false,"suffix":""},{"dropping-particle":"","family":"Soqo","given":"Vika","non-dropping-particle":"","parse-names":false,"suffix":""},{"dropping-particle":"","family":"Smita","given":"Shayal","non-dropping-particle":"","parse-names":false,"suffix":""},{"dropping-particle":"","family":"Limaono","given":"Josese","non-dropping-particle":"","parse-names":false,"suffix":""},{"dropping-particle":"","family":"Sharma","given":"Sajnel C.","non-dropping-particle":"","parse-names":false,"suffix":""},{"dropping-particle":"V.","family":"Devi","given":"Swastika","non-dropping-particle":"","parse-names":false,"suffix":""},{"dropping-particle":"V.","family":"Boseiwaqa","given":"Lusiana","non-dropping-particle":"","parse-names":false,"suffix":""},{"dropping-particle":"","family":"Vera","given":"Numa","non-dropping-particle":"","parse-names":false,"suffix":""},{"dropping-particle":"","family":"Kumar","given":"Silpa","non-dropping-particle":"","parse-names":false,"suffix":""},{"dropping-particle":"","family":"Lalibuli","given":"Amele","non-dropping-particle":"","parse-names":false,"suffix":""},{"dropping-particle":"","family":"Mailulu","given":"Josese","non-dropping-particle":"","parse-names":false,"suffix":""},{"dropping-particle":"","family":"Wilson","given":"Donald","non-dropping-particle":"","parse-names":false,"suffix":""},{"dropping-particle":"","family":"Samisoni","given":"Yvette","non-dropping-particle":"","parse-names":false,"suffix":""},{"dropping-particle":"","family":"Crump","given":"John A.","non-dropping-particle":"","parse-names":false,"suffix":""},{"dropping-particle":"","family":"Ussher","given":"James E.","non-dropping-particle":"","parse-names":false,"suffix":""}],"container-title":"The Lancet Regional Health - Western Pacific","id":"ITEM-1","issued":{"date-parts":[["2024"]]},"page":"101095","publisher":"The Author(s)","title":"Molecular and clinical epidemiology of carbapenem resistant Acinetobacter baumannii, Pseudomonas aeruginosa and Enterobacterales in Fiji: a multicentre prospective observational study","type":"article-journal","volume":"47"},"uris":["http://www.mendeley.com/documents/?uuid=3f4fd4e7-d910-455c-8eb3-0eada342d61e"]}],"mendeley":{"formattedCitation":"(Baleivanualala et al., 2024)","plainTextFormattedCitation":"(Baleivanualala et al., 2024)","previouslyFormattedCitation":"(Baleivanualala et al., 2024)"},"properties":{"noteIndex":0},"schema":"https://github.com/citation-style-language/schema/raw/master/csl-citation.json"}</w:instrText>
      </w:r>
      <w:r w:rsidRPr="00E741C0">
        <w:rPr>
          <w:rFonts w:eastAsia="Calibri" w:cs="Times New Roman"/>
          <w:b/>
          <w:bCs/>
          <w:color w:val="000000" w:themeColor="text1"/>
          <w:kern w:val="2"/>
          <w:sz w:val="20"/>
          <w:szCs w:val="20"/>
          <w:lang w:val="en-NZ"/>
          <w14:ligatures w14:val="standardContextual"/>
        </w:rPr>
        <w:fldChar w:fldCharType="separate"/>
      </w:r>
      <w:r w:rsidRPr="00E741C0">
        <w:rPr>
          <w:rFonts w:eastAsia="Calibri" w:cs="Times New Roman"/>
          <w:bCs/>
          <w:noProof/>
          <w:color w:val="000000" w:themeColor="text1"/>
          <w:kern w:val="2"/>
          <w:sz w:val="20"/>
          <w:szCs w:val="20"/>
          <w:lang w:val="en-NZ"/>
          <w14:ligatures w14:val="standardContextual"/>
        </w:rPr>
        <w:t>(Baleivanualala et al., 2024)</w:t>
      </w:r>
      <w:r w:rsidRPr="00E741C0">
        <w:rPr>
          <w:rFonts w:eastAsia="Calibri" w:cs="Times New Roman"/>
          <w:b/>
          <w:bCs/>
          <w:color w:val="000000" w:themeColor="text1"/>
          <w:kern w:val="2"/>
          <w:sz w:val="20"/>
          <w:szCs w:val="20"/>
          <w:lang w:val="en-NZ"/>
          <w14:ligatures w14:val="standardContextual"/>
        </w:rPr>
        <w:fldChar w:fldCharType="end"/>
      </w:r>
      <w:r w:rsidRPr="00E741C0">
        <w:rPr>
          <w:rFonts w:eastAsia="Calibri" w:cs="Times New Roman"/>
          <w:b/>
          <w:bCs/>
          <w:color w:val="000000" w:themeColor="text1"/>
          <w:kern w:val="2"/>
          <w:sz w:val="20"/>
          <w:szCs w:val="20"/>
          <w:lang w:val="en-NZ"/>
          <w14:ligatures w14:val="standardContextual"/>
        </w:rPr>
        <w:t xml:space="preserve">. </w:t>
      </w:r>
      <w:r w:rsidRPr="00E741C0">
        <w:rPr>
          <w:rFonts w:eastAsia="Calibri" w:cs="Times New Roman"/>
          <w:b/>
          <w:bCs/>
          <w:color w:val="000000" w:themeColor="text1"/>
          <w:sz w:val="20"/>
          <w:szCs w:val="20"/>
          <w:lang w:val="en-NZ"/>
        </w:rPr>
        <w:t xml:space="preserve">The tree was rooted using the earliest isolate (reference genome, FJ275_CW). Isolation dates, locations, collection site, and AMR phenotypic and genotypic profiles are annotated on the tree. The scale bar represents the frequency of mutations per site. </w:t>
      </w:r>
    </w:p>
    <w:p w14:paraId="1A338069"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32FD369F"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25C90611"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25B1709E"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113DDC26"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2028BB00"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18BE523C" w14:textId="77777777" w:rsidR="009145EE" w:rsidRPr="00E741C0" w:rsidRDefault="009145EE" w:rsidP="00B820CB">
      <w:pPr>
        <w:spacing w:before="0" w:after="160" w:line="259" w:lineRule="auto"/>
        <w:contextualSpacing/>
        <w:jc w:val="both"/>
        <w:rPr>
          <w:rFonts w:cs="Times New Roman"/>
          <w:color w:val="000000" w:themeColor="text1"/>
          <w:szCs w:val="24"/>
        </w:rPr>
      </w:pPr>
    </w:p>
    <w:p w14:paraId="612813E2" w14:textId="77777777" w:rsidR="009145EE" w:rsidRPr="00E741C0" w:rsidRDefault="009145EE" w:rsidP="00B820CB">
      <w:pPr>
        <w:spacing w:before="0" w:after="160" w:line="259" w:lineRule="auto"/>
        <w:contextualSpacing/>
        <w:jc w:val="both"/>
        <w:rPr>
          <w:rFonts w:cs="Times New Roman"/>
          <w:b/>
          <w:bCs/>
          <w:color w:val="000000" w:themeColor="text1"/>
          <w:szCs w:val="24"/>
        </w:rPr>
        <w:sectPr w:rsidR="009145EE" w:rsidRPr="00E741C0" w:rsidSect="009145EE">
          <w:pgSz w:w="15840" w:h="12240" w:orient="landscape"/>
          <w:pgMar w:top="1281" w:right="1140" w:bottom="1179" w:left="1140" w:header="284" w:footer="510" w:gutter="0"/>
          <w:lnNumType w:countBy="1" w:restart="continuous"/>
          <w:cols w:space="720"/>
          <w:titlePg/>
          <w:docGrid w:linePitch="360"/>
        </w:sectPr>
      </w:pPr>
    </w:p>
    <w:p w14:paraId="0CAF0B61" w14:textId="4B2F7012" w:rsidR="009145EE" w:rsidRPr="00E741C0" w:rsidRDefault="009145EE" w:rsidP="00B820CB">
      <w:pPr>
        <w:spacing w:before="0" w:after="160" w:line="259" w:lineRule="auto"/>
        <w:contextualSpacing/>
        <w:jc w:val="both"/>
        <w:rPr>
          <w:rFonts w:cs="Times New Roman"/>
          <w:b/>
          <w:bCs/>
          <w:color w:val="000000" w:themeColor="text1"/>
          <w:szCs w:val="24"/>
        </w:rPr>
      </w:pPr>
      <w:r w:rsidRPr="00E741C0">
        <w:rPr>
          <w:rFonts w:cs="Times New Roman"/>
          <w:b/>
          <w:bCs/>
          <w:color w:val="000000" w:themeColor="text1"/>
          <w:szCs w:val="24"/>
        </w:rPr>
        <w:lastRenderedPageBreak/>
        <w:t>Reference</w:t>
      </w:r>
      <w:r w:rsidR="005B2CE5" w:rsidRPr="00E741C0">
        <w:rPr>
          <w:rFonts w:cs="Times New Roman"/>
          <w:b/>
          <w:bCs/>
          <w:color w:val="000000" w:themeColor="text1"/>
          <w:szCs w:val="24"/>
        </w:rPr>
        <w:t>s</w:t>
      </w:r>
    </w:p>
    <w:p w14:paraId="7565B397" w14:textId="30D1F95A" w:rsidR="00184ADD" w:rsidRPr="00E741C0" w:rsidRDefault="009145EE"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color w:val="000000" w:themeColor="text1"/>
          <w:szCs w:val="24"/>
        </w:rPr>
        <w:fldChar w:fldCharType="begin" w:fldLock="1"/>
      </w:r>
      <w:r w:rsidRPr="00E741C0">
        <w:rPr>
          <w:rFonts w:cs="Times New Roman"/>
          <w:color w:val="000000" w:themeColor="text1"/>
          <w:szCs w:val="24"/>
        </w:rPr>
        <w:instrText xml:space="preserve">ADDIN Mendeley Bibliography CSL_BIBLIOGRAPHY </w:instrText>
      </w:r>
      <w:r w:rsidRPr="00E741C0">
        <w:rPr>
          <w:rFonts w:cs="Times New Roman"/>
          <w:color w:val="000000" w:themeColor="text1"/>
          <w:szCs w:val="24"/>
        </w:rPr>
        <w:fldChar w:fldCharType="separate"/>
      </w:r>
      <w:r w:rsidR="00184ADD" w:rsidRPr="00E741C0">
        <w:rPr>
          <w:rFonts w:cs="Times New Roman"/>
          <w:noProof/>
          <w:color w:val="000000" w:themeColor="text1"/>
        </w:rPr>
        <w:t xml:space="preserve">Alcock, B. P., Raphenya, A. R., Lau, T. T. Y., Tsang, K. K., Bouchard, M., Edalatmand, A., Huynh, W., Nguyen, A. L. V., Cheng, A. A., Liu, S., Min, S. Y., Miroshnichenko, A., Tran, H. K., Werfalli, R. E., Nasir, J. A., Oloni, M., Speicher, D. J., Florescu, A., Singh, B., … McArthur, A. G. (2020). CARD 2020: antibiotic resistome surveillance with the comprehensive antibiotic resistance database. </w:t>
      </w:r>
      <w:r w:rsidR="00184ADD" w:rsidRPr="00E741C0">
        <w:rPr>
          <w:rFonts w:cs="Times New Roman"/>
          <w:i/>
          <w:iCs/>
          <w:noProof/>
          <w:color w:val="000000" w:themeColor="text1"/>
        </w:rPr>
        <w:t>Nucleic Acids Research</w:t>
      </w:r>
      <w:r w:rsidR="00184ADD" w:rsidRPr="00E741C0">
        <w:rPr>
          <w:rFonts w:cs="Times New Roman"/>
          <w:noProof/>
          <w:color w:val="000000" w:themeColor="text1"/>
        </w:rPr>
        <w:t xml:space="preserve">, </w:t>
      </w:r>
      <w:r w:rsidR="00184ADD" w:rsidRPr="00E741C0">
        <w:rPr>
          <w:rFonts w:cs="Times New Roman"/>
          <w:i/>
          <w:iCs/>
          <w:noProof/>
          <w:color w:val="000000" w:themeColor="text1"/>
        </w:rPr>
        <w:t>48</w:t>
      </w:r>
      <w:r w:rsidR="00184ADD" w:rsidRPr="00E741C0">
        <w:rPr>
          <w:rFonts w:cs="Times New Roman"/>
          <w:noProof/>
          <w:color w:val="000000" w:themeColor="text1"/>
        </w:rPr>
        <w:t>(D1), D517–D525. https://doi.org/10.1093/NAR/GKZ935</w:t>
      </w:r>
    </w:p>
    <w:p w14:paraId="59A7A67C"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Baleivanualala, S. C., Isaia, L., Devi, S. V, Howden, B., Gorrie, C. L., &amp; Matanitobua, S. (2023). Articles Molecular and clinical epidemiology of carbapenem resistant Acinetobacter baumannii ST2 in Oceania : a multicountry cohort study. </w:t>
      </w:r>
      <w:r w:rsidRPr="00E741C0">
        <w:rPr>
          <w:rFonts w:cs="Times New Roman"/>
          <w:i/>
          <w:iCs/>
          <w:noProof/>
          <w:color w:val="000000" w:themeColor="text1"/>
        </w:rPr>
        <w:t>The Lancet Regional Health - Western Pacific</w:t>
      </w:r>
      <w:r w:rsidRPr="00E741C0">
        <w:rPr>
          <w:rFonts w:cs="Times New Roman"/>
          <w:noProof/>
          <w:color w:val="000000" w:themeColor="text1"/>
        </w:rPr>
        <w:t>, 100896. https://doi.org/10.1016/j.lanwpc.2023.100896</w:t>
      </w:r>
    </w:p>
    <w:p w14:paraId="0FAABBFD"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Baleivanualala, S. C., Matanitobua, S., Soqo, V., Smita, S., Limaono, J., Sharma, S. C., Devi, S. V., Boseiwaqa, L. V., Vera, N., Kumar, S., Lalibuli, A., Mailulu, J., Wilson, D., Samisoni, Y., Crump, J. A., &amp; Ussher, J. E. (2024). Molecular and clinical epidemiology of carbapenem resistant Acinetobacter baumannii, Pseudomonas aeruginosa and Enterobacterales in Fiji: a multicentre prospective observational study. </w:t>
      </w:r>
      <w:r w:rsidRPr="00E741C0">
        <w:rPr>
          <w:rFonts w:cs="Times New Roman"/>
          <w:i/>
          <w:iCs/>
          <w:noProof/>
          <w:color w:val="000000" w:themeColor="text1"/>
        </w:rPr>
        <w:t>The Lancet Regional Health - Western Pacific</w:t>
      </w:r>
      <w:r w:rsidRPr="00E741C0">
        <w:rPr>
          <w:rFonts w:cs="Times New Roman"/>
          <w:noProof/>
          <w:color w:val="000000" w:themeColor="text1"/>
        </w:rPr>
        <w:t xml:space="preserve">, </w:t>
      </w:r>
      <w:r w:rsidRPr="00E741C0">
        <w:rPr>
          <w:rFonts w:cs="Times New Roman"/>
          <w:i/>
          <w:iCs/>
          <w:noProof/>
          <w:color w:val="000000" w:themeColor="text1"/>
        </w:rPr>
        <w:t>47</w:t>
      </w:r>
      <w:r w:rsidRPr="00E741C0">
        <w:rPr>
          <w:rFonts w:cs="Times New Roman"/>
          <w:noProof/>
          <w:color w:val="000000" w:themeColor="text1"/>
        </w:rPr>
        <w:t>, 101095. https://doi.org/10.1016/j.lanwpc.2024.101095</w:t>
      </w:r>
    </w:p>
    <w:p w14:paraId="23FAA3B1"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Croucher, N. J., Page, A. J., Connor, T. R., Delaney, A. J., Keane, J. A., Bentley, S. D., Parkhill, J., &amp; Harris, S. R. (2015). Rapid phylogenetic analysis of large samples of recombinant bacterial whole genome sequences using Gubbins. </w:t>
      </w:r>
      <w:r w:rsidRPr="00E741C0">
        <w:rPr>
          <w:rFonts w:cs="Times New Roman"/>
          <w:i/>
          <w:iCs/>
          <w:noProof/>
          <w:color w:val="000000" w:themeColor="text1"/>
        </w:rPr>
        <w:t>Nucleic Acids Research</w:t>
      </w:r>
      <w:r w:rsidRPr="00E741C0">
        <w:rPr>
          <w:rFonts w:cs="Times New Roman"/>
          <w:noProof/>
          <w:color w:val="000000" w:themeColor="text1"/>
        </w:rPr>
        <w:t xml:space="preserve">, </w:t>
      </w:r>
      <w:r w:rsidRPr="00E741C0">
        <w:rPr>
          <w:rFonts w:cs="Times New Roman"/>
          <w:i/>
          <w:iCs/>
          <w:noProof/>
          <w:color w:val="000000" w:themeColor="text1"/>
        </w:rPr>
        <w:t>43</w:t>
      </w:r>
      <w:r w:rsidRPr="00E741C0">
        <w:rPr>
          <w:rFonts w:cs="Times New Roman"/>
          <w:noProof/>
          <w:color w:val="000000" w:themeColor="text1"/>
        </w:rPr>
        <w:t>(3), e15. https://doi.org/10.1093/nar/gku1196</w:t>
      </w:r>
    </w:p>
    <w:p w14:paraId="61667B6A"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Kwan K, Cooper M, La Duc MT, Vaishampayan P, Stam C, Benardini JN, Scalzi G, Moissl-Eichinger C, V. K. (2011). Evaluation of procedures for the collection, processing, and analysis of biomolecules from low-biomass surfaces. </w:t>
      </w:r>
      <w:r w:rsidRPr="00E741C0">
        <w:rPr>
          <w:rFonts w:cs="Times New Roman"/>
          <w:i/>
          <w:iCs/>
          <w:noProof/>
          <w:color w:val="000000" w:themeColor="text1"/>
        </w:rPr>
        <w:t>Applied and Environmental Microbiology</w:t>
      </w:r>
      <w:r w:rsidRPr="00E741C0">
        <w:rPr>
          <w:rFonts w:cs="Times New Roman"/>
          <w:noProof/>
          <w:color w:val="000000" w:themeColor="text1"/>
        </w:rPr>
        <w:t xml:space="preserve">, </w:t>
      </w:r>
      <w:r w:rsidRPr="00E741C0">
        <w:rPr>
          <w:rFonts w:cs="Times New Roman"/>
          <w:i/>
          <w:iCs/>
          <w:noProof/>
          <w:color w:val="000000" w:themeColor="text1"/>
        </w:rPr>
        <w:t>77</w:t>
      </w:r>
      <w:r w:rsidRPr="00E741C0">
        <w:rPr>
          <w:rFonts w:cs="Times New Roman"/>
          <w:noProof/>
          <w:color w:val="000000" w:themeColor="text1"/>
        </w:rPr>
        <w:t>(9), 2943-2953. https://doi.org/10.1128/AEM.02978-10</w:t>
      </w:r>
    </w:p>
    <w:p w14:paraId="3399819A"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Larsen, Mette V. Cosentino, Salvatore Rasmussen, S., Friis, Carsten Hasman, Henrik Marvig, R. L., &amp; Jelsbak, Lars Sicheritz-Pontén, Thomas Ussery, David W. Aarestrup, Frank M. Lund, O. (2012). Multilocus sequence typing of total-genome-sequenced bacteria. </w:t>
      </w:r>
      <w:r w:rsidRPr="00E741C0">
        <w:rPr>
          <w:rFonts w:cs="Times New Roman"/>
          <w:i/>
          <w:iCs/>
          <w:noProof/>
          <w:color w:val="000000" w:themeColor="text1"/>
        </w:rPr>
        <w:t>Journal of Clinical Microbiology</w:t>
      </w:r>
      <w:r w:rsidRPr="00E741C0">
        <w:rPr>
          <w:rFonts w:cs="Times New Roman"/>
          <w:noProof/>
          <w:color w:val="000000" w:themeColor="text1"/>
        </w:rPr>
        <w:t xml:space="preserve">, </w:t>
      </w:r>
      <w:r w:rsidRPr="00E741C0">
        <w:rPr>
          <w:rFonts w:cs="Times New Roman"/>
          <w:i/>
          <w:iCs/>
          <w:noProof/>
          <w:color w:val="000000" w:themeColor="text1"/>
        </w:rPr>
        <w:t>50</w:t>
      </w:r>
      <w:r w:rsidRPr="00E741C0">
        <w:rPr>
          <w:rFonts w:cs="Times New Roman"/>
          <w:noProof/>
          <w:color w:val="000000" w:themeColor="text1"/>
        </w:rPr>
        <w:t>(4), 1355-1361. https://doi.org/10.1128/JCM.06094-11</w:t>
      </w:r>
    </w:p>
    <w:p w14:paraId="230DC099"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Larsen, M. V., Cosentino, S., Rasmussen, S., Friis, C., Hasman, H., Marvig, R. L., Jelsbak, L., Sicheritz-Pontén, T., Ussery, D. W., Aarestrup, F. M., &amp; Lund, O. (2012). Multilocus Sequence Typing of Total-Genome-Sequenced Bacteria. </w:t>
      </w:r>
      <w:r w:rsidRPr="00E741C0">
        <w:rPr>
          <w:rFonts w:cs="Times New Roman"/>
          <w:i/>
          <w:iCs/>
          <w:noProof/>
          <w:color w:val="000000" w:themeColor="text1"/>
        </w:rPr>
        <w:t>Journal of Clinical Microbiology</w:t>
      </w:r>
      <w:r w:rsidRPr="00E741C0">
        <w:rPr>
          <w:rFonts w:cs="Times New Roman"/>
          <w:noProof/>
          <w:color w:val="000000" w:themeColor="text1"/>
        </w:rPr>
        <w:t xml:space="preserve">, </w:t>
      </w:r>
      <w:r w:rsidRPr="00E741C0">
        <w:rPr>
          <w:rFonts w:cs="Times New Roman"/>
          <w:i/>
          <w:iCs/>
          <w:noProof/>
          <w:color w:val="000000" w:themeColor="text1"/>
        </w:rPr>
        <w:t>50</w:t>
      </w:r>
      <w:r w:rsidRPr="00E741C0">
        <w:rPr>
          <w:rFonts w:cs="Times New Roman"/>
          <w:noProof/>
          <w:color w:val="000000" w:themeColor="text1"/>
        </w:rPr>
        <w:t>(4), 1355. https://doi.org/10.1128/JCM.06094-11</w:t>
      </w:r>
    </w:p>
    <w:p w14:paraId="61A26447"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Nguyen Vu, Thao Byun, Jung Hyun D’Souza, Roshan Pinto, Naina Adren Nguyen, Le Phuong Yong, Dongeun Chong, Y. (2020). Adjustment of Modified Carbapenem Inactivation Method Conditions for Rapid Detection of Carbapenemase-Producing Acinetobacter baumannii. </w:t>
      </w:r>
      <w:r w:rsidRPr="00E741C0">
        <w:rPr>
          <w:rFonts w:cs="Times New Roman"/>
          <w:i/>
          <w:iCs/>
          <w:noProof/>
          <w:color w:val="000000" w:themeColor="text1"/>
        </w:rPr>
        <w:t>Annals of Laboratory Medicine</w:t>
      </w:r>
      <w:r w:rsidRPr="00E741C0">
        <w:rPr>
          <w:rFonts w:cs="Times New Roman"/>
          <w:noProof/>
          <w:color w:val="000000" w:themeColor="text1"/>
        </w:rPr>
        <w:t xml:space="preserve">, </w:t>
      </w:r>
      <w:r w:rsidRPr="00E741C0">
        <w:rPr>
          <w:rFonts w:cs="Times New Roman"/>
          <w:i/>
          <w:iCs/>
          <w:noProof/>
          <w:color w:val="000000" w:themeColor="text1"/>
        </w:rPr>
        <w:t>40</w:t>
      </w:r>
      <w:r w:rsidRPr="00E741C0">
        <w:rPr>
          <w:rFonts w:cs="Times New Roman"/>
          <w:noProof/>
          <w:color w:val="000000" w:themeColor="text1"/>
        </w:rPr>
        <w:t>(1), 21-26. https://doi.org/10.3343/alm.2020.40.1.21</w:t>
      </w:r>
    </w:p>
    <w:p w14:paraId="2DEDE890"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Oxford Nanopore Technologies. (n.d.). </w:t>
      </w:r>
      <w:r w:rsidRPr="00E741C0">
        <w:rPr>
          <w:rFonts w:cs="Times New Roman"/>
          <w:i/>
          <w:iCs/>
          <w:noProof/>
          <w:color w:val="000000" w:themeColor="text1"/>
        </w:rPr>
        <w:t>Community - Protocol - Rapid sequencing gDNA - barcoding (SQK-RBK004)</w:t>
      </w:r>
      <w:r w:rsidRPr="00E741C0">
        <w:rPr>
          <w:rFonts w:cs="Times New Roman"/>
          <w:noProof/>
          <w:color w:val="000000" w:themeColor="text1"/>
        </w:rPr>
        <w:t>. Retrieved 21 June 2022, from https://community.nanoporetech.com/docs/prepare/library_prep_protocols/rapid-barcoding-sequencing-sqk-rbk004/v/rbk_9054_v2_revac_14aug2019</w:t>
      </w:r>
    </w:p>
    <w:p w14:paraId="1AFF9DF4"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Page, A. J., Taylor, B., Delaney, A. J., Soares, J., Seemann, T., Keane, J. A., &amp; Harris, S. R. (2016). </w:t>
      </w:r>
      <w:r w:rsidRPr="00E741C0">
        <w:rPr>
          <w:rFonts w:cs="Times New Roman"/>
          <w:noProof/>
          <w:color w:val="000000" w:themeColor="text1"/>
        </w:rPr>
        <w:lastRenderedPageBreak/>
        <w:t xml:space="preserve">SNP-sites: rapid efficient extraction of SNPs from multi-FASTA alignments. </w:t>
      </w:r>
      <w:r w:rsidRPr="00E741C0">
        <w:rPr>
          <w:rFonts w:cs="Times New Roman"/>
          <w:i/>
          <w:iCs/>
          <w:noProof/>
          <w:color w:val="000000" w:themeColor="text1"/>
        </w:rPr>
        <w:t>Microbial Genomics</w:t>
      </w:r>
      <w:r w:rsidRPr="00E741C0">
        <w:rPr>
          <w:rFonts w:cs="Times New Roman"/>
          <w:noProof/>
          <w:color w:val="000000" w:themeColor="text1"/>
        </w:rPr>
        <w:t xml:space="preserve">, </w:t>
      </w:r>
      <w:r w:rsidRPr="00E741C0">
        <w:rPr>
          <w:rFonts w:cs="Times New Roman"/>
          <w:i/>
          <w:iCs/>
          <w:noProof/>
          <w:color w:val="000000" w:themeColor="text1"/>
        </w:rPr>
        <w:t>2</w:t>
      </w:r>
      <w:r w:rsidRPr="00E741C0">
        <w:rPr>
          <w:rFonts w:cs="Times New Roman"/>
          <w:noProof/>
          <w:color w:val="000000" w:themeColor="text1"/>
        </w:rPr>
        <w:t>(4), e000056. https://doi.org/10.1099/MGEN.0.000056/CITE/REFWORKS</w:t>
      </w:r>
    </w:p>
    <w:p w14:paraId="5B5B519C"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Wang, Y., Zhao, Y., Bollas, A., Wang, Y., &amp; Au, K. F. (2021). Nanopore sequencing technology, bioinformatics and applications. </w:t>
      </w:r>
      <w:r w:rsidRPr="00E741C0">
        <w:rPr>
          <w:rFonts w:cs="Times New Roman"/>
          <w:i/>
          <w:iCs/>
          <w:noProof/>
          <w:color w:val="000000" w:themeColor="text1"/>
        </w:rPr>
        <w:t>Nature Biotechnology</w:t>
      </w:r>
      <w:r w:rsidRPr="00E741C0">
        <w:rPr>
          <w:rFonts w:cs="Times New Roman"/>
          <w:noProof/>
          <w:color w:val="000000" w:themeColor="text1"/>
        </w:rPr>
        <w:t xml:space="preserve">, </w:t>
      </w:r>
      <w:r w:rsidRPr="00E741C0">
        <w:rPr>
          <w:rFonts w:cs="Times New Roman"/>
          <w:i/>
          <w:iCs/>
          <w:noProof/>
          <w:color w:val="000000" w:themeColor="text1"/>
        </w:rPr>
        <w:t>39</w:t>
      </w:r>
      <w:r w:rsidRPr="00E741C0">
        <w:rPr>
          <w:rFonts w:cs="Times New Roman"/>
          <w:noProof/>
          <w:color w:val="000000" w:themeColor="text1"/>
        </w:rPr>
        <w:t>(11), 1348–1365. https://doi.org/10.1038/s41587-021-01108-x</w:t>
      </w:r>
    </w:p>
    <w:p w14:paraId="5956C1CF" w14:textId="77777777" w:rsidR="00184ADD" w:rsidRPr="00E741C0" w:rsidRDefault="00184ADD" w:rsidP="00184ADD">
      <w:pPr>
        <w:widowControl w:val="0"/>
        <w:autoSpaceDE w:val="0"/>
        <w:autoSpaceDN w:val="0"/>
        <w:adjustRightInd w:val="0"/>
        <w:spacing w:before="0" w:after="160"/>
        <w:ind w:left="480" w:hanging="480"/>
        <w:rPr>
          <w:rFonts w:cs="Times New Roman"/>
          <w:noProof/>
          <w:color w:val="000000" w:themeColor="text1"/>
        </w:rPr>
      </w:pPr>
      <w:r w:rsidRPr="00E741C0">
        <w:rPr>
          <w:rFonts w:cs="Times New Roman"/>
          <w:noProof/>
          <w:color w:val="000000" w:themeColor="text1"/>
        </w:rPr>
        <w:t xml:space="preserve">Wick, R. R., Judd, L. M., Gorrie, C. L., &amp; Holt, K. E. (2017). Unicycler: Resolving bacterial genome assemblies from short and long sequencing reads. </w:t>
      </w:r>
      <w:r w:rsidRPr="00E741C0">
        <w:rPr>
          <w:rFonts w:cs="Times New Roman"/>
          <w:i/>
          <w:iCs/>
          <w:noProof/>
          <w:color w:val="000000" w:themeColor="text1"/>
        </w:rPr>
        <w:t>PLoS Computational Biology</w:t>
      </w:r>
      <w:r w:rsidRPr="00E741C0">
        <w:rPr>
          <w:rFonts w:cs="Times New Roman"/>
          <w:noProof/>
          <w:color w:val="000000" w:themeColor="text1"/>
        </w:rPr>
        <w:t xml:space="preserve">, </w:t>
      </w:r>
      <w:r w:rsidRPr="00E741C0">
        <w:rPr>
          <w:rFonts w:cs="Times New Roman"/>
          <w:i/>
          <w:iCs/>
          <w:noProof/>
          <w:color w:val="000000" w:themeColor="text1"/>
        </w:rPr>
        <w:t>13</w:t>
      </w:r>
      <w:r w:rsidRPr="00E741C0">
        <w:rPr>
          <w:rFonts w:cs="Times New Roman"/>
          <w:noProof/>
          <w:color w:val="000000" w:themeColor="text1"/>
        </w:rPr>
        <w:t>(6), 1–22. https://doi.org/10.1371/journal.pcbi.1005595</w:t>
      </w:r>
    </w:p>
    <w:p w14:paraId="5C5D9B24" w14:textId="4180180B" w:rsidR="009145EE" w:rsidRPr="00E741C0" w:rsidRDefault="009145EE" w:rsidP="00B820CB">
      <w:pPr>
        <w:spacing w:before="0" w:after="160" w:line="259" w:lineRule="auto"/>
        <w:contextualSpacing/>
        <w:jc w:val="both"/>
        <w:rPr>
          <w:rFonts w:cs="Times New Roman"/>
          <w:color w:val="000000" w:themeColor="text1"/>
          <w:szCs w:val="24"/>
        </w:rPr>
      </w:pPr>
      <w:r w:rsidRPr="00E741C0">
        <w:rPr>
          <w:rFonts w:cs="Times New Roman"/>
          <w:color w:val="000000" w:themeColor="text1"/>
          <w:szCs w:val="24"/>
        </w:rPr>
        <w:fldChar w:fldCharType="end"/>
      </w:r>
    </w:p>
    <w:sectPr w:rsidR="009145EE" w:rsidRPr="00E741C0" w:rsidSect="009145EE">
      <w:pgSz w:w="12240" w:h="15840"/>
      <w:pgMar w:top="1140" w:right="1179" w:bottom="1140" w:left="1281" w:header="284"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11FC" w14:textId="77777777" w:rsidR="00FF4BFC" w:rsidRDefault="00FF4BFC" w:rsidP="00117666">
      <w:pPr>
        <w:spacing w:after="0"/>
      </w:pPr>
      <w:r>
        <w:separator/>
      </w:r>
    </w:p>
  </w:endnote>
  <w:endnote w:type="continuationSeparator" w:id="0">
    <w:p w14:paraId="1055E77F" w14:textId="77777777" w:rsidR="00FF4BFC" w:rsidRDefault="00FF4B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CB79" w14:textId="19321697" w:rsidR="00686C9D" w:rsidRPr="00577C4C" w:rsidRDefault="00142C15">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094BE083" wp14:editId="31995807">
              <wp:simplePos x="0" y="0"/>
              <wp:positionH relativeFrom="margin">
                <wp:align>right</wp:align>
              </wp:positionH>
              <wp:positionV relativeFrom="bottomMargin">
                <wp:align>top</wp:align>
              </wp:positionV>
              <wp:extent cx="1508760" cy="328295"/>
              <wp:effectExtent l="0" t="0" r="0" b="0"/>
              <wp:wrapNone/>
              <wp:docPr id="118961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8295"/>
                      </a:xfrm>
                      <a:prstGeom prst="rect">
                        <a:avLst/>
                      </a:prstGeom>
                      <a:noFill/>
                      <a:ln w="6350">
                        <a:noFill/>
                      </a:ln>
                      <a:effectLst/>
                    </wps:spPr>
                    <wps:txbx>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94BE083" id="_x0000_t202" coordsize="21600,21600" o:spt="202" path="m,l,21600r21600,l21600,xe">
              <v:stroke joinstyle="miter"/>
              <v:path gradientshapeok="t" o:connecttype="rect"/>
            </v:shapetype>
            <v:shape id="Text Box 2" o:spid="_x0000_s1026" type="#_x0000_t202" style="position:absolute;margin-left:67.6pt;margin-top:0;width:118.8pt;height:25.8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" filled="f" stroked="f" strokeweight=".5pt">
              <v:textbox style="mso-fit-shape-to-text:t">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999500"/>
      <w:docPartObj>
        <w:docPartGallery w:val="Page Numbers (Bottom of Page)"/>
        <w:docPartUnique/>
      </w:docPartObj>
    </w:sdtPr>
    <w:sdtEndPr>
      <w:rPr>
        <w:noProof/>
      </w:rPr>
    </w:sdtEndPr>
    <w:sdtContent>
      <w:p w14:paraId="151B223B" w14:textId="0C0ABC46" w:rsidR="00A3254A" w:rsidRDefault="00A325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18A60F" w14:textId="23C3442C" w:rsidR="00686C9D" w:rsidRPr="00577C4C" w:rsidRDefault="00686C9D">
    <w:pPr>
      <w:pStyle w:val="Footer"/>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0E2AC" w14:textId="77777777" w:rsidR="00FF4BFC" w:rsidRDefault="00FF4BFC" w:rsidP="00117666">
      <w:pPr>
        <w:spacing w:after="0"/>
      </w:pPr>
      <w:r>
        <w:separator/>
      </w:r>
    </w:p>
  </w:footnote>
  <w:footnote w:type="continuationSeparator" w:id="0">
    <w:p w14:paraId="698842C0" w14:textId="77777777" w:rsidR="00FF4BFC" w:rsidRDefault="00FF4BF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DC69"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14758C2E" wp14:editId="7C8F8B09">
          <wp:extent cx="1382534" cy="497091"/>
          <wp:effectExtent l="0" t="0" r="0" b="0"/>
          <wp:docPr id="850953074" name="Picture 85095307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AA0C2B"/>
    <w:multiLevelType w:val="hybridMultilevel"/>
    <w:tmpl w:val="A75CFD02"/>
    <w:lvl w:ilvl="0" w:tplc="D9F4EE5A">
      <w:start w:val="1"/>
      <w:numFmt w:val="lowerLetter"/>
      <w:lvlText w:val="%1."/>
      <w:lvlJc w:val="left"/>
      <w:pPr>
        <w:ind w:left="720" w:hanging="360"/>
      </w:pPr>
      <w:rPr>
        <w:rFonts w:ascii="Times New Roman" w:eastAsiaTheme="minorHAnsi" w:hAnsi="Times New Roman"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6A8CCEA"/>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C6F29"/>
    <w:multiLevelType w:val="multilevel"/>
    <w:tmpl w:val="C6A8CCEA"/>
    <w:numStyleLink w:val="Headings"/>
  </w:abstractNum>
  <w:abstractNum w:abstractNumId="18"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0148494">
    <w:abstractNumId w:val="0"/>
  </w:num>
  <w:num w:numId="2" w16cid:durableId="1175342395">
    <w:abstractNumId w:val="14"/>
  </w:num>
  <w:num w:numId="3" w16cid:durableId="1144352800">
    <w:abstractNumId w:val="1"/>
  </w:num>
  <w:num w:numId="4" w16cid:durableId="769737119">
    <w:abstractNumId w:val="16"/>
  </w:num>
  <w:num w:numId="5" w16cid:durableId="1701663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34203">
    <w:abstractNumId w:val="11"/>
  </w:num>
  <w:num w:numId="7" w16cid:durableId="773479634">
    <w:abstractNumId w:val="9"/>
  </w:num>
  <w:num w:numId="8" w16cid:durableId="2072000685">
    <w:abstractNumId w:val="7"/>
  </w:num>
  <w:num w:numId="9" w16cid:durableId="1213807494">
    <w:abstractNumId w:val="10"/>
  </w:num>
  <w:num w:numId="10" w16cid:durableId="308825289">
    <w:abstractNumId w:val="8"/>
  </w:num>
  <w:num w:numId="11" w16cid:durableId="372848954">
    <w:abstractNumId w:val="2"/>
  </w:num>
  <w:num w:numId="12" w16cid:durableId="213006365">
    <w:abstractNumId w:val="18"/>
  </w:num>
  <w:num w:numId="13" w16cid:durableId="1411196366">
    <w:abstractNumId w:val="13"/>
  </w:num>
  <w:num w:numId="14" w16cid:durableId="944966812">
    <w:abstractNumId w:val="5"/>
  </w:num>
  <w:num w:numId="15" w16cid:durableId="1662200756">
    <w:abstractNumId w:val="12"/>
  </w:num>
  <w:num w:numId="16" w16cid:durableId="2141485750">
    <w:abstractNumId w:val="15"/>
  </w:num>
  <w:num w:numId="17" w16cid:durableId="2002923295">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16cid:durableId="1300527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4516991">
    <w:abstractNumId w:val="6"/>
  </w:num>
  <w:num w:numId="20" w16cid:durableId="58940097">
    <w:abstractNumId w:val="17"/>
  </w:num>
  <w:num w:numId="21" w16cid:durableId="490292411">
    <w:abstractNumId w:val="4"/>
  </w:num>
  <w:num w:numId="22" w16cid:durableId="1120419941">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225456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20"/>
    <w:rsid w:val="000001BE"/>
    <w:rsid w:val="00001968"/>
    <w:rsid w:val="00015D7B"/>
    <w:rsid w:val="000204BC"/>
    <w:rsid w:val="0002273A"/>
    <w:rsid w:val="00034304"/>
    <w:rsid w:val="00035434"/>
    <w:rsid w:val="00045678"/>
    <w:rsid w:val="000458E4"/>
    <w:rsid w:val="00063D84"/>
    <w:rsid w:val="0006636D"/>
    <w:rsid w:val="000677AA"/>
    <w:rsid w:val="00077D53"/>
    <w:rsid w:val="00081394"/>
    <w:rsid w:val="000834C7"/>
    <w:rsid w:val="000B34BD"/>
    <w:rsid w:val="000C40A7"/>
    <w:rsid w:val="000C7E2A"/>
    <w:rsid w:val="000D35DE"/>
    <w:rsid w:val="000F3417"/>
    <w:rsid w:val="000F4CFB"/>
    <w:rsid w:val="00117666"/>
    <w:rsid w:val="001223A7"/>
    <w:rsid w:val="00134256"/>
    <w:rsid w:val="00142C15"/>
    <w:rsid w:val="00147395"/>
    <w:rsid w:val="00152161"/>
    <w:rsid w:val="001552C9"/>
    <w:rsid w:val="001567D1"/>
    <w:rsid w:val="00171169"/>
    <w:rsid w:val="00177D84"/>
    <w:rsid w:val="001846FB"/>
    <w:rsid w:val="00184ADD"/>
    <w:rsid w:val="00185CD8"/>
    <w:rsid w:val="001964EF"/>
    <w:rsid w:val="001B1A2C"/>
    <w:rsid w:val="001D5C23"/>
    <w:rsid w:val="001E4F08"/>
    <w:rsid w:val="001F4C07"/>
    <w:rsid w:val="001F7D2A"/>
    <w:rsid w:val="00206322"/>
    <w:rsid w:val="00217BA1"/>
    <w:rsid w:val="00220AEA"/>
    <w:rsid w:val="00226954"/>
    <w:rsid w:val="0023191C"/>
    <w:rsid w:val="002368CB"/>
    <w:rsid w:val="002629A3"/>
    <w:rsid w:val="00265660"/>
    <w:rsid w:val="002677A0"/>
    <w:rsid w:val="00267D18"/>
    <w:rsid w:val="00282993"/>
    <w:rsid w:val="002868E2"/>
    <w:rsid w:val="002869C3"/>
    <w:rsid w:val="002936E4"/>
    <w:rsid w:val="00296B88"/>
    <w:rsid w:val="002A260D"/>
    <w:rsid w:val="002B02C5"/>
    <w:rsid w:val="002B7FF7"/>
    <w:rsid w:val="002C74CA"/>
    <w:rsid w:val="002E6150"/>
    <w:rsid w:val="002F744D"/>
    <w:rsid w:val="00303DE6"/>
    <w:rsid w:val="00310124"/>
    <w:rsid w:val="00321A50"/>
    <w:rsid w:val="00322306"/>
    <w:rsid w:val="0033225B"/>
    <w:rsid w:val="003544FB"/>
    <w:rsid w:val="00365D63"/>
    <w:rsid w:val="0036793B"/>
    <w:rsid w:val="0037115F"/>
    <w:rsid w:val="00372682"/>
    <w:rsid w:val="00374D04"/>
    <w:rsid w:val="00376CC5"/>
    <w:rsid w:val="0039693B"/>
    <w:rsid w:val="003B3C40"/>
    <w:rsid w:val="003D2F2D"/>
    <w:rsid w:val="003E3886"/>
    <w:rsid w:val="00401590"/>
    <w:rsid w:val="00417444"/>
    <w:rsid w:val="00434D3E"/>
    <w:rsid w:val="00446E4C"/>
    <w:rsid w:val="004501B2"/>
    <w:rsid w:val="00463E3D"/>
    <w:rsid w:val="004645AE"/>
    <w:rsid w:val="004B09BA"/>
    <w:rsid w:val="004D3E33"/>
    <w:rsid w:val="004D6E51"/>
    <w:rsid w:val="004E24C4"/>
    <w:rsid w:val="004F7A3D"/>
    <w:rsid w:val="00507628"/>
    <w:rsid w:val="00510770"/>
    <w:rsid w:val="0052252B"/>
    <w:rsid w:val="005250F2"/>
    <w:rsid w:val="005714E0"/>
    <w:rsid w:val="005823C8"/>
    <w:rsid w:val="00584BB6"/>
    <w:rsid w:val="005A1D84"/>
    <w:rsid w:val="005A5E59"/>
    <w:rsid w:val="005A70EA"/>
    <w:rsid w:val="005B2CE5"/>
    <w:rsid w:val="005B58BB"/>
    <w:rsid w:val="005C3963"/>
    <w:rsid w:val="005C6195"/>
    <w:rsid w:val="005D1840"/>
    <w:rsid w:val="005D35E4"/>
    <w:rsid w:val="005D7910"/>
    <w:rsid w:val="005E1985"/>
    <w:rsid w:val="00614C68"/>
    <w:rsid w:val="0062154F"/>
    <w:rsid w:val="00626026"/>
    <w:rsid w:val="00631A8C"/>
    <w:rsid w:val="00640D8B"/>
    <w:rsid w:val="00651CA2"/>
    <w:rsid w:val="00653D60"/>
    <w:rsid w:val="00660D05"/>
    <w:rsid w:val="00671D9A"/>
    <w:rsid w:val="00672D29"/>
    <w:rsid w:val="00673952"/>
    <w:rsid w:val="00686C9D"/>
    <w:rsid w:val="006B2D5B"/>
    <w:rsid w:val="006B7D14"/>
    <w:rsid w:val="006C186D"/>
    <w:rsid w:val="006C5E9D"/>
    <w:rsid w:val="006D5B93"/>
    <w:rsid w:val="006E18DE"/>
    <w:rsid w:val="006E54C5"/>
    <w:rsid w:val="00725A7D"/>
    <w:rsid w:val="00727093"/>
    <w:rsid w:val="0073085C"/>
    <w:rsid w:val="00746505"/>
    <w:rsid w:val="00752FD1"/>
    <w:rsid w:val="00761FAD"/>
    <w:rsid w:val="00790BB3"/>
    <w:rsid w:val="00792043"/>
    <w:rsid w:val="00792E3F"/>
    <w:rsid w:val="00797EDD"/>
    <w:rsid w:val="007B0322"/>
    <w:rsid w:val="007C0E3F"/>
    <w:rsid w:val="007C206C"/>
    <w:rsid w:val="007C5729"/>
    <w:rsid w:val="007F1308"/>
    <w:rsid w:val="008111E4"/>
    <w:rsid w:val="0081301C"/>
    <w:rsid w:val="00817DD6"/>
    <w:rsid w:val="00831B62"/>
    <w:rsid w:val="008629A9"/>
    <w:rsid w:val="00880B83"/>
    <w:rsid w:val="0088513A"/>
    <w:rsid w:val="00893C19"/>
    <w:rsid w:val="00895308"/>
    <w:rsid w:val="008A0240"/>
    <w:rsid w:val="008A4790"/>
    <w:rsid w:val="008A65F1"/>
    <w:rsid w:val="008D6C8D"/>
    <w:rsid w:val="008E2B54"/>
    <w:rsid w:val="008E4404"/>
    <w:rsid w:val="008E58C7"/>
    <w:rsid w:val="008F5021"/>
    <w:rsid w:val="00903894"/>
    <w:rsid w:val="009145EE"/>
    <w:rsid w:val="00943573"/>
    <w:rsid w:val="00971B61"/>
    <w:rsid w:val="00980C31"/>
    <w:rsid w:val="009955FF"/>
    <w:rsid w:val="009A4B23"/>
    <w:rsid w:val="009B7B2C"/>
    <w:rsid w:val="009D259D"/>
    <w:rsid w:val="00A00487"/>
    <w:rsid w:val="00A03AF6"/>
    <w:rsid w:val="00A3254A"/>
    <w:rsid w:val="00A353B4"/>
    <w:rsid w:val="00A4133B"/>
    <w:rsid w:val="00A50D9D"/>
    <w:rsid w:val="00A52234"/>
    <w:rsid w:val="00A53000"/>
    <w:rsid w:val="00A545C6"/>
    <w:rsid w:val="00A71BD9"/>
    <w:rsid w:val="00A75F87"/>
    <w:rsid w:val="00A95D8B"/>
    <w:rsid w:val="00AC0270"/>
    <w:rsid w:val="00AC3EA3"/>
    <w:rsid w:val="00AC792D"/>
    <w:rsid w:val="00B60950"/>
    <w:rsid w:val="00B657B8"/>
    <w:rsid w:val="00B820CB"/>
    <w:rsid w:val="00B84920"/>
    <w:rsid w:val="00B8556A"/>
    <w:rsid w:val="00BA36E1"/>
    <w:rsid w:val="00BB41CE"/>
    <w:rsid w:val="00BB5C5C"/>
    <w:rsid w:val="00BB6949"/>
    <w:rsid w:val="00BD783A"/>
    <w:rsid w:val="00C012A3"/>
    <w:rsid w:val="00C16F19"/>
    <w:rsid w:val="00C30EB1"/>
    <w:rsid w:val="00C52A7B"/>
    <w:rsid w:val="00C577BD"/>
    <w:rsid w:val="00C6324C"/>
    <w:rsid w:val="00C679AA"/>
    <w:rsid w:val="00C71AC5"/>
    <w:rsid w:val="00C724CF"/>
    <w:rsid w:val="00C75972"/>
    <w:rsid w:val="00C767D2"/>
    <w:rsid w:val="00C82792"/>
    <w:rsid w:val="00C948FD"/>
    <w:rsid w:val="00C949CF"/>
    <w:rsid w:val="00CB1A35"/>
    <w:rsid w:val="00CB2220"/>
    <w:rsid w:val="00CB43D5"/>
    <w:rsid w:val="00CC76F9"/>
    <w:rsid w:val="00CD066B"/>
    <w:rsid w:val="00CD3ECE"/>
    <w:rsid w:val="00CD46E2"/>
    <w:rsid w:val="00CF1904"/>
    <w:rsid w:val="00D00D0B"/>
    <w:rsid w:val="00D04B69"/>
    <w:rsid w:val="00D17FBC"/>
    <w:rsid w:val="00D40420"/>
    <w:rsid w:val="00D537FA"/>
    <w:rsid w:val="00D7000F"/>
    <w:rsid w:val="00D80D99"/>
    <w:rsid w:val="00D82DB4"/>
    <w:rsid w:val="00D871F7"/>
    <w:rsid w:val="00D9503C"/>
    <w:rsid w:val="00DB1155"/>
    <w:rsid w:val="00DD59EB"/>
    <w:rsid w:val="00DD73EF"/>
    <w:rsid w:val="00DE23E8"/>
    <w:rsid w:val="00DF187F"/>
    <w:rsid w:val="00E0128B"/>
    <w:rsid w:val="00E11C78"/>
    <w:rsid w:val="00E35B6B"/>
    <w:rsid w:val="00E64E17"/>
    <w:rsid w:val="00E65F04"/>
    <w:rsid w:val="00E741C0"/>
    <w:rsid w:val="00E852EA"/>
    <w:rsid w:val="00EA3D3C"/>
    <w:rsid w:val="00EC7CC3"/>
    <w:rsid w:val="00ED1C27"/>
    <w:rsid w:val="00EE2407"/>
    <w:rsid w:val="00F02154"/>
    <w:rsid w:val="00F254A4"/>
    <w:rsid w:val="00F46494"/>
    <w:rsid w:val="00F50236"/>
    <w:rsid w:val="00F558AB"/>
    <w:rsid w:val="00F61D89"/>
    <w:rsid w:val="00F71C74"/>
    <w:rsid w:val="00F74E5A"/>
    <w:rsid w:val="00F86ABB"/>
    <w:rsid w:val="00F96A42"/>
    <w:rsid w:val="00F97039"/>
    <w:rsid w:val="00FA010A"/>
    <w:rsid w:val="00FD7648"/>
    <w:rsid w:val="00FE000E"/>
    <w:rsid w:val="00FE2770"/>
    <w:rsid w:val="00FF4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3C2B1B61-39FB-4065-AC79-3982BB14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8BB"/>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95308"/>
    <w:rPr>
      <w:color w:val="605E5C"/>
      <w:shd w:val="clear" w:color="auto" w:fill="E1DFDD"/>
    </w:rPr>
  </w:style>
  <w:style w:type="table" w:customStyle="1" w:styleId="TableGrid1">
    <w:name w:val="Table Grid1"/>
    <w:basedOn w:val="TableNormal"/>
    <w:next w:val="TableGrid"/>
    <w:uiPriority w:val="39"/>
    <w:rsid w:val="00B60950"/>
    <w:pPr>
      <w:spacing w:after="0" w:line="240" w:lineRule="auto"/>
    </w:pPr>
    <w:rPr>
      <w:rFonts w:ascii="Calibri" w:hAnsi="Calibri"/>
      <w:kern w:val="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1A50"/>
    <w:pPr>
      <w:spacing w:after="0" w:line="240" w:lineRule="auto"/>
    </w:pPr>
    <w:rPr>
      <w:rFonts w:ascii="Calibri" w:hAnsi="Calibri"/>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1A50"/>
    <w:pPr>
      <w:spacing w:after="0" w:line="240" w:lineRule="auto"/>
    </w:pPr>
    <w:rPr>
      <w:rFonts w:ascii="Calibri" w:hAnsi="Calibri"/>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rd.mcmaster.ca/home"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github.com/tseemann/snp-dists" TargetMode="External"/><Relationship Id="rId7" Type="http://schemas.openxmlformats.org/officeDocument/2006/relationships/settings" Target="settings.xml"/><Relationship Id="rId12" Type="http://schemas.openxmlformats.org/officeDocument/2006/relationships/hyperlink" Target="https://www.eucast.org/" TargetMode="External"/><Relationship Id="rId17" Type="http://schemas.openxmlformats.org/officeDocument/2006/relationships/hyperlink" Target="https://genomicepidemiology.org/services/"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tseemann/abricate" TargetMode="External"/><Relationship Id="rId20" Type="http://schemas.openxmlformats.org/officeDocument/2006/relationships/hyperlink" Target="https://github.com/tseemann/snippy"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ithub.com/tseemann/prokka" TargetMode="External"/><Relationship Id="rId23" Type="http://schemas.openxmlformats.org/officeDocument/2006/relationships/footer" Target="footer1.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pubmlst.org/organisms/acinetobacter-baumannii/"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tseemann/nullarbor" TargetMode="External"/><Relationship Id="rId22" Type="http://schemas.openxmlformats.org/officeDocument/2006/relationships/hyperlink" Target="https://itol.embl.de/"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91BF056F32346AA0D6CE7BC0CA578" ma:contentTypeVersion="17" ma:contentTypeDescription="Create a new document." ma:contentTypeScope="" ma:versionID="dd8464aea4d164475395234dd03f49d9">
  <xsd:schema xmlns:xsd="http://www.w3.org/2001/XMLSchema" xmlns:xs="http://www.w3.org/2001/XMLSchema" xmlns:p="http://schemas.microsoft.com/office/2006/metadata/properties" xmlns:ns3="430e99ef-0bab-4635-b25f-6ad7d70bc21e" xmlns:ns4="fff706cd-d1ce-44de-aafa-1386d9db9e14" targetNamespace="http://schemas.microsoft.com/office/2006/metadata/properties" ma:root="true" ma:fieldsID="4256195f40d38b909859dfc22092219d" ns3:_="" ns4:_="">
    <xsd:import namespace="430e99ef-0bab-4635-b25f-6ad7d70bc21e"/>
    <xsd:import namespace="fff706cd-d1ce-44de-aafa-1386d9db9e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e99ef-0bab-4635-b25f-6ad7d70bc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706cd-d1ce-44de-aafa-1386d9db9e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ff706cd-d1ce-44de-aafa-1386d9db9e14">
      <UserInfo>
        <DisplayName/>
        <AccountId xsi:nil="true"/>
        <AccountType/>
      </UserInfo>
    </SharedWithUsers>
    <_activity xmlns="430e99ef-0bab-4635-b25f-6ad7d70bc21e"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AF503-F45A-4BF3-A0BC-8CE864A73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e99ef-0bab-4635-b25f-6ad7d70bc21e"/>
    <ds:schemaRef ds:uri="fff706cd-d1ce-44de-aafa-1386d9db9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fff706cd-d1ce-44de-aafa-1386d9db9e14"/>
    <ds:schemaRef ds:uri="430e99ef-0bab-4635-b25f-6ad7d70bc21e"/>
  </ds:schemaRefs>
</ds:datastoreItem>
</file>

<file path=customXml/itemProps3.xml><?xml version="1.0" encoding="utf-8"?>
<ds:datastoreItem xmlns:ds="http://schemas.openxmlformats.org/officeDocument/2006/customXml" ds:itemID="{5F9F80FA-172A-49E6-812C-44A6388DD2F9}">
  <ds:schemaRefs>
    <ds:schemaRef ds:uri="http://schemas.openxmlformats.org/officeDocument/2006/bibliography"/>
  </ds:schemaRefs>
</ds:datastoreItem>
</file>

<file path=customXml/itemProps4.xml><?xml version="1.0" encoding="utf-8"?>
<ds:datastoreItem xmlns:ds="http://schemas.openxmlformats.org/officeDocument/2006/customXml" ds:itemID="{A547FD6E-73F0-4542-8474-D6680317EF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updates\frontiers_template.dotx</Template>
  <TotalTime>0</TotalTime>
  <Pages>16</Pages>
  <Words>11580</Words>
  <Characters>66008</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 </cp:lastModifiedBy>
  <cp:revision>3</cp:revision>
  <cp:lastPrinted>2013-10-03T12:51:00Z</cp:lastPrinted>
  <dcterms:created xsi:type="dcterms:W3CDTF">2024-07-03T08:07:00Z</dcterms:created>
  <dcterms:modified xsi:type="dcterms:W3CDTF">2024-07-03T08:07:00Z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0x010100B2F91BF056F32346AA0D6CE7BC0CA578</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Document_1">
    <vt:lpwstr>True</vt:lpwstr>
  </property>
  <property fmtid="{D5CDD505-2E9C-101B-9397-08002B2CF9AE}" pid="11" name="Mendeley Unique User Id_1">
    <vt:lpwstr>238ede8b-dee3-3bea-9a78-fd61880fcfb5</vt:lpwstr>
  </property>
  <property fmtid="{D5CDD505-2E9C-101B-9397-08002B2CF9AE}" pid="12" name="Mendeley Citation Style_1">
    <vt:lpwstr>http://www.zotero.org/styles/apa</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http://www.zotero.org/styles/apa</vt:lpwstr>
  </property>
  <property fmtid="{D5CDD505-2E9C-101B-9397-08002B2CF9AE}" pid="16" name="Mendeley Recent Style Name 1_1">
    <vt:lpwstr>American Psychological Association 7th edition</vt:lpwstr>
  </property>
  <property fmtid="{D5CDD505-2E9C-101B-9397-08002B2CF9AE}" pid="17" name="Mendeley Recent Style Id 2_1">
    <vt:lpwstr>http://www.zotero.org/styles/harvard-cite-them-right</vt:lpwstr>
  </property>
  <property fmtid="{D5CDD505-2E9C-101B-9397-08002B2CF9AE}" pid="18" name="Mendeley Recent Style Name 2_1">
    <vt:lpwstr>Cite Them Right 12th edition - Harvard</vt:lpwstr>
  </property>
  <property fmtid="{D5CDD505-2E9C-101B-9397-08002B2CF9AE}" pid="19" name="Mendeley Recent Style Id 3_1">
    <vt:lpwstr>http://www.zotero.org/styles/harvard-cite-them-right-no-et-al</vt:lpwstr>
  </property>
  <property fmtid="{D5CDD505-2E9C-101B-9397-08002B2CF9AE}" pid="20" name="Mendeley Recent Style Name 3_1">
    <vt:lpwstr>Cite Them Right 12th edition - Harvard (no "et al.")</vt:lpwstr>
  </property>
  <property fmtid="{D5CDD505-2E9C-101B-9397-08002B2CF9AE}" pid="21" name="Mendeley Recent Style Id 4_1">
    <vt:lpwstr>http://www.zotero.org/styles/harvard1</vt:lpwstr>
  </property>
  <property fmtid="{D5CDD505-2E9C-101B-9397-08002B2CF9AE}" pid="22" name="Mendeley Recent Style Name 4_1">
    <vt:lpwstr>Harvard reference format 1 (deprecated)</vt:lpwstr>
  </property>
  <property fmtid="{D5CDD505-2E9C-101B-9397-08002B2CF9AE}" pid="23" name="Mendeley Recent Style Id 5_1">
    <vt:lpwstr>http://www.zotero.org/styles/pnas</vt:lpwstr>
  </property>
  <property fmtid="{D5CDD505-2E9C-101B-9397-08002B2CF9AE}" pid="24" name="Mendeley Recent Style Name 5_1">
    <vt:lpwstr>Proceedings of the National Academy of Sciences of the United States of America</vt:lpwstr>
  </property>
  <property fmtid="{D5CDD505-2E9C-101B-9397-08002B2CF9AE}" pid="25" name="Mendeley Recent Style Id 6_1">
    <vt:lpwstr>http://www.zotero.org/styles/taylor-and-francis-vancouver-national-library-of-medicine</vt:lpwstr>
  </property>
  <property fmtid="{D5CDD505-2E9C-101B-9397-08002B2CF9AE}" pid="26" name="Mendeley Recent Style Name 6_1">
    <vt:lpwstr>Taylor &amp; Francis - Vancouver/National Library of Medicine</vt:lpwstr>
  </property>
  <property fmtid="{D5CDD505-2E9C-101B-9397-08002B2CF9AE}" pid="27" name="Mendeley Recent Style Id 7_1">
    <vt:lpwstr>http://csl.mendeley.com/styles/542920011/vancouver-superscript-2</vt:lpwstr>
  </property>
  <property fmtid="{D5CDD505-2E9C-101B-9397-08002B2CF9AE}" pid="28" name="Mendeley Recent Style Name 7_1">
    <vt:lpwstr>Vancouver (superscript) - Sakiusa Baleivanualala</vt:lpwstr>
  </property>
  <property fmtid="{D5CDD505-2E9C-101B-9397-08002B2CF9AE}" pid="29" name="Mendeley Recent Style Id 8_1">
    <vt:lpwstr>http://csl.mendeley.com/styles/542920011/vancouver-superscript-3</vt:lpwstr>
  </property>
  <property fmtid="{D5CDD505-2E9C-101B-9397-08002B2CF9AE}" pid="30" name="Mendeley Recent Style Name 8_1">
    <vt:lpwstr>Vancouver (superscript) - Sakiusa Baleivanualala</vt:lpwstr>
  </property>
  <property fmtid="{D5CDD505-2E9C-101B-9397-08002B2CF9AE}" pid="31" name="Mendeley Recent Style Id 9_1">
    <vt:lpwstr>http://www.zotero.org/styles/vancouver-superscript-brackets-only-year</vt:lpwstr>
  </property>
  <property fmtid="{D5CDD505-2E9C-101B-9397-08002B2CF9AE}" pid="32" name="Mendeley Recent Style Name 9_1">
    <vt:lpwstr>Vancouver (superscript, brackets, only year in date)</vt:lpwstr>
  </property>
</Properties>
</file>