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BD9E" w14:textId="542B98CC" w:rsidR="00D24017" w:rsidRPr="001B55D9" w:rsidRDefault="00B945A5" w:rsidP="001B55D9">
      <w:pPr>
        <w:pStyle w:val="Titl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Supplementary Material</w:t>
      </w:r>
      <w:bookmarkStart w:id="0" w:name="_GoBack"/>
      <w:bookmarkEnd w:id="0"/>
    </w:p>
    <w:p w14:paraId="51ECB9B3" w14:textId="5C718F05" w:rsidR="001903CB" w:rsidRPr="001B55D9" w:rsidRDefault="001903CB" w:rsidP="001903C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14550814" w14:textId="67D8E4A6" w:rsidR="00D24017" w:rsidRPr="001B55D9" w:rsidRDefault="00D24017" w:rsidP="00EF7B34">
      <w:pPr>
        <w:keepNext/>
        <w:keepLines/>
        <w:spacing w:before="40" w:after="0" w:line="360" w:lineRule="auto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B55D9">
        <w:rPr>
          <w:rFonts w:ascii="Times New Roman" w:eastAsiaTheme="majorEastAsia" w:hAnsi="Times New Roman" w:cs="Times New Roman"/>
          <w:b/>
          <w:sz w:val="24"/>
          <w:szCs w:val="24"/>
        </w:rPr>
        <w:t xml:space="preserve">Table </w:t>
      </w:r>
      <w:r w:rsidR="007D2DAC" w:rsidRPr="001B55D9">
        <w:rPr>
          <w:rFonts w:ascii="Times New Roman" w:eastAsiaTheme="majorEastAsia" w:hAnsi="Times New Roman" w:cs="Times New Roman"/>
          <w:b/>
          <w:sz w:val="24"/>
          <w:szCs w:val="24"/>
        </w:rPr>
        <w:t>S</w:t>
      </w:r>
      <w:r w:rsidRPr="001B55D9">
        <w:rPr>
          <w:rFonts w:ascii="Times New Roman" w:eastAsiaTheme="majorEastAsia" w:hAnsi="Times New Roman" w:cs="Times New Roman"/>
          <w:b/>
          <w:sz w:val="24"/>
          <w:szCs w:val="24"/>
        </w:rPr>
        <w:t xml:space="preserve">1: Differences in DWI acquisition parameters between </w:t>
      </w:r>
      <w:r w:rsidR="00EB5B57" w:rsidRPr="001B55D9">
        <w:rPr>
          <w:rFonts w:ascii="Times New Roman" w:eastAsiaTheme="majorEastAsia" w:hAnsi="Times New Roman" w:cs="Times New Roman"/>
          <w:b/>
          <w:sz w:val="24"/>
          <w:szCs w:val="24"/>
        </w:rPr>
        <w:t xml:space="preserve">the </w:t>
      </w:r>
      <w:r w:rsidRPr="001B55D9">
        <w:rPr>
          <w:rFonts w:ascii="Times New Roman" w:eastAsiaTheme="majorEastAsia" w:hAnsi="Times New Roman" w:cs="Times New Roman"/>
          <w:b/>
          <w:sz w:val="24"/>
          <w:szCs w:val="24"/>
        </w:rPr>
        <w:t>Oslo and NKI cohort</w:t>
      </w:r>
      <w:r w:rsidR="00EB5B57" w:rsidRPr="001B55D9">
        <w:rPr>
          <w:rFonts w:ascii="Times New Roman" w:eastAsiaTheme="majorEastAsia" w:hAnsi="Times New Roman" w:cs="Times New Roman"/>
          <w:b/>
          <w:sz w:val="24"/>
          <w:szCs w:val="24"/>
        </w:rPr>
        <w:t>s</w:t>
      </w:r>
      <w:r w:rsidRPr="001B55D9">
        <w:rPr>
          <w:rFonts w:ascii="Times New Roman" w:eastAsiaTheme="majorEastAsia" w:hAnsi="Times New Roman" w:cs="Times New Roman"/>
          <w:b/>
          <w:sz w:val="24"/>
          <w:szCs w:val="24"/>
        </w:rPr>
        <w:t xml:space="preserve">. 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113"/>
        <w:gridCol w:w="1842"/>
        <w:gridCol w:w="1843"/>
      </w:tblGrid>
      <w:tr w:rsidR="001B55D9" w:rsidRPr="001B55D9" w14:paraId="7DA64DB7" w14:textId="77777777" w:rsidTr="001B5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D23AB27" w14:textId="77777777" w:rsidR="00D24017" w:rsidRPr="001B55D9" w:rsidRDefault="00D24017" w:rsidP="007D2D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3113" w:type="dxa"/>
          </w:tcPr>
          <w:p w14:paraId="7C69C05F" w14:textId="77777777" w:rsidR="00D24017" w:rsidRPr="001B55D9" w:rsidRDefault="00D24017" w:rsidP="007D2D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Oslo (n = 106)</w:t>
            </w:r>
          </w:p>
        </w:tc>
        <w:tc>
          <w:tcPr>
            <w:tcW w:w="3685" w:type="dxa"/>
            <w:gridSpan w:val="2"/>
          </w:tcPr>
          <w:p w14:paraId="0005E81D" w14:textId="3DA66A8C" w:rsidR="00D24017" w:rsidRPr="001B55D9" w:rsidRDefault="00D24017" w:rsidP="00B56E1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 xml:space="preserve">Full NKI (n = </w:t>
            </w:r>
            <w:r w:rsidR="00B56E1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52F" w:rsidRPr="001B55D9" w14:paraId="2347A291" w14:textId="77777777" w:rsidTr="00215064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D26622" w14:textId="0E6EC6F0" w:rsidR="006C152F" w:rsidRPr="001B55D9" w:rsidRDefault="006C152F" w:rsidP="005747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Magnetic field strength</w:t>
            </w:r>
          </w:p>
        </w:tc>
        <w:tc>
          <w:tcPr>
            <w:tcW w:w="3113" w:type="dxa"/>
          </w:tcPr>
          <w:p w14:paraId="0BA520F0" w14:textId="48C423F7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1.5T</w:t>
            </w:r>
          </w:p>
        </w:tc>
        <w:tc>
          <w:tcPr>
            <w:tcW w:w="1842" w:type="dxa"/>
          </w:tcPr>
          <w:p w14:paraId="2B0AA13C" w14:textId="5F771FD7" w:rsidR="006C152F" w:rsidRPr="001B55D9" w:rsidRDefault="006C152F" w:rsidP="006C15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1.5T [n=3]</w:t>
            </w:r>
          </w:p>
        </w:tc>
        <w:tc>
          <w:tcPr>
            <w:tcW w:w="1843" w:type="dxa"/>
          </w:tcPr>
          <w:p w14:paraId="58ED50F5" w14:textId="32443C4E" w:rsidR="006C152F" w:rsidRPr="001B55D9" w:rsidRDefault="006C152F" w:rsidP="006C15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3T [n=287] </w:t>
            </w:r>
          </w:p>
        </w:tc>
      </w:tr>
      <w:tr w:rsidR="006C152F" w:rsidRPr="001B55D9" w14:paraId="5D313EAF" w14:textId="77777777" w:rsidTr="00297E7E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00053A0" w14:textId="36B9BC04" w:rsidR="006C152F" w:rsidRPr="001B55D9" w:rsidRDefault="006C152F" w:rsidP="005747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Scanner</w:t>
            </w:r>
          </w:p>
        </w:tc>
        <w:tc>
          <w:tcPr>
            <w:tcW w:w="0" w:type="dxa"/>
          </w:tcPr>
          <w:p w14:paraId="57950959" w14:textId="7E829937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General Electric Discovery 450 magnet</w:t>
            </w:r>
          </w:p>
        </w:tc>
        <w:tc>
          <w:tcPr>
            <w:tcW w:w="1842" w:type="dxa"/>
          </w:tcPr>
          <w:p w14:paraId="2B5BE6C8" w14:textId="749DBD64" w:rsidR="006C152F" w:rsidRPr="001B55D9" w:rsidRDefault="006C152F" w:rsidP="006C15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Achieva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[n=3])</w:t>
            </w:r>
          </w:p>
        </w:tc>
        <w:tc>
          <w:tcPr>
            <w:tcW w:w="1843" w:type="dxa"/>
          </w:tcPr>
          <w:p w14:paraId="0B948EA6" w14:textId="64D3CCD0" w:rsidR="006C152F" w:rsidRPr="001B55D9" w:rsidRDefault="006C152F" w:rsidP="006C15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Philips (</w:t>
            </w:r>
            <w:proofErr w:type="spellStart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Achieva</w:t>
            </w:r>
            <w:proofErr w:type="spellEnd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 xml:space="preserve"> [n=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Achieva</w:t>
            </w:r>
            <w:proofErr w:type="spellEnd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dStream</w:t>
            </w:r>
            <w:proofErr w:type="spellEnd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 xml:space="preserve"> [n=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Ingenia [n=21])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5D9" w:rsidRPr="001B55D9" w14:paraId="13919AEF" w14:textId="77777777" w:rsidTr="001B55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53EAB3F" w14:textId="77777777" w:rsidR="00D24017" w:rsidRPr="001B55D9" w:rsidRDefault="00D24017" w:rsidP="007D2D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  <w:tc>
          <w:tcPr>
            <w:tcW w:w="3113" w:type="dxa"/>
          </w:tcPr>
          <w:p w14:paraId="103C6A67" w14:textId="77777777" w:rsidR="00D24017" w:rsidRPr="001B55D9" w:rsidRDefault="00D24017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2D SE-EPI</w:t>
            </w:r>
          </w:p>
        </w:tc>
        <w:tc>
          <w:tcPr>
            <w:tcW w:w="3685" w:type="dxa"/>
            <w:gridSpan w:val="2"/>
          </w:tcPr>
          <w:p w14:paraId="78CAB513" w14:textId="17D3E30A" w:rsidR="00D24017" w:rsidRPr="001B55D9" w:rsidRDefault="00574743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2D SE-EPI</w:t>
            </w:r>
          </w:p>
        </w:tc>
      </w:tr>
      <w:tr w:rsidR="006C152F" w:rsidRPr="001B55D9" w14:paraId="5795DD47" w14:textId="77777777" w:rsidTr="00297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3F16E35" w14:textId="77777777" w:rsidR="006C152F" w:rsidRPr="001B55D9" w:rsidRDefault="006C152F" w:rsidP="007D2D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FOV (mm</w:t>
            </w:r>
            <w:r w:rsidRPr="001B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dxa"/>
          </w:tcPr>
          <w:p w14:paraId="701DC79C" w14:textId="77777777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180x180</w:t>
            </w:r>
          </w:p>
        </w:tc>
        <w:tc>
          <w:tcPr>
            <w:tcW w:w="1842" w:type="dxa"/>
          </w:tcPr>
          <w:p w14:paraId="43FF7CF4" w14:textId="5C14090F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381x381</w:t>
            </w:r>
          </w:p>
        </w:tc>
        <w:tc>
          <w:tcPr>
            <w:tcW w:w="1843" w:type="dxa"/>
          </w:tcPr>
          <w:p w14:paraId="417F9C24" w14:textId="534262F0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180x180 to 256x256</w:t>
            </w:r>
          </w:p>
        </w:tc>
      </w:tr>
      <w:tr w:rsidR="006C152F" w:rsidRPr="001B55D9" w14:paraId="17C48866" w14:textId="77777777" w:rsidTr="00297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B56E295" w14:textId="77777777" w:rsidR="006C152F" w:rsidRPr="001B55D9" w:rsidRDefault="006C152F" w:rsidP="007D2D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TR (</w:t>
            </w:r>
            <w:proofErr w:type="spellStart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dxa"/>
          </w:tcPr>
          <w:p w14:paraId="3F3F3649" w14:textId="77777777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2" w:type="dxa"/>
          </w:tcPr>
          <w:p w14:paraId="7ACCA964" w14:textId="777C21C8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</w:tcPr>
          <w:p w14:paraId="77126549" w14:textId="0355F742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3466 to 6169</w:t>
            </w:r>
          </w:p>
        </w:tc>
      </w:tr>
      <w:tr w:rsidR="006C152F" w:rsidRPr="001B55D9" w14:paraId="537DBB37" w14:textId="77777777" w:rsidTr="00297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9B173AA" w14:textId="77777777" w:rsidR="006C152F" w:rsidRPr="001B55D9" w:rsidRDefault="006C152F" w:rsidP="007D2D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TE (</w:t>
            </w:r>
            <w:proofErr w:type="spellStart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dxa"/>
          </w:tcPr>
          <w:p w14:paraId="57AF2CF4" w14:textId="77777777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</w:p>
        </w:tc>
        <w:tc>
          <w:tcPr>
            <w:tcW w:w="1842" w:type="dxa"/>
          </w:tcPr>
          <w:p w14:paraId="07B78557" w14:textId="382186AF" w:rsidR="006C152F" w:rsidRPr="001B55D9" w:rsidRDefault="006C152F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765C7191" w14:textId="2C653B54" w:rsidR="006C152F" w:rsidRPr="001B55D9" w:rsidRDefault="006C152F" w:rsidP="008447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 xml:space="preserve"> to 104</w:t>
            </w:r>
          </w:p>
        </w:tc>
      </w:tr>
      <w:tr w:rsidR="0084479C" w:rsidRPr="001B55D9" w14:paraId="107A7783" w14:textId="77777777" w:rsidTr="00297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9840A6B" w14:textId="77777777" w:rsidR="0084479C" w:rsidRPr="001B55D9" w:rsidRDefault="0084479C" w:rsidP="007D2D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Echo train length</w:t>
            </w:r>
          </w:p>
        </w:tc>
        <w:tc>
          <w:tcPr>
            <w:tcW w:w="0" w:type="dxa"/>
          </w:tcPr>
          <w:p w14:paraId="799071C0" w14:textId="77777777" w:rsidR="0084479C" w:rsidRPr="001B55D9" w:rsidRDefault="0084479C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14:paraId="79112203" w14:textId="7CC39E59" w:rsidR="0084479C" w:rsidRPr="001B55D9" w:rsidRDefault="0084479C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to 87</w:t>
            </w:r>
          </w:p>
        </w:tc>
        <w:tc>
          <w:tcPr>
            <w:tcW w:w="1843" w:type="dxa"/>
          </w:tcPr>
          <w:p w14:paraId="3568CC82" w14:textId="1E9E1231" w:rsidR="0084479C" w:rsidRPr="001B55D9" w:rsidRDefault="0084479C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55 to 113</w:t>
            </w:r>
          </w:p>
        </w:tc>
      </w:tr>
      <w:tr w:rsidR="0084479C" w:rsidRPr="001B55D9" w14:paraId="5470CE4F" w14:textId="77777777" w:rsidTr="00297E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5479FBA" w14:textId="77777777" w:rsidR="0084479C" w:rsidRPr="001B55D9" w:rsidRDefault="0084479C" w:rsidP="007D2D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Slice Thickness (mm)</w:t>
            </w:r>
          </w:p>
        </w:tc>
        <w:tc>
          <w:tcPr>
            <w:tcW w:w="0" w:type="dxa"/>
          </w:tcPr>
          <w:p w14:paraId="67C772D1" w14:textId="77777777" w:rsidR="0084479C" w:rsidRPr="001B55D9" w:rsidRDefault="0084479C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193F5DCD" w14:textId="76060E22" w:rsidR="0084479C" w:rsidRPr="001B55D9" w:rsidRDefault="0084479C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to 3.3</w:t>
            </w:r>
          </w:p>
        </w:tc>
        <w:tc>
          <w:tcPr>
            <w:tcW w:w="1843" w:type="dxa"/>
          </w:tcPr>
          <w:p w14:paraId="698CAA5E" w14:textId="4BBEFD97" w:rsidR="0084479C" w:rsidRPr="001B55D9" w:rsidRDefault="0084479C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2.73 to 4</w:t>
            </w:r>
          </w:p>
        </w:tc>
      </w:tr>
      <w:tr w:rsidR="001B55D9" w:rsidRPr="001B55D9" w14:paraId="27906ABB" w14:textId="77777777" w:rsidTr="001B55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6A797B3" w14:textId="77777777" w:rsidR="00D24017" w:rsidRPr="001B55D9" w:rsidRDefault="00D24017" w:rsidP="007D2D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b-values (s/mm</w:t>
            </w:r>
            <w:r w:rsidRPr="001B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3" w:type="dxa"/>
          </w:tcPr>
          <w:p w14:paraId="66737030" w14:textId="77777777" w:rsidR="00D24017" w:rsidRPr="001B55D9" w:rsidRDefault="00D24017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0,100,200,300,400,500,600,700,800,900,1000</w:t>
            </w:r>
          </w:p>
        </w:tc>
        <w:tc>
          <w:tcPr>
            <w:tcW w:w="3685" w:type="dxa"/>
            <w:gridSpan w:val="2"/>
          </w:tcPr>
          <w:p w14:paraId="75A3CA2F" w14:textId="224175B2" w:rsidR="00D24017" w:rsidRPr="001B55D9" w:rsidRDefault="00D24017" w:rsidP="007D2D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0,200,800</w:t>
            </w:r>
            <w:r w:rsidR="00574743">
              <w:rPr>
                <w:rFonts w:ascii="Times New Roman" w:hAnsi="Times New Roman" w:cs="Times New Roman"/>
                <w:sz w:val="24"/>
                <w:szCs w:val="24"/>
              </w:rPr>
              <w:t xml:space="preserve"> or 0,50,300,800</w:t>
            </w:r>
          </w:p>
        </w:tc>
      </w:tr>
    </w:tbl>
    <w:p w14:paraId="357DE959" w14:textId="3DCAC5E1" w:rsidR="00E47218" w:rsidRPr="001B55D9" w:rsidRDefault="00574743" w:rsidP="00D240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Some i</w:t>
      </w:r>
      <w:r w:rsidR="00E47218">
        <w:rPr>
          <w:rFonts w:ascii="Times New Roman" w:hAnsi="Times New Roman" w:cs="Times New Roman"/>
          <w:sz w:val="24"/>
          <w:szCs w:val="24"/>
        </w:rPr>
        <w:t xml:space="preserve">nformation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E47218">
        <w:rPr>
          <w:rFonts w:ascii="Times New Roman" w:hAnsi="Times New Roman" w:cs="Times New Roman"/>
          <w:sz w:val="24"/>
          <w:szCs w:val="24"/>
        </w:rPr>
        <w:t xml:space="preserve">missing </w:t>
      </w:r>
      <w:r>
        <w:rPr>
          <w:rFonts w:ascii="Times New Roman" w:hAnsi="Times New Roman" w:cs="Times New Roman"/>
          <w:sz w:val="24"/>
          <w:szCs w:val="24"/>
        </w:rPr>
        <w:t>for 10 of the NKI patients</w:t>
      </w:r>
      <w:r w:rsidR="00E472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99435" w14:textId="52B60E27" w:rsidR="00D24017" w:rsidRPr="001B55D9" w:rsidRDefault="00FC3A8A" w:rsidP="00D24017">
      <w:pPr>
        <w:keepNext/>
        <w:keepLines/>
        <w:spacing w:before="40" w:after="0" w:line="360" w:lineRule="auto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B55D9">
        <w:rPr>
          <w:rFonts w:ascii="Times New Roman" w:eastAsiaTheme="majorEastAsia" w:hAnsi="Times New Roman" w:cs="Times New Roman"/>
          <w:b/>
          <w:sz w:val="24"/>
          <w:szCs w:val="24"/>
        </w:rPr>
        <w:t>Supplementary Analysis :</w:t>
      </w:r>
      <w:r w:rsidR="00F07FC8" w:rsidRPr="001B55D9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D24017" w:rsidRPr="001B55D9">
        <w:rPr>
          <w:rFonts w:ascii="Times New Roman" w:eastAsiaTheme="majorEastAsia" w:hAnsi="Times New Roman" w:cs="Times New Roman"/>
          <w:b/>
          <w:sz w:val="24"/>
          <w:szCs w:val="24"/>
        </w:rPr>
        <w:t xml:space="preserve">DWI data analysis </w:t>
      </w:r>
    </w:p>
    <w:p w14:paraId="550798FC" w14:textId="07585114" w:rsidR="00D24017" w:rsidRPr="001B55D9" w:rsidRDefault="00297672" w:rsidP="00D240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5D9">
        <w:rPr>
          <w:rFonts w:ascii="Times New Roman" w:hAnsi="Times New Roman" w:cs="Times New Roman"/>
          <w:sz w:val="24"/>
          <w:szCs w:val="24"/>
        </w:rPr>
        <w:t>A</w:t>
      </w:r>
      <w:r w:rsidR="00D24017" w:rsidRPr="001B55D9">
        <w:rPr>
          <w:rFonts w:ascii="Times New Roman" w:hAnsi="Times New Roman" w:cs="Times New Roman"/>
          <w:sz w:val="24"/>
          <w:szCs w:val="24"/>
        </w:rPr>
        <w:t xml:space="preserve"> simplified IVIM model (Equation 1) was used in both institutions under the assumption that D*&gt;&gt;ADC, using a b-value selection of 200 – 800 s/mm</w:t>
      </w:r>
      <w:r w:rsidR="00D24017" w:rsidRPr="001B55D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24017" w:rsidRPr="001B55D9">
        <w:rPr>
          <w:rFonts w:ascii="Times New Roman" w:hAnsi="Times New Roman" w:cs="Times New Roman"/>
          <w:sz w:val="24"/>
          <w:szCs w:val="24"/>
        </w:rPr>
        <w:t>, where the signal loss is linear in a logarithmic plot</w:t>
      </w:r>
      <w:r w:rsidR="008571B1" w:rsidRPr="001B55D9">
        <w:rPr>
          <w:rFonts w:ascii="Times New Roman" w:hAnsi="Times New Roman" w:cs="Times New Roman"/>
          <w:sz w:val="24"/>
          <w:szCs w:val="24"/>
        </w:rPr>
        <w:fldChar w:fldCharType="begin"/>
      </w:r>
      <w:r w:rsidR="005275E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&lt;EndNote&gt;&lt;Cite&gt;&lt;Author&gt;Kooreman&lt;/Author&gt;&lt;Year&gt;2021&lt;/Year&gt;&lt;RecNum&gt;130&lt;/RecNum&gt;&lt;DisplayText&gt;(1)&lt;/DisplayText&gt;&lt;record&gt;&lt;rec-number&gt;130&lt;/rec-number&gt;&lt;foreign-keys&gt;&lt;key app="EN" db-id="aa2wwp0whp092be2df4pwzzs5tvz5vrvx09r" timestamp="1710517558" guid="99ff7d00-aacf-49b6-9586-d336c1f64ee5"&gt;130&lt;/key&gt;&lt;/foreign-keys&gt;&lt;ref-type name="Journal Article"&gt;17&lt;/ref-type&gt;&lt;contributors&gt;&lt;authors&gt;&lt;author&gt;Kooreman, Ernst S.&lt;/author&gt;&lt;author&gt;Van Houdt, Petra J.&lt;/author&gt;&lt;author&gt;Keesman, Rick&lt;/author&gt;&lt;author&gt;Van Pelt, Vivian W. J.&lt;/author&gt;&lt;author&gt;Nowee, Marlies E.&lt;/author&gt;&lt;author&gt;Pos, Floris&lt;/author&gt;&lt;author&gt;Sikorska, Karolina&lt;/author&gt;&lt;author&gt;Wetscherek, Andreas&lt;/author&gt;&lt;author&gt;Müller, Arndt-Christian&lt;/author&gt;&lt;author&gt;Thorwarth, Daniela&lt;/author&gt;&lt;author&gt;Tree, Alison C.&lt;/author&gt;&lt;author&gt;Van Der Heide, Uulke A.&lt;/author&gt;&lt;/authors&gt;&lt;/contributors&gt;&lt;titles&gt;&lt;title&gt;Daily Intravoxel Incoherent Motion (IVIM) In Prostate Cancer Patients During MR-Guided Radiotherapy—A Multicenter Study&lt;/title&gt;&lt;secondary-title&gt;Frontiers in Oncology&lt;/secondary-title&gt;&lt;/titles&gt;&lt;periodical&gt;&lt;full-title&gt;Frontiers in Oncology&lt;/full-title&gt;&lt;/periodical&gt;&lt;volume&gt;11&lt;/volume&gt;&lt;dates&gt;&lt;year&gt;2021&lt;/year&gt;&lt;/dates&gt;&lt;publisher&gt;Frontiers Media SA&lt;/publisher&gt;&lt;isbn&gt;2234-943X&lt;/isbn&gt;&lt;urls&gt;&lt;related-urls&gt;&lt;url&gt;https://dx.doi.org/10.3389/fonc.2021.705964&lt;/url&gt;&lt;/related-urls&gt;&lt;/urls&gt;&lt;electronic-resource-num&gt;10.3389/fonc.2021.705964&lt;/electronic-resource-num&gt;&lt;/record&gt;&lt;/Cite&gt;&lt;/EndNote&gt;</w:instrText>
      </w:r>
      <w:r w:rsidR="008571B1" w:rsidRPr="001B55D9">
        <w:rPr>
          <w:rFonts w:ascii="Times New Roman" w:hAnsi="Times New Roman" w:cs="Times New Roman"/>
          <w:sz w:val="24"/>
          <w:szCs w:val="24"/>
        </w:rPr>
        <w:fldChar w:fldCharType="separate"/>
      </w:r>
      <w:r w:rsidR="005275E6">
        <w:rPr>
          <w:rFonts w:ascii="Times New Roman" w:hAnsi="Times New Roman" w:cs="Times New Roman"/>
          <w:noProof/>
          <w:sz w:val="24"/>
          <w:szCs w:val="24"/>
        </w:rPr>
        <w:t>(1)</w:t>
      </w:r>
      <w:r w:rsidR="008571B1" w:rsidRPr="001B55D9">
        <w:rPr>
          <w:rFonts w:ascii="Times New Roman" w:hAnsi="Times New Roman" w:cs="Times New Roman"/>
          <w:sz w:val="24"/>
          <w:szCs w:val="24"/>
        </w:rPr>
        <w:fldChar w:fldCharType="end"/>
      </w:r>
      <w:r w:rsidR="00D24017" w:rsidRPr="001B55D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4"/>
        <w:gridCol w:w="496"/>
      </w:tblGrid>
      <w:tr w:rsidR="001B55D9" w:rsidRPr="001B55D9" w14:paraId="2B3F21D6" w14:textId="77777777" w:rsidTr="009233C7">
        <w:trPr>
          <w:jc w:val="center"/>
        </w:trPr>
        <w:tc>
          <w:tcPr>
            <w:tcW w:w="9072" w:type="dxa"/>
            <w:vAlign w:val="center"/>
          </w:tcPr>
          <w:p w14:paraId="1F84CC52" w14:textId="77777777" w:rsidR="00D24017" w:rsidRPr="001B55D9" w:rsidRDefault="00B945A5" w:rsidP="00923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ADC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fBV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278" w:type="dxa"/>
            <w:vAlign w:val="center"/>
          </w:tcPr>
          <w:p w14:paraId="449F3849" w14:textId="77777777" w:rsidR="00D24017" w:rsidRPr="001B55D9" w:rsidRDefault="00D24017" w:rsidP="00923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14:paraId="3001D600" w14:textId="77777777" w:rsidR="00D24017" w:rsidRPr="001B55D9" w:rsidRDefault="00D24017" w:rsidP="00D240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DDC663" w14:textId="2EC6177A" w:rsidR="00D24017" w:rsidRPr="001B55D9" w:rsidRDefault="00D24017" w:rsidP="00D240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5D9">
        <w:rPr>
          <w:rFonts w:ascii="Times New Roman" w:hAnsi="Times New Roman" w:cs="Times New Roman"/>
          <w:sz w:val="24"/>
          <w:szCs w:val="24"/>
        </w:rPr>
        <w:lastRenderedPageBreak/>
        <w:t xml:space="preserve">In the NKI analysis, negative ADC and </w:t>
      </w:r>
      <w:proofErr w:type="spellStart"/>
      <w:r w:rsidRPr="001B55D9">
        <w:rPr>
          <w:rFonts w:ascii="Times New Roman" w:hAnsi="Times New Roman" w:cs="Times New Roman"/>
          <w:sz w:val="24"/>
          <w:szCs w:val="24"/>
        </w:rPr>
        <w:t>fBV</w:t>
      </w:r>
      <w:proofErr w:type="spellEnd"/>
      <w:r w:rsidRPr="001B55D9">
        <w:rPr>
          <w:rFonts w:ascii="Times New Roman" w:hAnsi="Times New Roman" w:cs="Times New Roman"/>
          <w:sz w:val="24"/>
          <w:szCs w:val="24"/>
        </w:rPr>
        <w:t xml:space="preserve"> voxel values were set to zero as they lacked physical significance. On the other hand, Hompland et al.</w:t>
      </w:r>
      <w:r w:rsidRPr="001B55D9">
        <w:rPr>
          <w:rFonts w:ascii="Times New Roman" w:hAnsi="Times New Roman" w:cs="Times New Roman"/>
          <w:sz w:val="24"/>
          <w:szCs w:val="24"/>
        </w:rPr>
        <w:fldChar w:fldCharType="begin"/>
      </w:r>
      <w:r w:rsidR="005275E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&lt;EndNote&gt;&lt;Cite&gt;&lt;Author&gt;Hompland&lt;/Author&gt;&lt;Year&gt;2018&lt;/Year&gt;&lt;RecNum&gt;84&lt;/RecNum&gt;&lt;DisplayText&gt;(2)&lt;/DisplayText&gt;&lt;record&gt;&lt;rec-number&gt;84&lt;/rec-number&gt;&lt;foreign-keys&gt;&lt;key app="EN" db-id="aa2wwp0whp092be2df4pwzzs5tvz5vrvx09r" timestamp="1683891864" guid="79c746e2-aec2-4b0b-85b8-4fdd25c24cd4"&gt;84&lt;/key&gt;&lt;/foreign-keys&gt;&lt;ref-type name="Journal Article"&gt;17&lt;/ref-type&gt;&lt;contributors&gt;&lt;authors&gt;&lt;author&gt;Hompland, Tord&lt;/author&gt;&lt;author&gt;Hole, Knut Håkon&lt;/author&gt;&lt;author&gt;Ragnum, Harald Bull&lt;/author&gt;&lt;author&gt;Aarnes, Eva-Katrine&lt;/author&gt;&lt;author&gt;Vlatkovic, Ljiljana&lt;/author&gt;&lt;author&gt;Lie, A. Kathrine&lt;/author&gt;&lt;author&gt;Patzke, Sebastian&lt;/author&gt;&lt;author&gt;Brennhovd, Bjørn&lt;/author&gt;&lt;author&gt;Seierstad, Therese&lt;/author&gt;&lt;author&gt;Lyng, Heidi&lt;/author&gt;&lt;/authors&gt;&lt;/contributors&gt;&lt;titles&gt;&lt;title&gt;Combined MR Imaging of Oxygen Consumption and Supply Reveals Tumor Hypoxia and Aggressiveness in Prostate Cancer Patients&lt;/title&gt;&lt;secondary-title&gt;Cancer Research&lt;/secondary-title&gt;&lt;/titles&gt;&lt;periodical&gt;&lt;full-title&gt;Cancer Research&lt;/full-title&gt;&lt;/periodical&gt;&lt;pages&gt;4774-4785&lt;/pages&gt;&lt;volume&gt;78&lt;/volume&gt;&lt;number&gt;16&lt;/number&gt;&lt;dates&gt;&lt;year&gt;2018&lt;/year&gt;&lt;/dates&gt;&lt;publisher&gt;American Association for Cancer Research (AACR)&lt;/publisher&gt;&lt;isbn&gt;0008-5472&lt;/isbn&gt;&lt;urls&gt;&lt;related-urls&gt;&lt;url&gt;https://dx.doi.org/10.1158/0008-5472.can-17-3806&lt;/url&gt;&lt;/related-urls&gt;&lt;/urls&gt;&lt;electronic-resource-num&gt;10.1158/0008-5472.can-17-3806&lt;/electronic-resource-num&gt;&lt;/record&gt;&lt;/Cite&gt;&lt;/EndNote&gt;</w:instrText>
      </w:r>
      <w:r w:rsidRPr="001B55D9">
        <w:rPr>
          <w:rFonts w:ascii="Times New Roman" w:hAnsi="Times New Roman" w:cs="Times New Roman"/>
          <w:sz w:val="24"/>
          <w:szCs w:val="24"/>
        </w:rPr>
        <w:fldChar w:fldCharType="separate"/>
      </w:r>
      <w:r w:rsidR="005275E6">
        <w:rPr>
          <w:rFonts w:ascii="Times New Roman" w:hAnsi="Times New Roman" w:cs="Times New Roman"/>
          <w:noProof/>
          <w:sz w:val="24"/>
          <w:szCs w:val="24"/>
        </w:rPr>
        <w:t>(2)</w:t>
      </w:r>
      <w:r w:rsidRPr="001B55D9">
        <w:rPr>
          <w:rFonts w:ascii="Times New Roman" w:hAnsi="Times New Roman" w:cs="Times New Roman"/>
          <w:sz w:val="24"/>
          <w:szCs w:val="24"/>
        </w:rPr>
        <w:fldChar w:fldCharType="end"/>
      </w:r>
      <w:r w:rsidRPr="001B55D9">
        <w:rPr>
          <w:rFonts w:ascii="Times New Roman" w:hAnsi="Times New Roman" w:cs="Times New Roman"/>
          <w:sz w:val="24"/>
          <w:szCs w:val="24"/>
        </w:rPr>
        <w:t xml:space="preserve"> analysis allowed these negative values while building and testing the CSH model.</w:t>
      </w:r>
    </w:p>
    <w:p w14:paraId="1280A70B" w14:textId="5681CBDA" w:rsidR="007748A6" w:rsidRPr="001B55D9" w:rsidRDefault="00D24017" w:rsidP="00D240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5D9">
        <w:rPr>
          <w:rFonts w:ascii="Times New Roman" w:hAnsi="Times New Roman" w:cs="Times New Roman"/>
          <w:sz w:val="24"/>
          <w:szCs w:val="24"/>
        </w:rPr>
        <w:t xml:space="preserve">The differences in acquisition and analysis resulted in shape variations in ADC and </w:t>
      </w:r>
      <w:proofErr w:type="spellStart"/>
      <w:r w:rsidRPr="001B55D9">
        <w:rPr>
          <w:rFonts w:ascii="Times New Roman" w:hAnsi="Times New Roman" w:cs="Times New Roman"/>
          <w:sz w:val="24"/>
          <w:szCs w:val="24"/>
        </w:rPr>
        <w:t>fBV</w:t>
      </w:r>
      <w:proofErr w:type="spellEnd"/>
      <w:r w:rsidRPr="001B55D9">
        <w:rPr>
          <w:rFonts w:ascii="Times New Roman" w:hAnsi="Times New Roman" w:cs="Times New Roman"/>
          <w:sz w:val="24"/>
          <w:szCs w:val="24"/>
        </w:rPr>
        <w:t xml:space="preserve"> distributions between the two cohorts (Supplementary Fig</w:t>
      </w:r>
      <w:r w:rsidR="00FC3A8A" w:rsidRPr="001B55D9">
        <w:rPr>
          <w:rFonts w:ascii="Times New Roman" w:hAnsi="Times New Roman" w:cs="Times New Roman"/>
          <w:sz w:val="24"/>
          <w:szCs w:val="24"/>
        </w:rPr>
        <w:t>ure</w:t>
      </w:r>
      <w:r w:rsidRPr="001B55D9">
        <w:rPr>
          <w:rFonts w:ascii="Times New Roman" w:hAnsi="Times New Roman" w:cs="Times New Roman"/>
          <w:sz w:val="24"/>
          <w:szCs w:val="24"/>
        </w:rPr>
        <w:t xml:space="preserve"> 1)</w:t>
      </w:r>
      <w:r w:rsidR="008975F4" w:rsidRPr="001B55D9">
        <w:rPr>
          <w:rFonts w:ascii="Times New Roman" w:hAnsi="Times New Roman" w:cs="Times New Roman"/>
          <w:sz w:val="24"/>
          <w:szCs w:val="24"/>
        </w:rPr>
        <w:t xml:space="preserve">. Especially for </w:t>
      </w:r>
      <w:proofErr w:type="spellStart"/>
      <w:r w:rsidR="008975F4" w:rsidRPr="001B55D9">
        <w:rPr>
          <w:rFonts w:ascii="Times New Roman" w:hAnsi="Times New Roman" w:cs="Times New Roman"/>
          <w:sz w:val="24"/>
          <w:szCs w:val="24"/>
        </w:rPr>
        <w:t>fBV</w:t>
      </w:r>
      <w:proofErr w:type="spellEnd"/>
      <w:r w:rsidR="008975F4" w:rsidRPr="001B55D9">
        <w:rPr>
          <w:rFonts w:ascii="Times New Roman" w:hAnsi="Times New Roman" w:cs="Times New Roman"/>
          <w:sz w:val="24"/>
          <w:szCs w:val="24"/>
        </w:rPr>
        <w:t xml:space="preserve"> the shape is different due to the difference in dealing with negative values. </w:t>
      </w:r>
      <w:r w:rsidR="007748A6" w:rsidRPr="001B55D9">
        <w:rPr>
          <w:rFonts w:ascii="Times New Roman" w:hAnsi="Times New Roman" w:cs="Times New Roman"/>
          <w:sz w:val="24"/>
          <w:szCs w:val="24"/>
        </w:rPr>
        <w:t xml:space="preserve">Nevertheless, the median scaling technique employed to compensate for technical differences (such as variations in MR protocols and scanner vendors) </w:t>
      </w:r>
      <w:r w:rsidR="00641EDF" w:rsidRPr="001B55D9">
        <w:rPr>
          <w:rStyle w:val="ui-provider"/>
          <w:rFonts w:ascii="Times New Roman" w:hAnsi="Times New Roman" w:cs="Times New Roman"/>
          <w:sz w:val="24"/>
          <w:szCs w:val="24"/>
        </w:rPr>
        <w:t xml:space="preserve">was robust to these differences in ADC and </w:t>
      </w:r>
      <w:proofErr w:type="spellStart"/>
      <w:r w:rsidR="00641EDF" w:rsidRPr="001B55D9">
        <w:rPr>
          <w:rStyle w:val="ui-provider"/>
          <w:rFonts w:ascii="Times New Roman" w:hAnsi="Times New Roman" w:cs="Times New Roman"/>
          <w:sz w:val="24"/>
          <w:szCs w:val="24"/>
        </w:rPr>
        <w:t>fBV</w:t>
      </w:r>
      <w:proofErr w:type="spellEnd"/>
      <w:r w:rsidR="00641EDF" w:rsidRPr="001B55D9">
        <w:rPr>
          <w:rStyle w:val="ui-provider"/>
          <w:rFonts w:ascii="Times New Roman" w:hAnsi="Times New Roman" w:cs="Times New Roman"/>
          <w:sz w:val="24"/>
          <w:szCs w:val="24"/>
        </w:rPr>
        <w:t xml:space="preserve"> analysis, as the median of the distributions remains unaffected.</w:t>
      </w:r>
    </w:p>
    <w:p w14:paraId="74357404" w14:textId="04582CA0" w:rsidR="00D24017" w:rsidRPr="001B55D9" w:rsidRDefault="00B945A5" w:rsidP="00D240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998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9.5pt">
            <v:imagedata r:id="rId4" o:title="adc_fBV_distributions"/>
          </v:shape>
        </w:pict>
      </w:r>
    </w:p>
    <w:p w14:paraId="41B0BE1B" w14:textId="5A0FCFEF" w:rsidR="00D24017" w:rsidRPr="001B55D9" w:rsidRDefault="00D24017" w:rsidP="00EF7B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55D9">
        <w:rPr>
          <w:rFonts w:ascii="Times New Roman" w:hAnsi="Times New Roman" w:cs="Times New Roman"/>
          <w:b/>
          <w:sz w:val="24"/>
          <w:szCs w:val="24"/>
        </w:rPr>
        <w:t>Fig</w:t>
      </w:r>
      <w:r w:rsidR="00FC3A8A" w:rsidRPr="001B55D9">
        <w:rPr>
          <w:rFonts w:ascii="Times New Roman" w:hAnsi="Times New Roman" w:cs="Times New Roman"/>
          <w:b/>
          <w:sz w:val="24"/>
          <w:szCs w:val="24"/>
        </w:rPr>
        <w:t>ure</w:t>
      </w:r>
      <w:r w:rsidRPr="001B5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DAC" w:rsidRPr="001B55D9">
        <w:rPr>
          <w:rFonts w:ascii="Times New Roman" w:hAnsi="Times New Roman" w:cs="Times New Roman"/>
          <w:b/>
          <w:sz w:val="24"/>
          <w:szCs w:val="24"/>
        </w:rPr>
        <w:t>S</w:t>
      </w:r>
      <w:r w:rsidRPr="001B55D9">
        <w:rPr>
          <w:rFonts w:ascii="Times New Roman" w:hAnsi="Times New Roman" w:cs="Times New Roman"/>
          <w:b/>
          <w:sz w:val="24"/>
          <w:szCs w:val="24"/>
        </w:rPr>
        <w:t>1: ADC and fBV distributions for all tumors voxels for the Oslo cohort (n=106) and the NKI matched cohort (n=106) before and after median scaling.</w:t>
      </w:r>
    </w:p>
    <w:p w14:paraId="3479E701" w14:textId="77777777" w:rsidR="00D24017" w:rsidRPr="001B55D9" w:rsidRDefault="00D24017" w:rsidP="00EF7B34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1B55D9"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14:paraId="439FD8FF" w14:textId="77777777" w:rsidR="00D24017" w:rsidRPr="00297E7E" w:rsidRDefault="00D24017" w:rsidP="00D24017">
      <w:pPr>
        <w:spacing w:line="360" w:lineRule="auto"/>
        <w:rPr>
          <w:rFonts w:ascii="Times New Roman" w:hAnsi="Times New Roman"/>
          <w:b/>
          <w:sz w:val="24"/>
          <w:lang w:val="nl-NL"/>
        </w:rPr>
      </w:pPr>
      <w:r w:rsidRPr="00297E7E">
        <w:rPr>
          <w:rFonts w:ascii="Times New Roman" w:hAnsi="Times New Roman"/>
          <w:b/>
          <w:sz w:val="24"/>
          <w:lang w:val="nl-NL"/>
        </w:rPr>
        <w:lastRenderedPageBreak/>
        <w:t>References</w:t>
      </w:r>
    </w:p>
    <w:p w14:paraId="66547AFD" w14:textId="77777777" w:rsidR="00D24017" w:rsidRPr="00297E7E" w:rsidRDefault="00D24017" w:rsidP="00D24017">
      <w:pPr>
        <w:keepNext/>
        <w:keepLines/>
        <w:spacing w:before="40" w:after="0"/>
        <w:outlineLvl w:val="1"/>
        <w:rPr>
          <w:rFonts w:ascii="Times New Roman" w:hAnsi="Times New Roman"/>
          <w:sz w:val="24"/>
          <w:lang w:val="nl-NL"/>
        </w:rPr>
      </w:pPr>
    </w:p>
    <w:p w14:paraId="48DC8B23" w14:textId="77777777" w:rsidR="005275E6" w:rsidRPr="005275E6" w:rsidRDefault="00D24017" w:rsidP="005275E6">
      <w:pPr>
        <w:pStyle w:val="EndNoteBibliography"/>
        <w:spacing w:after="0"/>
      </w:pPr>
      <w:r w:rsidRPr="001B55D9">
        <w:rPr>
          <w:rFonts w:ascii="Times New Roman" w:hAnsi="Times New Roman" w:cs="Times New Roman"/>
          <w:sz w:val="24"/>
          <w:szCs w:val="24"/>
        </w:rPr>
        <w:fldChar w:fldCharType="begin"/>
      </w:r>
      <w:r w:rsidRPr="00297E7E">
        <w:rPr>
          <w:rFonts w:ascii="Times New Roman" w:hAnsi="Times New Roman"/>
          <w:sz w:val="24"/>
          <w:lang w:val="nl-NL"/>
        </w:rPr>
        <w:instrText xml:space="preserve"> ADDIN EN.REFLIST </w:instrText>
      </w:r>
      <w:r w:rsidRPr="001B55D9">
        <w:rPr>
          <w:rFonts w:ascii="Times New Roman" w:hAnsi="Times New Roman" w:cs="Times New Roman"/>
          <w:sz w:val="24"/>
          <w:szCs w:val="24"/>
        </w:rPr>
        <w:fldChar w:fldCharType="separate"/>
      </w:r>
      <w:r w:rsidR="005275E6" w:rsidRPr="00297E7E">
        <w:rPr>
          <w:lang w:val="nl-NL"/>
        </w:rPr>
        <w:t>1.</w:t>
      </w:r>
      <w:r w:rsidR="005275E6" w:rsidRPr="00297E7E">
        <w:rPr>
          <w:lang w:val="nl-NL"/>
        </w:rPr>
        <w:tab/>
        <w:t xml:space="preserve">Kooreman ES, Van Houdt PJ, Keesman R, Van Pelt VWJ, Nowee ME, Pos F, et al. </w:t>
      </w:r>
      <w:r w:rsidR="005275E6" w:rsidRPr="005275E6">
        <w:t>Daily Intravoxel Incoherent Motion (IVIM) In Prostate Cancer Patients During MR-Guided Radiotherapy—A Multicenter Study. Frontiers in Oncology. 2021;11.</w:t>
      </w:r>
    </w:p>
    <w:p w14:paraId="3F1EABCF" w14:textId="77777777" w:rsidR="005275E6" w:rsidRPr="005275E6" w:rsidRDefault="005275E6" w:rsidP="005275E6">
      <w:pPr>
        <w:pStyle w:val="EndNoteBibliography"/>
      </w:pPr>
      <w:r w:rsidRPr="005275E6">
        <w:t>2.</w:t>
      </w:r>
      <w:r w:rsidRPr="005275E6">
        <w:tab/>
        <w:t>Hompland T, Hole KH, Ragnum HB, Aarnes E-K, Vlatkovic L, Lie AK, et al. Combined MR Imaging of Oxygen Consumption and Supply Reveals Tumor Hypoxia and Aggressiveness in Prostate Cancer Patients. Cancer Research. 2018;78(16):4774-85.</w:t>
      </w:r>
    </w:p>
    <w:p w14:paraId="4358D17C" w14:textId="5E716438" w:rsidR="003F6705" w:rsidRPr="001B55D9" w:rsidRDefault="00D24017" w:rsidP="00D24017">
      <w:pPr>
        <w:rPr>
          <w:rFonts w:ascii="Times New Roman" w:hAnsi="Times New Roman" w:cs="Times New Roman"/>
          <w:sz w:val="24"/>
          <w:szCs w:val="24"/>
        </w:rPr>
      </w:pPr>
      <w:r w:rsidRPr="001B55D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F6705" w:rsidRPr="001B5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a2wwp0whp092be2df4pwzzs5tvz5vrvx09r&quot;&gt;PhD_EndNote&lt;record-ids&gt;&lt;item&gt;84&lt;/item&gt;&lt;item&gt;130&lt;/item&gt;&lt;/record-ids&gt;&lt;/item&gt;&lt;/Libraries&gt;"/>
  </w:docVars>
  <w:rsids>
    <w:rsidRoot w:val="00692BFC"/>
    <w:rsid w:val="001064D0"/>
    <w:rsid w:val="00147B49"/>
    <w:rsid w:val="001903CB"/>
    <w:rsid w:val="001B55D9"/>
    <w:rsid w:val="001D06D7"/>
    <w:rsid w:val="002535F8"/>
    <w:rsid w:val="00297672"/>
    <w:rsid w:val="00297E7E"/>
    <w:rsid w:val="00334658"/>
    <w:rsid w:val="003F6705"/>
    <w:rsid w:val="005275E6"/>
    <w:rsid w:val="00574743"/>
    <w:rsid w:val="005C1D74"/>
    <w:rsid w:val="00620B0E"/>
    <w:rsid w:val="00641EDF"/>
    <w:rsid w:val="0064367F"/>
    <w:rsid w:val="00692BFC"/>
    <w:rsid w:val="006C152F"/>
    <w:rsid w:val="007748A6"/>
    <w:rsid w:val="007D2DAC"/>
    <w:rsid w:val="0084479C"/>
    <w:rsid w:val="008571B1"/>
    <w:rsid w:val="00884EBA"/>
    <w:rsid w:val="008975F4"/>
    <w:rsid w:val="00A2147E"/>
    <w:rsid w:val="00B56E14"/>
    <w:rsid w:val="00B81B26"/>
    <w:rsid w:val="00B945A5"/>
    <w:rsid w:val="00BD05A5"/>
    <w:rsid w:val="00D03FC0"/>
    <w:rsid w:val="00D24017"/>
    <w:rsid w:val="00D762BC"/>
    <w:rsid w:val="00DE273B"/>
    <w:rsid w:val="00E47218"/>
    <w:rsid w:val="00E84293"/>
    <w:rsid w:val="00E974D7"/>
    <w:rsid w:val="00EB5B57"/>
    <w:rsid w:val="00EF7B34"/>
    <w:rsid w:val="00F07FC8"/>
    <w:rsid w:val="00F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BCF7BC"/>
  <w15:chartTrackingRefBased/>
  <w15:docId w15:val="{E4861517-47C2-4E13-BEB5-A7D8328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17"/>
  </w:style>
  <w:style w:type="paragraph" w:styleId="Heading1">
    <w:name w:val="heading 1"/>
    <w:basedOn w:val="Normal"/>
    <w:next w:val="Normal"/>
    <w:link w:val="Heading1Char"/>
    <w:uiPriority w:val="9"/>
    <w:qFormat/>
    <w:rsid w:val="00190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24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01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4017"/>
    <w:rPr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D2401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24017"/>
    <w:rPr>
      <w:rFonts w:ascii="Calibri" w:hAnsi="Calibri" w:cs="Calibri"/>
      <w:noProof/>
    </w:rPr>
  </w:style>
  <w:style w:type="table" w:customStyle="1" w:styleId="TableGrid1">
    <w:name w:val="Table Grid1"/>
    <w:basedOn w:val="TableNormal"/>
    <w:next w:val="TableGrid"/>
    <w:uiPriority w:val="39"/>
    <w:rsid w:val="00D2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next w:val="GridTable2-Accent5"/>
    <w:uiPriority w:val="47"/>
    <w:rsid w:val="00D2401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39"/>
    <w:rsid w:val="00D2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2401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1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2401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4017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90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0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E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84EB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5F4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41EDF"/>
  </w:style>
  <w:style w:type="table" w:styleId="GridTable1Light">
    <w:name w:val="Grid Table 1 Light"/>
    <w:basedOn w:val="TableNormal"/>
    <w:uiPriority w:val="46"/>
    <w:rsid w:val="001B55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1B55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297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NKI-AVL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Fernandez Salamanca</dc:creator>
  <cp:keywords/>
  <dc:description/>
  <cp:lastModifiedBy>Petra van Houdt</cp:lastModifiedBy>
  <cp:revision>2</cp:revision>
  <dcterms:created xsi:type="dcterms:W3CDTF">2024-07-17T08:00:00Z</dcterms:created>
  <dcterms:modified xsi:type="dcterms:W3CDTF">2024-07-17T08:00:00Z</dcterms:modified>
</cp:coreProperties>
</file>