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FCC9" w14:textId="187B5263" w:rsidR="00994A3D" w:rsidRPr="00463CB0" w:rsidRDefault="00654E8F" w:rsidP="00463CB0">
      <w:pPr>
        <w:pStyle w:val="SupplementaryMaterial"/>
        <w:rPr>
          <w:b w:val="0"/>
        </w:rPr>
      </w:pPr>
      <w:r w:rsidRPr="001549D3">
        <w:t>Supplementary Material</w:t>
      </w:r>
    </w:p>
    <w:p w14:paraId="2F41EFC7" w14:textId="77777777" w:rsidR="00463CB0" w:rsidRPr="00463CB0" w:rsidRDefault="00463CB0" w:rsidP="00463CB0">
      <w:pPr>
        <w:rPr>
          <w:rFonts w:cs="Times New Roman"/>
          <w:szCs w:val="24"/>
        </w:rPr>
      </w:pPr>
      <w:bookmarkStart w:id="0" w:name="_GoBack"/>
      <w:bookmarkEnd w:id="0"/>
    </w:p>
    <w:p w14:paraId="0F9869EE" w14:textId="77777777" w:rsidR="00463CB0" w:rsidRPr="00463CB0" w:rsidRDefault="00463CB0" w:rsidP="00463CB0">
      <w:pPr>
        <w:pStyle w:val="Beschriftung"/>
      </w:pPr>
      <w:r w:rsidRPr="00463CB0">
        <w:t xml:space="preserve">Table </w:t>
      </w:r>
      <w:r w:rsidRPr="00463CB0">
        <w:fldChar w:fldCharType="begin"/>
      </w:r>
      <w:r w:rsidRPr="00463CB0">
        <w:instrText xml:space="preserve"> SEQ Table \* ARABIC </w:instrText>
      </w:r>
      <w:r w:rsidRPr="00463CB0">
        <w:fldChar w:fldCharType="separate"/>
      </w:r>
      <w:r w:rsidRPr="00463CB0">
        <w:rPr>
          <w:noProof/>
        </w:rPr>
        <w:t>1</w:t>
      </w:r>
      <w:r w:rsidRPr="00463CB0">
        <w:fldChar w:fldCharType="end"/>
      </w:r>
      <w:r w:rsidRPr="00463CB0">
        <w:t xml:space="preserve">. </w:t>
      </w:r>
      <w:r w:rsidRPr="00463CB0">
        <w:rPr>
          <w:b w:val="0"/>
        </w:rPr>
        <w:t>Results of HEXACO questionnaire of 193 German dairy farmers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2583"/>
        <w:gridCol w:w="2286"/>
      </w:tblGrid>
      <w:tr w:rsidR="00463CB0" w:rsidRPr="00463CB0" w14:paraId="086CB209" w14:textId="77777777" w:rsidTr="003719A2">
        <w:trPr>
          <w:trHeight w:val="313"/>
        </w:trPr>
        <w:tc>
          <w:tcPr>
            <w:tcW w:w="3791" w:type="dxa"/>
            <w:shd w:val="clear" w:color="auto" w:fill="auto"/>
            <w:vAlign w:val="center"/>
          </w:tcPr>
          <w:p w14:paraId="6524919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HEXACO Factor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6F36983" w14:textId="77777777" w:rsidR="00463CB0" w:rsidRPr="00463CB0" w:rsidRDefault="00463CB0" w:rsidP="00463CB0">
            <w:pPr>
              <w:tabs>
                <w:tab w:val="left" w:pos="955"/>
              </w:tabs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Mean </w:t>
            </w:r>
            <w:r w:rsidRPr="00463CB0">
              <w:rPr>
                <w:rFonts w:cs="Times New Roman"/>
                <w:color w:val="000000" w:themeColor="text1"/>
                <w:szCs w:val="24"/>
              </w:rPr>
              <w:sym w:font="Symbol" w:char="F0B1"/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standard deviation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3239DE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Minimum – Maximum</w:t>
            </w:r>
          </w:p>
        </w:tc>
      </w:tr>
      <w:tr w:rsidR="00463CB0" w:rsidRPr="00463CB0" w14:paraId="7AFE7B44" w14:textId="77777777" w:rsidTr="003719A2">
        <w:trPr>
          <w:trHeight w:val="234"/>
        </w:trPr>
        <w:tc>
          <w:tcPr>
            <w:tcW w:w="3791" w:type="dxa"/>
            <w:shd w:val="clear" w:color="auto" w:fill="auto"/>
            <w:vAlign w:val="center"/>
          </w:tcPr>
          <w:p w14:paraId="4CF6A8F6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Emotionality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DBCBDD9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2.8 </w:t>
            </w:r>
            <w:r w:rsidRPr="00463CB0">
              <w:rPr>
                <w:rFonts w:cs="Times New Roman"/>
                <w:color w:val="000000" w:themeColor="text1"/>
                <w:szCs w:val="24"/>
              </w:rPr>
              <w:sym w:font="Symbol" w:char="F0B1"/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0.6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CCC0C3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1.3 – 4.5</w:t>
            </w:r>
          </w:p>
        </w:tc>
      </w:tr>
      <w:tr w:rsidR="00463CB0" w:rsidRPr="00463CB0" w14:paraId="7BB4244F" w14:textId="77777777" w:rsidTr="003719A2">
        <w:trPr>
          <w:trHeight w:val="433"/>
        </w:trPr>
        <w:tc>
          <w:tcPr>
            <w:tcW w:w="3791" w:type="dxa"/>
            <w:shd w:val="clear" w:color="auto" w:fill="auto"/>
            <w:vAlign w:val="center"/>
          </w:tcPr>
          <w:p w14:paraId="0FCBCA41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Extraversion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81ADE7B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3.7 </w:t>
            </w:r>
            <w:r w:rsidRPr="00463CB0">
              <w:rPr>
                <w:rFonts w:cs="Times New Roman"/>
                <w:color w:val="000000" w:themeColor="text1"/>
                <w:szCs w:val="24"/>
              </w:rPr>
              <w:sym w:font="Symbol" w:char="F0B1"/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0.5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9D5D75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2.3 – 4.8</w:t>
            </w:r>
          </w:p>
        </w:tc>
      </w:tr>
      <w:tr w:rsidR="00463CB0" w:rsidRPr="00463CB0" w14:paraId="65396CF8" w14:textId="77777777" w:rsidTr="003719A2">
        <w:trPr>
          <w:trHeight w:val="420"/>
        </w:trPr>
        <w:tc>
          <w:tcPr>
            <w:tcW w:w="3791" w:type="dxa"/>
            <w:shd w:val="clear" w:color="auto" w:fill="auto"/>
            <w:vAlign w:val="center"/>
          </w:tcPr>
          <w:p w14:paraId="48E1F1D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Agreeableness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F08C591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3.0 </w:t>
            </w:r>
            <w:r w:rsidRPr="00463CB0">
              <w:rPr>
                <w:rFonts w:cs="Times New Roman"/>
                <w:color w:val="000000" w:themeColor="text1"/>
                <w:szCs w:val="24"/>
              </w:rPr>
              <w:sym w:font="Symbol" w:char="F0B1"/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0.5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2E8FFF1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1.5 – 4.5</w:t>
            </w:r>
          </w:p>
        </w:tc>
      </w:tr>
      <w:tr w:rsidR="00463CB0" w:rsidRPr="00463CB0" w14:paraId="43278D34" w14:textId="77777777" w:rsidTr="003719A2">
        <w:trPr>
          <w:trHeight w:val="420"/>
        </w:trPr>
        <w:tc>
          <w:tcPr>
            <w:tcW w:w="3791" w:type="dxa"/>
            <w:shd w:val="clear" w:color="auto" w:fill="auto"/>
            <w:vAlign w:val="center"/>
          </w:tcPr>
          <w:p w14:paraId="6716439A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Conscientiousness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5C2C5F28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3.7 </w:t>
            </w:r>
            <w:r w:rsidRPr="00463CB0">
              <w:rPr>
                <w:rFonts w:cs="Times New Roman"/>
                <w:color w:val="000000" w:themeColor="text1"/>
                <w:szCs w:val="24"/>
              </w:rPr>
              <w:sym w:font="Symbol" w:char="F0B1"/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0.6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2D4B772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2.0 – 5.0</w:t>
            </w:r>
          </w:p>
        </w:tc>
      </w:tr>
      <w:tr w:rsidR="00463CB0" w:rsidRPr="00463CB0" w14:paraId="48FE463E" w14:textId="77777777" w:rsidTr="003719A2">
        <w:trPr>
          <w:trHeight w:val="420"/>
        </w:trPr>
        <w:tc>
          <w:tcPr>
            <w:tcW w:w="3791" w:type="dxa"/>
            <w:shd w:val="clear" w:color="auto" w:fill="auto"/>
            <w:vAlign w:val="center"/>
          </w:tcPr>
          <w:p w14:paraId="5F60E2E6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Openness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22ED77A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3.4 </w:t>
            </w:r>
            <w:r w:rsidRPr="00463CB0">
              <w:rPr>
                <w:rFonts w:cs="Times New Roman"/>
                <w:color w:val="000000" w:themeColor="text1"/>
                <w:szCs w:val="24"/>
              </w:rPr>
              <w:sym w:font="Symbol" w:char="F0B1"/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0.6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B153E28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1.8 – 5.0</w:t>
            </w:r>
          </w:p>
        </w:tc>
      </w:tr>
    </w:tbl>
    <w:p w14:paraId="5DD99DD3" w14:textId="77777777" w:rsidR="00463CB0" w:rsidRPr="00463CB0" w:rsidRDefault="00463CB0" w:rsidP="00463CB0">
      <w:pPr>
        <w:rPr>
          <w:rFonts w:cs="Times New Roman"/>
          <w:color w:val="000000" w:themeColor="text1"/>
          <w:szCs w:val="24"/>
        </w:rPr>
      </w:pPr>
    </w:p>
    <w:p w14:paraId="008897AD" w14:textId="77777777" w:rsidR="00463CB0" w:rsidRPr="00463CB0" w:rsidRDefault="00463CB0" w:rsidP="00463CB0">
      <w:pPr>
        <w:rPr>
          <w:rFonts w:cs="Times New Roman"/>
          <w:color w:val="000000" w:themeColor="text1"/>
          <w:szCs w:val="24"/>
        </w:rPr>
      </w:pPr>
    </w:p>
    <w:p w14:paraId="132F6A2B" w14:textId="77777777" w:rsidR="00463CB0" w:rsidRPr="00463CB0" w:rsidRDefault="00463CB0" w:rsidP="00463CB0">
      <w:pPr>
        <w:pStyle w:val="Beschriftung"/>
        <w:rPr>
          <w:b w:val="0"/>
        </w:rPr>
      </w:pPr>
      <w:r w:rsidRPr="00463CB0">
        <w:t xml:space="preserve">Table </w:t>
      </w:r>
      <w:r w:rsidRPr="00463CB0">
        <w:fldChar w:fldCharType="begin"/>
      </w:r>
      <w:r w:rsidRPr="00463CB0">
        <w:instrText xml:space="preserve"> SEQ Table \* ARABIC </w:instrText>
      </w:r>
      <w:r w:rsidRPr="00463CB0">
        <w:fldChar w:fldCharType="separate"/>
      </w:r>
      <w:r w:rsidRPr="00463CB0">
        <w:rPr>
          <w:noProof/>
        </w:rPr>
        <w:t>2</w:t>
      </w:r>
      <w:r w:rsidRPr="00463CB0">
        <w:fldChar w:fldCharType="end"/>
      </w:r>
      <w:r w:rsidRPr="00463CB0">
        <w:t xml:space="preserve">. </w:t>
      </w:r>
      <w:r w:rsidRPr="00463CB0">
        <w:rPr>
          <w:b w:val="0"/>
        </w:rPr>
        <w:t xml:space="preserve">Results of the elastic net regression model for </w:t>
      </w:r>
      <w:proofErr w:type="spellStart"/>
      <w:r w:rsidRPr="00463CB0">
        <w:rPr>
          <w:b w:val="0"/>
          <w:i/>
          <w:iCs/>
        </w:rPr>
        <w:t>Fasciola</w:t>
      </w:r>
      <w:proofErr w:type="spellEnd"/>
      <w:r w:rsidRPr="00463CB0">
        <w:rPr>
          <w:b w:val="0"/>
          <w:i/>
          <w:iCs/>
        </w:rPr>
        <w:t xml:space="preserve"> hepatica</w:t>
      </w:r>
      <w:r w:rsidRPr="00463CB0">
        <w:rPr>
          <w:b w:val="0"/>
        </w:rPr>
        <w:t xml:space="preserve"> and </w:t>
      </w:r>
      <w:proofErr w:type="spellStart"/>
      <w:r w:rsidRPr="00463CB0">
        <w:rPr>
          <w:b w:val="0"/>
          <w:i/>
          <w:iCs/>
        </w:rPr>
        <w:t>Ostertagia</w:t>
      </w:r>
      <w:proofErr w:type="spellEnd"/>
      <w:r w:rsidRPr="00463CB0">
        <w:rPr>
          <w:b w:val="0"/>
          <w:i/>
          <w:iCs/>
        </w:rPr>
        <w:t xml:space="preserve"> </w:t>
      </w:r>
      <w:proofErr w:type="spellStart"/>
      <w:r w:rsidRPr="00463CB0">
        <w:rPr>
          <w:b w:val="0"/>
          <w:i/>
          <w:iCs/>
        </w:rPr>
        <w:t>ostertagi</w:t>
      </w:r>
      <w:proofErr w:type="spellEnd"/>
    </w:p>
    <w:tbl>
      <w:tblPr>
        <w:tblStyle w:val="Tabellenrast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2293"/>
        <w:gridCol w:w="2739"/>
      </w:tblGrid>
      <w:tr w:rsidR="00463CB0" w:rsidRPr="00463CB0" w14:paraId="71EE3949" w14:textId="77777777" w:rsidTr="003719A2">
        <w:trPr>
          <w:trHeight w:val="514"/>
        </w:trPr>
        <w:tc>
          <w:tcPr>
            <w:tcW w:w="2424" w:type="pct"/>
            <w:vMerge w:val="restart"/>
            <w:vAlign w:val="center"/>
          </w:tcPr>
          <w:p w14:paraId="1D08AE72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Covariate</w:t>
            </w:r>
          </w:p>
        </w:tc>
        <w:tc>
          <w:tcPr>
            <w:tcW w:w="1174" w:type="pct"/>
            <w:vAlign w:val="center"/>
          </w:tcPr>
          <w:p w14:paraId="7118FA9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Model for </w:t>
            </w:r>
            <w:proofErr w:type="spellStart"/>
            <w:r w:rsidRPr="00463CB0">
              <w:rPr>
                <w:rFonts w:cs="Times New Roman"/>
                <w:i/>
                <w:color w:val="000000" w:themeColor="text1"/>
                <w:szCs w:val="24"/>
              </w:rPr>
              <w:t>F.hepatica</w:t>
            </w:r>
            <w:proofErr w:type="spellEnd"/>
          </w:p>
        </w:tc>
        <w:tc>
          <w:tcPr>
            <w:tcW w:w="1402" w:type="pct"/>
            <w:vAlign w:val="center"/>
          </w:tcPr>
          <w:p w14:paraId="6651F9E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Model for </w:t>
            </w:r>
            <w:r w:rsidRPr="00463CB0">
              <w:rPr>
                <w:rFonts w:cs="Times New Roman"/>
                <w:i/>
                <w:color w:val="000000" w:themeColor="text1"/>
                <w:szCs w:val="24"/>
              </w:rPr>
              <w:t xml:space="preserve">O. </w:t>
            </w:r>
            <w:proofErr w:type="spellStart"/>
            <w:r w:rsidRPr="00463CB0">
              <w:rPr>
                <w:rFonts w:cs="Times New Roman"/>
                <w:i/>
                <w:color w:val="000000" w:themeColor="text1"/>
                <w:szCs w:val="24"/>
              </w:rPr>
              <w:t>ostertagi</w:t>
            </w:r>
            <w:proofErr w:type="spellEnd"/>
          </w:p>
        </w:tc>
      </w:tr>
      <w:tr w:rsidR="00463CB0" w:rsidRPr="00463CB0" w14:paraId="079946B0" w14:textId="77777777" w:rsidTr="003719A2">
        <w:trPr>
          <w:trHeight w:val="514"/>
        </w:trPr>
        <w:tc>
          <w:tcPr>
            <w:tcW w:w="2424" w:type="pct"/>
            <w:vMerge/>
            <w:vAlign w:val="center"/>
          </w:tcPr>
          <w:p w14:paraId="5B18A23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5B1361F5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Point estimate</w:t>
            </w:r>
            <w:r w:rsidRPr="00463CB0">
              <w:rPr>
                <w:rFonts w:cs="Times New Roman"/>
                <w:color w:val="000000" w:themeColor="text1"/>
                <w:szCs w:val="24"/>
                <w:vertAlign w:val="superscript"/>
              </w:rPr>
              <w:t>*</w:t>
            </w:r>
          </w:p>
        </w:tc>
        <w:tc>
          <w:tcPr>
            <w:tcW w:w="1402" w:type="pct"/>
            <w:vAlign w:val="center"/>
          </w:tcPr>
          <w:p w14:paraId="11A1CF45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Point estimate</w:t>
            </w:r>
            <w:r w:rsidRPr="00463CB0">
              <w:rPr>
                <w:rFonts w:cs="Times New Roman"/>
                <w:color w:val="000000" w:themeColor="text1"/>
                <w:szCs w:val="24"/>
                <w:vertAlign w:val="superscript"/>
              </w:rPr>
              <w:t>*</w:t>
            </w:r>
          </w:p>
        </w:tc>
      </w:tr>
      <w:tr w:rsidR="00463CB0" w:rsidRPr="00463CB0" w14:paraId="23B91D33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E397F6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 xml:space="preserve">Pasture access </w:t>
            </w:r>
          </w:p>
        </w:tc>
        <w:tc>
          <w:tcPr>
            <w:tcW w:w="1174" w:type="pct"/>
            <w:vAlign w:val="bottom"/>
          </w:tcPr>
          <w:p w14:paraId="1ED8F4AC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2.1</w:t>
            </w:r>
          </w:p>
        </w:tc>
        <w:tc>
          <w:tcPr>
            <w:tcW w:w="1402" w:type="pct"/>
            <w:vAlign w:val="bottom"/>
          </w:tcPr>
          <w:p w14:paraId="042F400E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1.1</w:t>
            </w:r>
          </w:p>
        </w:tc>
      </w:tr>
      <w:tr w:rsidR="00463CB0" w:rsidRPr="00463CB0" w14:paraId="57F0442D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0FA1E54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i/>
                <w:color w:val="000000" w:themeColor="text1"/>
                <w:szCs w:val="24"/>
              </w:rPr>
              <w:t xml:space="preserve">O. </w:t>
            </w:r>
            <w:proofErr w:type="spellStart"/>
            <w:r w:rsidRPr="00463CB0">
              <w:rPr>
                <w:rFonts w:cs="Times New Roman"/>
                <w:i/>
                <w:color w:val="000000" w:themeColor="text1"/>
                <w:szCs w:val="24"/>
              </w:rPr>
              <w:t>ostertagi</w:t>
            </w:r>
            <w:proofErr w:type="spellEnd"/>
            <w:r w:rsidRPr="00463C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63CB0">
              <w:rPr>
                <w:rFonts w:cs="Times New Roman"/>
                <w:color w:val="000000" w:themeColor="text1"/>
                <w:szCs w:val="24"/>
              </w:rPr>
              <w:t>seropositivity</w:t>
            </w:r>
            <w:proofErr w:type="spellEnd"/>
          </w:p>
        </w:tc>
        <w:tc>
          <w:tcPr>
            <w:tcW w:w="1174" w:type="pct"/>
            <w:vAlign w:val="bottom"/>
          </w:tcPr>
          <w:p w14:paraId="50E58DAA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1.5</w:t>
            </w:r>
          </w:p>
        </w:tc>
        <w:tc>
          <w:tcPr>
            <w:tcW w:w="1402" w:type="pct"/>
            <w:vAlign w:val="bottom"/>
          </w:tcPr>
          <w:p w14:paraId="1178876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_</w:t>
            </w:r>
          </w:p>
        </w:tc>
      </w:tr>
      <w:tr w:rsidR="00463CB0" w:rsidRPr="00463CB0" w14:paraId="76A4721A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7745B8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i/>
                <w:color w:val="000000" w:themeColor="text1"/>
                <w:szCs w:val="24"/>
              </w:rPr>
              <w:t>F. hepatica</w:t>
            </w:r>
            <w:r w:rsidRPr="00463CB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63CB0">
              <w:rPr>
                <w:rFonts w:cs="Times New Roman"/>
                <w:color w:val="000000" w:themeColor="text1"/>
                <w:szCs w:val="24"/>
              </w:rPr>
              <w:t>seropositivity</w:t>
            </w:r>
            <w:proofErr w:type="spellEnd"/>
          </w:p>
        </w:tc>
        <w:tc>
          <w:tcPr>
            <w:tcW w:w="1174" w:type="pct"/>
            <w:vAlign w:val="bottom"/>
          </w:tcPr>
          <w:p w14:paraId="05E8E49A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_</w:t>
            </w:r>
          </w:p>
        </w:tc>
        <w:tc>
          <w:tcPr>
            <w:tcW w:w="1402" w:type="pct"/>
            <w:vAlign w:val="bottom"/>
          </w:tcPr>
          <w:p w14:paraId="52969A25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1.3</w:t>
            </w:r>
          </w:p>
        </w:tc>
      </w:tr>
      <w:tr w:rsidR="00463CB0" w:rsidRPr="00463CB0" w14:paraId="2D8AB695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DBA4888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Conscientiousness</w:t>
            </w:r>
          </w:p>
        </w:tc>
        <w:tc>
          <w:tcPr>
            <w:tcW w:w="1174" w:type="pct"/>
            <w:vAlign w:val="bottom"/>
          </w:tcPr>
          <w:p w14:paraId="0E7D5144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0.2</w:t>
            </w:r>
          </w:p>
        </w:tc>
        <w:tc>
          <w:tcPr>
            <w:tcW w:w="1402" w:type="pct"/>
            <w:vAlign w:val="bottom"/>
          </w:tcPr>
          <w:p w14:paraId="78A35898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-0.05</w:t>
            </w:r>
          </w:p>
        </w:tc>
      </w:tr>
      <w:tr w:rsidR="00463CB0" w:rsidRPr="00463CB0" w14:paraId="5A481488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D8B333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Farming type (organic farming)</w:t>
            </w:r>
          </w:p>
        </w:tc>
        <w:tc>
          <w:tcPr>
            <w:tcW w:w="1174" w:type="pct"/>
            <w:vAlign w:val="bottom"/>
          </w:tcPr>
          <w:p w14:paraId="2039A572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0.2</w:t>
            </w:r>
          </w:p>
        </w:tc>
        <w:tc>
          <w:tcPr>
            <w:tcW w:w="1402" w:type="pct"/>
            <w:vAlign w:val="bottom"/>
          </w:tcPr>
          <w:p w14:paraId="5E8CCAAC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0.6</w:t>
            </w:r>
          </w:p>
        </w:tc>
      </w:tr>
      <w:tr w:rsidR="00463CB0" w:rsidRPr="00463CB0" w14:paraId="549A0820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A487C6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Agreeableness</w:t>
            </w:r>
          </w:p>
        </w:tc>
        <w:tc>
          <w:tcPr>
            <w:tcW w:w="1174" w:type="pct"/>
            <w:vAlign w:val="bottom"/>
          </w:tcPr>
          <w:p w14:paraId="69D92A79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-0.1</w:t>
            </w:r>
          </w:p>
        </w:tc>
        <w:tc>
          <w:tcPr>
            <w:tcW w:w="1402" w:type="pct"/>
            <w:vAlign w:val="bottom"/>
          </w:tcPr>
          <w:p w14:paraId="4B3F407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-0.02</w:t>
            </w:r>
          </w:p>
        </w:tc>
      </w:tr>
      <w:tr w:rsidR="00463CB0" w:rsidRPr="00463CB0" w14:paraId="7353637E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436921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lastRenderedPageBreak/>
              <w:t>Openness</w:t>
            </w:r>
          </w:p>
        </w:tc>
        <w:tc>
          <w:tcPr>
            <w:tcW w:w="1174" w:type="pct"/>
            <w:vAlign w:val="bottom"/>
          </w:tcPr>
          <w:p w14:paraId="2C9017E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2EF11F88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5EA3CC4A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611CD6BA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Extraversion</w:t>
            </w:r>
          </w:p>
        </w:tc>
        <w:tc>
          <w:tcPr>
            <w:tcW w:w="1174" w:type="pct"/>
            <w:vAlign w:val="bottom"/>
          </w:tcPr>
          <w:p w14:paraId="2A66847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39F3F250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-0.3</w:t>
            </w:r>
          </w:p>
        </w:tc>
      </w:tr>
      <w:tr w:rsidR="00463CB0" w:rsidRPr="00463CB0" w14:paraId="6E819C5F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4CE11BE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Emotionality</w:t>
            </w:r>
          </w:p>
        </w:tc>
        <w:tc>
          <w:tcPr>
            <w:tcW w:w="1174" w:type="pct"/>
            <w:vAlign w:val="bottom"/>
          </w:tcPr>
          <w:p w14:paraId="72F96C9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65C916EE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-0.3</w:t>
            </w:r>
          </w:p>
        </w:tc>
      </w:tr>
      <w:tr w:rsidR="00463CB0" w:rsidRPr="00463CB0" w14:paraId="7AD1229F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7D58E8A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Emotional relationship (neutral)</w:t>
            </w:r>
          </w:p>
        </w:tc>
        <w:tc>
          <w:tcPr>
            <w:tcW w:w="1174" w:type="pct"/>
            <w:vAlign w:val="bottom"/>
          </w:tcPr>
          <w:p w14:paraId="56E1A66E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02" w:type="pct"/>
            <w:vAlign w:val="bottom"/>
          </w:tcPr>
          <w:p w14:paraId="29BAB57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1E523D9A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442A200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Emotional relationship (agree)</w:t>
            </w:r>
          </w:p>
        </w:tc>
        <w:tc>
          <w:tcPr>
            <w:tcW w:w="1174" w:type="pct"/>
            <w:vAlign w:val="bottom"/>
          </w:tcPr>
          <w:p w14:paraId="1F1B8689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7E04EF0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75129853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54120BF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Income (supplementary income)</w:t>
            </w:r>
          </w:p>
        </w:tc>
        <w:tc>
          <w:tcPr>
            <w:tcW w:w="1174" w:type="pct"/>
            <w:vAlign w:val="bottom"/>
          </w:tcPr>
          <w:p w14:paraId="53630150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18364570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1F6937DC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656AA2A8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Satisfaction animal health (neutral)</w:t>
            </w:r>
          </w:p>
        </w:tc>
        <w:tc>
          <w:tcPr>
            <w:tcW w:w="1174" w:type="pct"/>
            <w:vAlign w:val="bottom"/>
          </w:tcPr>
          <w:p w14:paraId="46EF06A2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5ADE5B81" w14:textId="77777777" w:rsidR="00463CB0" w:rsidRPr="00463CB0" w:rsidRDefault="00463CB0" w:rsidP="00463CB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463CB0">
              <w:rPr>
                <w:rFonts w:cs="Times New Roman"/>
                <w:b/>
                <w:color w:val="000000" w:themeColor="text1"/>
                <w:szCs w:val="24"/>
              </w:rPr>
              <w:t>0.5</w:t>
            </w:r>
          </w:p>
        </w:tc>
      </w:tr>
      <w:tr w:rsidR="00463CB0" w:rsidRPr="00463CB0" w14:paraId="08917BDF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2290BE2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Satisfaction animal health (agree)</w:t>
            </w:r>
          </w:p>
        </w:tc>
        <w:tc>
          <w:tcPr>
            <w:tcW w:w="1174" w:type="pct"/>
            <w:vAlign w:val="bottom"/>
          </w:tcPr>
          <w:p w14:paraId="25DB9FBB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758BA04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51DCBE99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5049E20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Lameness</w:t>
            </w:r>
          </w:p>
        </w:tc>
        <w:tc>
          <w:tcPr>
            <w:tcW w:w="1174" w:type="pct"/>
            <w:vAlign w:val="bottom"/>
          </w:tcPr>
          <w:p w14:paraId="3D70A2A6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251C8310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-0.01</w:t>
            </w:r>
          </w:p>
        </w:tc>
      </w:tr>
      <w:tr w:rsidR="00463CB0" w:rsidRPr="00463CB0" w14:paraId="50AEB097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C88DFDB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Facial expression (at every calving)</w:t>
            </w:r>
          </w:p>
        </w:tc>
        <w:tc>
          <w:tcPr>
            <w:tcW w:w="1174" w:type="pct"/>
            <w:vAlign w:val="bottom"/>
          </w:tcPr>
          <w:p w14:paraId="4A009A1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142453C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0B9D865A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58B96CA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Facial expression (in conspicuous calving)</w:t>
            </w:r>
          </w:p>
        </w:tc>
        <w:tc>
          <w:tcPr>
            <w:tcW w:w="1174" w:type="pct"/>
            <w:vAlign w:val="bottom"/>
          </w:tcPr>
          <w:p w14:paraId="5C89BCF9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2B237DCA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53AA6C02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537E79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Herd size</w:t>
            </w:r>
          </w:p>
        </w:tc>
        <w:tc>
          <w:tcPr>
            <w:tcW w:w="1174" w:type="pct"/>
            <w:vAlign w:val="bottom"/>
          </w:tcPr>
          <w:p w14:paraId="3CBD3F5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433497A5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08CC1768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4BFE651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Year 1</w:t>
            </w:r>
          </w:p>
        </w:tc>
        <w:tc>
          <w:tcPr>
            <w:tcW w:w="1174" w:type="pct"/>
            <w:vAlign w:val="bottom"/>
          </w:tcPr>
          <w:p w14:paraId="7979E1F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53DE0E01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166ED10F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8AA987F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Year 2</w:t>
            </w:r>
          </w:p>
        </w:tc>
        <w:tc>
          <w:tcPr>
            <w:tcW w:w="1174" w:type="pct"/>
            <w:vAlign w:val="bottom"/>
          </w:tcPr>
          <w:p w14:paraId="63A8FDF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65234DDC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3302F7E5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456E1A6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Year 3</w:t>
            </w:r>
          </w:p>
        </w:tc>
        <w:tc>
          <w:tcPr>
            <w:tcW w:w="1174" w:type="pct"/>
            <w:vAlign w:val="bottom"/>
          </w:tcPr>
          <w:p w14:paraId="041B75C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2C82DA71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1E133815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3ECD3A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Pressure (neutral)</w:t>
            </w:r>
          </w:p>
        </w:tc>
        <w:tc>
          <w:tcPr>
            <w:tcW w:w="1174" w:type="pct"/>
            <w:vAlign w:val="bottom"/>
          </w:tcPr>
          <w:p w14:paraId="7F815242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1F3DB9F2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0D5B05E8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625B35D3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Pressure (agree)</w:t>
            </w:r>
          </w:p>
        </w:tc>
        <w:tc>
          <w:tcPr>
            <w:tcW w:w="1174" w:type="pct"/>
            <w:vAlign w:val="bottom"/>
          </w:tcPr>
          <w:p w14:paraId="602CC255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30281930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68F0F7B8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77FE42F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Continuing education (neutral)</w:t>
            </w:r>
          </w:p>
        </w:tc>
        <w:tc>
          <w:tcPr>
            <w:tcW w:w="1174" w:type="pct"/>
            <w:vAlign w:val="bottom"/>
          </w:tcPr>
          <w:p w14:paraId="705CB61B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2FC30DB0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5892FA63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7F5C456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Continuing education (agree)</w:t>
            </w:r>
          </w:p>
        </w:tc>
        <w:tc>
          <w:tcPr>
            <w:tcW w:w="1174" w:type="pct"/>
            <w:vAlign w:val="bottom"/>
          </w:tcPr>
          <w:p w14:paraId="11E062E8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683F1EF1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4AF3DD24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99C84F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Animal handling (neutral)</w:t>
            </w:r>
          </w:p>
        </w:tc>
        <w:tc>
          <w:tcPr>
            <w:tcW w:w="1174" w:type="pct"/>
            <w:vAlign w:val="bottom"/>
          </w:tcPr>
          <w:p w14:paraId="24A5481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73CAED05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7C00648D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08777F87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lastRenderedPageBreak/>
              <w:t>Animal handling (agree)</w:t>
            </w:r>
          </w:p>
        </w:tc>
        <w:tc>
          <w:tcPr>
            <w:tcW w:w="1174" w:type="pct"/>
            <w:vAlign w:val="bottom"/>
          </w:tcPr>
          <w:p w14:paraId="6B642286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7B8D6FA1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2887C2C3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61E792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Care of male calves (agree)</w:t>
            </w:r>
          </w:p>
        </w:tc>
        <w:tc>
          <w:tcPr>
            <w:tcW w:w="1174" w:type="pct"/>
            <w:vAlign w:val="bottom"/>
          </w:tcPr>
          <w:p w14:paraId="4A1B61E1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1786C6DD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0053D89B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7B476856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Patience (neutral)</w:t>
            </w:r>
          </w:p>
        </w:tc>
        <w:tc>
          <w:tcPr>
            <w:tcW w:w="1174" w:type="pct"/>
            <w:vAlign w:val="bottom"/>
          </w:tcPr>
          <w:p w14:paraId="7D7A9F9A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6449DA98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5CB4CF6B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2BA96E8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Patience (agree)</w:t>
            </w:r>
          </w:p>
        </w:tc>
        <w:tc>
          <w:tcPr>
            <w:tcW w:w="1174" w:type="pct"/>
            <w:vAlign w:val="bottom"/>
          </w:tcPr>
          <w:p w14:paraId="1E02F290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72205048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68E71436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1F86200D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Discussions improvement (neutral)</w:t>
            </w:r>
          </w:p>
        </w:tc>
        <w:tc>
          <w:tcPr>
            <w:tcW w:w="1174" w:type="pct"/>
            <w:vAlign w:val="bottom"/>
          </w:tcPr>
          <w:p w14:paraId="778866F0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46E20BAF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0.06</w:t>
            </w:r>
          </w:p>
        </w:tc>
      </w:tr>
      <w:tr w:rsidR="00463CB0" w:rsidRPr="00463CB0" w14:paraId="4EB72E18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03FF3B1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Discussions improvement (agree)</w:t>
            </w:r>
          </w:p>
        </w:tc>
        <w:tc>
          <w:tcPr>
            <w:tcW w:w="1174" w:type="pct"/>
            <w:vAlign w:val="bottom"/>
          </w:tcPr>
          <w:p w14:paraId="718A3179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5D98EC89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-0.1</w:t>
            </w:r>
          </w:p>
        </w:tc>
      </w:tr>
      <w:tr w:rsidR="00463CB0" w:rsidRPr="00463CB0" w14:paraId="6476543C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64701EE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Pain (neutral)</w:t>
            </w:r>
          </w:p>
        </w:tc>
        <w:tc>
          <w:tcPr>
            <w:tcW w:w="1174" w:type="pct"/>
            <w:vAlign w:val="bottom"/>
          </w:tcPr>
          <w:p w14:paraId="3C5DF84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7C0B9C41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128DCF43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2A8A6DEC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Pain (agree)</w:t>
            </w:r>
          </w:p>
        </w:tc>
        <w:tc>
          <w:tcPr>
            <w:tcW w:w="1174" w:type="pct"/>
            <w:vAlign w:val="bottom"/>
          </w:tcPr>
          <w:p w14:paraId="1BA7AE55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0AD7C42E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0101D005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6554F9CE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Observation behavior (at every calving)</w:t>
            </w:r>
          </w:p>
        </w:tc>
        <w:tc>
          <w:tcPr>
            <w:tcW w:w="1174" w:type="pct"/>
            <w:vAlign w:val="bottom"/>
          </w:tcPr>
          <w:p w14:paraId="08004415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0D4090DB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463CB0" w:rsidRPr="00463CB0" w14:paraId="72C94888" w14:textId="77777777" w:rsidTr="003719A2">
        <w:trPr>
          <w:trHeight w:val="514"/>
        </w:trPr>
        <w:tc>
          <w:tcPr>
            <w:tcW w:w="2424" w:type="pct"/>
            <w:vAlign w:val="center"/>
          </w:tcPr>
          <w:p w14:paraId="3D95F49B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Observation behavior (at conspicuous calving)</w:t>
            </w:r>
          </w:p>
        </w:tc>
        <w:tc>
          <w:tcPr>
            <w:tcW w:w="1174" w:type="pct"/>
            <w:vAlign w:val="bottom"/>
          </w:tcPr>
          <w:p w14:paraId="3CD5BF44" w14:textId="77777777" w:rsidR="00463CB0" w:rsidRPr="00463CB0" w:rsidRDefault="00463CB0" w:rsidP="00463CB0">
            <w:pPr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402" w:type="pct"/>
            <w:vAlign w:val="bottom"/>
          </w:tcPr>
          <w:p w14:paraId="6F177AA7" w14:textId="77777777" w:rsidR="00463CB0" w:rsidRPr="00463CB0" w:rsidRDefault="00463CB0" w:rsidP="00463CB0">
            <w:pPr>
              <w:keepNext/>
              <w:rPr>
                <w:rFonts w:cs="Times New Roman"/>
                <w:color w:val="000000" w:themeColor="text1"/>
                <w:szCs w:val="24"/>
              </w:rPr>
            </w:pPr>
            <w:r w:rsidRPr="00463CB0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14:paraId="2EF090F4" w14:textId="77777777" w:rsidR="00463CB0" w:rsidRPr="00463CB0" w:rsidRDefault="00463CB0" w:rsidP="00463CB0">
      <w:pPr>
        <w:pStyle w:val="KeinLeerraum"/>
        <w:rPr>
          <w:rFonts w:cs="Times New Roman"/>
          <w:szCs w:val="24"/>
        </w:rPr>
      </w:pPr>
      <w:r w:rsidRPr="00463CB0">
        <w:rPr>
          <w:rFonts w:cs="Times New Roman"/>
          <w:color w:val="000000" w:themeColor="text1"/>
          <w:szCs w:val="24"/>
          <w:vertAlign w:val="superscript"/>
        </w:rPr>
        <w:t xml:space="preserve">* </w:t>
      </w:r>
      <w:r w:rsidRPr="00463CB0">
        <w:rPr>
          <w:rFonts w:cs="Times New Roman"/>
          <w:szCs w:val="24"/>
        </w:rPr>
        <w:t xml:space="preserve">Larger values of coefficients reflect a stronger influence of the corresponding covariate on the target. Covariates set to zero with no influence on </w:t>
      </w:r>
      <w:proofErr w:type="spellStart"/>
      <w:r w:rsidRPr="00463CB0">
        <w:rPr>
          <w:rFonts w:cs="Times New Roman"/>
          <w:szCs w:val="24"/>
        </w:rPr>
        <w:t>seropositivity</w:t>
      </w:r>
      <w:proofErr w:type="spellEnd"/>
      <w:r w:rsidRPr="00463CB0">
        <w:rPr>
          <w:rFonts w:cs="Times New Roman"/>
          <w:szCs w:val="24"/>
        </w:rPr>
        <w:t xml:space="preserve"> are marked by “.”. Values &gt; 0.1 are in bold.</w:t>
      </w:r>
    </w:p>
    <w:p w14:paraId="5DF5AABE" w14:textId="77777777" w:rsidR="00463CB0" w:rsidRPr="00463CB0" w:rsidRDefault="00463CB0" w:rsidP="00463CB0">
      <w:pPr>
        <w:rPr>
          <w:rFonts w:cs="Times New Roman"/>
          <w:color w:val="000000" w:themeColor="text1"/>
          <w:szCs w:val="24"/>
        </w:rPr>
      </w:pPr>
    </w:p>
    <w:p w14:paraId="283D6E3A" w14:textId="77777777" w:rsidR="00463CB0" w:rsidRDefault="00463CB0" w:rsidP="00994A3D">
      <w:pPr>
        <w:keepNext/>
        <w:rPr>
          <w:rFonts w:cs="Times New Roman"/>
          <w:szCs w:val="24"/>
        </w:rPr>
      </w:pPr>
    </w:p>
    <w:p w14:paraId="78A5A295" w14:textId="13B75F87" w:rsidR="00463CB0" w:rsidRDefault="00463CB0" w:rsidP="00994A3D">
      <w:pPr>
        <w:keepNext/>
        <w:rPr>
          <w:rFonts w:cs="Times New Roman"/>
          <w:szCs w:val="24"/>
        </w:rPr>
      </w:pPr>
    </w:p>
    <w:p w14:paraId="7CD88539" w14:textId="197BCAFA" w:rsidR="00463CB0" w:rsidRDefault="00463CB0" w:rsidP="00994A3D">
      <w:pPr>
        <w:keepNext/>
        <w:rPr>
          <w:rFonts w:cs="Times New Roman"/>
          <w:szCs w:val="24"/>
        </w:rPr>
      </w:pPr>
    </w:p>
    <w:p w14:paraId="3D26A89F" w14:textId="0F1FA066" w:rsidR="00463CB0" w:rsidRDefault="00463CB0" w:rsidP="00994A3D">
      <w:pPr>
        <w:keepNext/>
        <w:rPr>
          <w:rFonts w:cs="Times New Roman"/>
          <w:szCs w:val="24"/>
        </w:rPr>
      </w:pPr>
    </w:p>
    <w:p w14:paraId="4B592B37" w14:textId="77777777" w:rsidR="00463CB0" w:rsidRPr="001549D3" w:rsidRDefault="00463CB0" w:rsidP="00994A3D">
      <w:pPr>
        <w:keepNext/>
        <w:rPr>
          <w:rFonts w:cs="Times New Roman"/>
          <w:szCs w:val="24"/>
        </w:rPr>
      </w:pPr>
    </w:p>
    <w:p w14:paraId="58F1AED1" w14:textId="055B1EC0" w:rsidR="00DE23E8" w:rsidRPr="00463CB0" w:rsidRDefault="00994A3D" w:rsidP="00463CB0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463CB0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7E81" w14:textId="77777777" w:rsidR="002F2600" w:rsidRDefault="002F2600" w:rsidP="00117666">
      <w:pPr>
        <w:spacing w:after="0"/>
      </w:pPr>
      <w:r>
        <w:separator/>
      </w:r>
    </w:p>
  </w:endnote>
  <w:endnote w:type="continuationSeparator" w:id="0">
    <w:p w14:paraId="031D382D" w14:textId="77777777" w:rsidR="002F2600" w:rsidRDefault="002F260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17347" w14:textId="77777777" w:rsidR="002F2600" w:rsidRDefault="002F2600" w:rsidP="00117666">
      <w:pPr>
        <w:spacing w:after="0"/>
      </w:pPr>
      <w:r>
        <w:separator/>
      </w:r>
    </w:p>
  </w:footnote>
  <w:footnote w:type="continuationSeparator" w:id="0">
    <w:p w14:paraId="72EC2580" w14:textId="77777777" w:rsidR="002F2600" w:rsidRDefault="002F260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F2600"/>
    <w:rsid w:val="003544FB"/>
    <w:rsid w:val="003D2D47"/>
    <w:rsid w:val="003D2F2D"/>
    <w:rsid w:val="00401590"/>
    <w:rsid w:val="00447801"/>
    <w:rsid w:val="00452E9C"/>
    <w:rsid w:val="00463CB0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88681D5D-821D-3148-8BFC-A677EB5C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3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Andreas Oehm</cp:lastModifiedBy>
  <cp:revision>2</cp:revision>
  <cp:lastPrinted>2013-10-03T12:51:00Z</cp:lastPrinted>
  <dcterms:created xsi:type="dcterms:W3CDTF">2024-05-17T13:51:00Z</dcterms:created>
  <dcterms:modified xsi:type="dcterms:W3CDTF">2024-05-17T13:51:00Z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