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BA925" w14:textId="77777777" w:rsidR="00E40303" w:rsidRDefault="00000000">
      <w:pPr>
        <w:jc w:val="center"/>
        <w:rPr>
          <w:b/>
          <w:bCs/>
          <w:sz w:val="32"/>
          <w:szCs w:val="32"/>
        </w:rPr>
      </w:pPr>
      <w:r>
        <w:rPr>
          <w:rFonts w:hint="eastAsia"/>
          <w:b/>
          <w:bCs/>
          <w:sz w:val="32"/>
          <w:szCs w:val="32"/>
        </w:rPr>
        <w:t>Supplementary Materials</w:t>
      </w:r>
    </w:p>
    <w:p w14:paraId="54D4D1EC" w14:textId="77777777" w:rsidR="00E40303" w:rsidRDefault="00000000">
      <w:pPr>
        <w:jc w:val="center"/>
        <w:rPr>
          <w:b/>
          <w:bCs/>
          <w:sz w:val="32"/>
          <w:szCs w:val="32"/>
        </w:rPr>
      </w:pPr>
      <w:r>
        <w:rPr>
          <w:rFonts w:hint="eastAsia"/>
          <w:b/>
          <w:bCs/>
          <w:sz w:val="32"/>
          <w:szCs w:val="32"/>
        </w:rPr>
        <w:t>of</w:t>
      </w:r>
    </w:p>
    <w:p w14:paraId="038630A4" w14:textId="77777777" w:rsidR="00E40303" w:rsidRDefault="00000000">
      <w:pPr>
        <w:rPr>
          <w:b/>
          <w:bCs/>
          <w:sz w:val="32"/>
          <w:szCs w:val="32"/>
        </w:rPr>
      </w:pPr>
      <w:r>
        <w:rPr>
          <w:rFonts w:hint="eastAsia"/>
          <w:b/>
          <w:bCs/>
          <w:sz w:val="32"/>
          <w:szCs w:val="32"/>
        </w:rPr>
        <w:t>Exosome-Drug Conjugates Delivery: a Promising Strategy for Ameliorating the Pharmacokinetic Profile of Artesunate</w:t>
      </w:r>
    </w:p>
    <w:p w14:paraId="4E04B841" w14:textId="77777777" w:rsidR="00E40303" w:rsidRDefault="00000000">
      <w:pPr>
        <w:rPr>
          <w:i/>
          <w:iCs/>
          <w:sz w:val="24"/>
        </w:rPr>
      </w:pPr>
      <w:r>
        <w:rPr>
          <w:rFonts w:hint="eastAsia"/>
          <w:i/>
          <w:iCs/>
          <w:sz w:val="24"/>
        </w:rPr>
        <w:t xml:space="preserve">Da Wang </w:t>
      </w:r>
      <w:r>
        <w:rPr>
          <w:rFonts w:hint="eastAsia"/>
          <w:i/>
          <w:iCs/>
          <w:sz w:val="24"/>
          <w:vertAlign w:val="superscript"/>
        </w:rPr>
        <w:t>a</w:t>
      </w:r>
      <w:r>
        <w:rPr>
          <w:rFonts w:hint="eastAsia"/>
          <w:i/>
          <w:iCs/>
          <w:sz w:val="24"/>
        </w:rPr>
        <w:t xml:space="preserve">, </w:t>
      </w:r>
      <w:proofErr w:type="spellStart"/>
      <w:r>
        <w:rPr>
          <w:rFonts w:hint="eastAsia"/>
          <w:i/>
          <w:iCs/>
          <w:sz w:val="24"/>
        </w:rPr>
        <w:t>Yunfei</w:t>
      </w:r>
      <w:proofErr w:type="spellEnd"/>
      <w:r>
        <w:rPr>
          <w:rFonts w:hint="eastAsia"/>
          <w:i/>
          <w:iCs/>
          <w:sz w:val="24"/>
        </w:rPr>
        <w:t xml:space="preserve"> Bai </w:t>
      </w:r>
      <w:r>
        <w:rPr>
          <w:rFonts w:hint="eastAsia"/>
          <w:i/>
          <w:iCs/>
          <w:sz w:val="24"/>
          <w:vertAlign w:val="superscript"/>
        </w:rPr>
        <w:t>a</w:t>
      </w:r>
      <w:r>
        <w:rPr>
          <w:rFonts w:hint="eastAsia"/>
          <w:i/>
          <w:iCs/>
          <w:sz w:val="24"/>
        </w:rPr>
        <w:t xml:space="preserve">, </w:t>
      </w:r>
      <w:proofErr w:type="spellStart"/>
      <w:r>
        <w:rPr>
          <w:rFonts w:hint="eastAsia"/>
          <w:i/>
          <w:iCs/>
          <w:sz w:val="24"/>
        </w:rPr>
        <w:t>Guogang</w:t>
      </w:r>
      <w:proofErr w:type="spellEnd"/>
      <w:r>
        <w:rPr>
          <w:rFonts w:hint="eastAsia"/>
          <w:i/>
          <w:iCs/>
          <w:sz w:val="24"/>
        </w:rPr>
        <w:t xml:space="preserve"> Cheng </w:t>
      </w:r>
      <w:r>
        <w:rPr>
          <w:rFonts w:hint="eastAsia"/>
          <w:i/>
          <w:iCs/>
          <w:sz w:val="24"/>
          <w:vertAlign w:val="superscript"/>
        </w:rPr>
        <w:t>a</w:t>
      </w:r>
      <w:r>
        <w:rPr>
          <w:rFonts w:hint="eastAsia"/>
          <w:i/>
          <w:iCs/>
          <w:sz w:val="24"/>
        </w:rPr>
        <w:t xml:space="preserve">, </w:t>
      </w:r>
      <w:proofErr w:type="spellStart"/>
      <w:r>
        <w:rPr>
          <w:rFonts w:hint="eastAsia"/>
          <w:i/>
          <w:iCs/>
          <w:sz w:val="24"/>
        </w:rPr>
        <w:t>Shengqiang</w:t>
      </w:r>
      <w:proofErr w:type="spellEnd"/>
      <w:r>
        <w:rPr>
          <w:rFonts w:hint="eastAsia"/>
          <w:i/>
          <w:iCs/>
          <w:sz w:val="24"/>
        </w:rPr>
        <w:t xml:space="preserve"> Shen </w:t>
      </w:r>
      <w:r>
        <w:rPr>
          <w:rFonts w:hint="eastAsia"/>
          <w:i/>
          <w:iCs/>
          <w:sz w:val="24"/>
          <w:vertAlign w:val="superscript"/>
        </w:rPr>
        <w:t>a</w:t>
      </w:r>
      <w:r>
        <w:rPr>
          <w:rFonts w:hint="eastAsia"/>
          <w:i/>
          <w:iCs/>
          <w:sz w:val="24"/>
        </w:rPr>
        <w:t xml:space="preserve">, </w:t>
      </w:r>
      <w:proofErr w:type="spellStart"/>
      <w:r>
        <w:rPr>
          <w:rFonts w:hint="eastAsia"/>
          <w:i/>
          <w:iCs/>
          <w:sz w:val="24"/>
        </w:rPr>
        <w:t>Gengwu</w:t>
      </w:r>
      <w:proofErr w:type="spellEnd"/>
      <w:r>
        <w:rPr>
          <w:rFonts w:hint="eastAsia"/>
          <w:i/>
          <w:iCs/>
          <w:sz w:val="24"/>
        </w:rPr>
        <w:t xml:space="preserve"> Xiao </w:t>
      </w:r>
      <w:r>
        <w:rPr>
          <w:rFonts w:hint="eastAsia"/>
          <w:i/>
          <w:iCs/>
          <w:sz w:val="24"/>
          <w:vertAlign w:val="superscript"/>
        </w:rPr>
        <w:t>a</w:t>
      </w:r>
      <w:r>
        <w:rPr>
          <w:rFonts w:hint="eastAsia"/>
          <w:i/>
          <w:iCs/>
          <w:sz w:val="24"/>
        </w:rPr>
        <w:t xml:space="preserve">, </w:t>
      </w:r>
      <w:proofErr w:type="spellStart"/>
      <w:r>
        <w:rPr>
          <w:rFonts w:hint="eastAsia"/>
          <w:i/>
          <w:iCs/>
          <w:sz w:val="24"/>
        </w:rPr>
        <w:t>Demei</w:t>
      </w:r>
      <w:proofErr w:type="spellEnd"/>
      <w:r>
        <w:rPr>
          <w:rFonts w:hint="eastAsia"/>
          <w:i/>
          <w:iCs/>
          <w:sz w:val="24"/>
        </w:rPr>
        <w:t xml:space="preserve"> Ma </w:t>
      </w:r>
      <w:r>
        <w:rPr>
          <w:rFonts w:hint="eastAsia"/>
          <w:i/>
          <w:iCs/>
          <w:sz w:val="24"/>
          <w:vertAlign w:val="superscript"/>
        </w:rPr>
        <w:t>a</w:t>
      </w:r>
      <w:r>
        <w:rPr>
          <w:rFonts w:hint="eastAsia"/>
          <w:i/>
          <w:iCs/>
          <w:sz w:val="24"/>
        </w:rPr>
        <w:t xml:space="preserve">, </w:t>
      </w:r>
      <w:proofErr w:type="spellStart"/>
      <w:r>
        <w:rPr>
          <w:rFonts w:hint="eastAsia"/>
          <w:i/>
          <w:iCs/>
          <w:sz w:val="24"/>
        </w:rPr>
        <w:t>Ganggang</w:t>
      </w:r>
      <w:proofErr w:type="spellEnd"/>
      <w:r>
        <w:rPr>
          <w:rFonts w:hint="eastAsia"/>
          <w:i/>
          <w:iCs/>
          <w:sz w:val="24"/>
        </w:rPr>
        <w:t xml:space="preserve"> Zhao </w:t>
      </w:r>
      <w:r>
        <w:rPr>
          <w:rFonts w:hint="eastAsia"/>
          <w:i/>
          <w:iCs/>
          <w:sz w:val="24"/>
          <w:vertAlign w:val="superscript"/>
        </w:rPr>
        <w:t>a</w:t>
      </w:r>
      <w:r>
        <w:rPr>
          <w:rFonts w:hint="eastAsia"/>
          <w:i/>
          <w:iCs/>
          <w:sz w:val="24"/>
        </w:rPr>
        <w:t xml:space="preserve">, Wei Chen </w:t>
      </w:r>
      <w:proofErr w:type="spellStart"/>
      <w:proofErr w:type="gramStart"/>
      <w:r>
        <w:rPr>
          <w:rFonts w:hint="eastAsia"/>
          <w:i/>
          <w:iCs/>
          <w:sz w:val="24"/>
          <w:vertAlign w:val="superscript"/>
        </w:rPr>
        <w:t>a,b</w:t>
      </w:r>
      <w:proofErr w:type="spellEnd"/>
      <w:proofErr w:type="gramEnd"/>
      <w:r>
        <w:rPr>
          <w:rFonts w:hint="eastAsia"/>
          <w:i/>
          <w:iCs/>
          <w:sz w:val="24"/>
        </w:rPr>
        <w:t xml:space="preserve">, </w:t>
      </w:r>
      <w:proofErr w:type="spellStart"/>
      <w:r>
        <w:rPr>
          <w:rFonts w:hint="eastAsia"/>
          <w:i/>
          <w:iCs/>
          <w:sz w:val="24"/>
        </w:rPr>
        <w:t>Tianshi</w:t>
      </w:r>
      <w:proofErr w:type="spellEnd"/>
      <w:r>
        <w:rPr>
          <w:rFonts w:hint="eastAsia"/>
          <w:i/>
          <w:iCs/>
          <w:sz w:val="24"/>
        </w:rPr>
        <w:t xml:space="preserve"> Li </w:t>
      </w:r>
      <w:r>
        <w:rPr>
          <w:rFonts w:hint="eastAsia"/>
          <w:i/>
          <w:iCs/>
          <w:sz w:val="24"/>
          <w:vertAlign w:val="superscript"/>
        </w:rPr>
        <w:t>c</w:t>
      </w:r>
      <w:r>
        <w:rPr>
          <w:rFonts w:hint="eastAsia"/>
          <w:i/>
          <w:iCs/>
          <w:sz w:val="24"/>
        </w:rPr>
        <w:t xml:space="preserve">, Litao Zhang </w:t>
      </w:r>
      <w:r>
        <w:rPr>
          <w:rFonts w:hint="eastAsia"/>
          <w:i/>
          <w:iCs/>
          <w:sz w:val="24"/>
          <w:vertAlign w:val="superscript"/>
        </w:rPr>
        <w:t>d*</w:t>
      </w:r>
      <w:r>
        <w:rPr>
          <w:rFonts w:hint="eastAsia"/>
          <w:i/>
          <w:iCs/>
          <w:sz w:val="24"/>
        </w:rPr>
        <w:t xml:space="preserve">, </w:t>
      </w:r>
      <w:proofErr w:type="spellStart"/>
      <w:r>
        <w:rPr>
          <w:rFonts w:hint="eastAsia"/>
          <w:i/>
          <w:iCs/>
          <w:sz w:val="24"/>
        </w:rPr>
        <w:t>Xiaohu</w:t>
      </w:r>
      <w:proofErr w:type="spellEnd"/>
      <w:r>
        <w:rPr>
          <w:rFonts w:hint="eastAsia"/>
          <w:i/>
          <w:iCs/>
          <w:sz w:val="24"/>
        </w:rPr>
        <w:t xml:space="preserve"> Ge </w:t>
      </w:r>
      <w:proofErr w:type="spellStart"/>
      <w:r>
        <w:rPr>
          <w:rFonts w:hint="eastAsia"/>
          <w:i/>
          <w:iCs/>
          <w:sz w:val="24"/>
          <w:vertAlign w:val="superscript"/>
        </w:rPr>
        <w:t>a,b</w:t>
      </w:r>
      <w:proofErr w:type="spellEnd"/>
      <w:r>
        <w:rPr>
          <w:rFonts w:hint="eastAsia"/>
          <w:i/>
          <w:iCs/>
          <w:sz w:val="24"/>
          <w:vertAlign w:val="superscript"/>
        </w:rPr>
        <w:t>*</w:t>
      </w:r>
    </w:p>
    <w:p w14:paraId="261D63B1" w14:textId="77777777" w:rsidR="00E40303" w:rsidRDefault="00E40303">
      <w:pPr>
        <w:rPr>
          <w:sz w:val="24"/>
        </w:rPr>
      </w:pPr>
    </w:p>
    <w:p w14:paraId="50863B1E" w14:textId="77777777" w:rsidR="00E40303" w:rsidRDefault="00000000">
      <w:pPr>
        <w:rPr>
          <w:i/>
          <w:iCs/>
          <w:sz w:val="24"/>
        </w:rPr>
      </w:pPr>
      <w:r>
        <w:rPr>
          <w:rFonts w:hint="eastAsia"/>
          <w:i/>
          <w:iCs/>
          <w:sz w:val="24"/>
          <w:vertAlign w:val="superscript"/>
        </w:rPr>
        <w:t xml:space="preserve">a </w:t>
      </w:r>
      <w:r>
        <w:rPr>
          <w:rFonts w:hint="eastAsia"/>
          <w:i/>
          <w:iCs/>
          <w:sz w:val="24"/>
        </w:rPr>
        <w:t>TINGO Exosomes Technology Co., Ltd, Tianjin, China</w:t>
      </w:r>
    </w:p>
    <w:p w14:paraId="4896C21E" w14:textId="77777777" w:rsidR="00E40303" w:rsidRDefault="00000000">
      <w:pPr>
        <w:rPr>
          <w:i/>
          <w:iCs/>
          <w:sz w:val="24"/>
        </w:rPr>
      </w:pPr>
      <w:r>
        <w:rPr>
          <w:rFonts w:hint="eastAsia"/>
          <w:i/>
          <w:iCs/>
          <w:sz w:val="24"/>
          <w:vertAlign w:val="superscript"/>
        </w:rPr>
        <w:t xml:space="preserve">b </w:t>
      </w:r>
      <w:r>
        <w:rPr>
          <w:rFonts w:hint="eastAsia"/>
          <w:i/>
          <w:iCs/>
          <w:sz w:val="24"/>
        </w:rPr>
        <w:t>Exosome Origin (Shenzhen) Technology Co., Ltd, Shenzhen, China</w:t>
      </w:r>
    </w:p>
    <w:p w14:paraId="5AA1D908" w14:textId="77777777" w:rsidR="00E40303" w:rsidRDefault="00000000">
      <w:pPr>
        <w:rPr>
          <w:i/>
          <w:iCs/>
          <w:sz w:val="24"/>
        </w:rPr>
      </w:pPr>
      <w:r>
        <w:rPr>
          <w:rFonts w:hint="eastAsia"/>
          <w:i/>
          <w:iCs/>
          <w:sz w:val="24"/>
          <w:vertAlign w:val="superscript"/>
        </w:rPr>
        <w:t xml:space="preserve">c </w:t>
      </w:r>
      <w:r>
        <w:rPr>
          <w:rFonts w:hint="eastAsia"/>
          <w:i/>
          <w:iCs/>
          <w:sz w:val="24"/>
        </w:rPr>
        <w:t>Plastic &amp; Cosmetic Surgery, Peking University Shenzhen Hospital, Guangdong, China</w:t>
      </w:r>
    </w:p>
    <w:p w14:paraId="0E0FE379" w14:textId="77777777" w:rsidR="00E40303" w:rsidRDefault="00000000">
      <w:pPr>
        <w:rPr>
          <w:i/>
          <w:iCs/>
          <w:sz w:val="24"/>
        </w:rPr>
      </w:pPr>
      <w:proofErr w:type="spellStart"/>
      <w:r>
        <w:rPr>
          <w:rFonts w:hint="eastAsia"/>
          <w:i/>
          <w:iCs/>
          <w:sz w:val="24"/>
          <w:vertAlign w:val="superscript"/>
        </w:rPr>
        <w:t>d</w:t>
      </w:r>
      <w:r>
        <w:rPr>
          <w:i/>
          <w:iCs/>
          <w:sz w:val="24"/>
        </w:rPr>
        <w:t>Department</w:t>
      </w:r>
      <w:proofErr w:type="spellEnd"/>
      <w:r>
        <w:rPr>
          <w:i/>
          <w:iCs/>
          <w:sz w:val="24"/>
        </w:rPr>
        <w:t xml:space="preserve"> of Dermatology, Tianjin Academy of Traditional Chinese Medicine Affiliated Hospital, Tianjin, China</w:t>
      </w:r>
    </w:p>
    <w:p w14:paraId="12964B16" w14:textId="77777777" w:rsidR="00E40303" w:rsidRDefault="00E40303">
      <w:pPr>
        <w:rPr>
          <w:rFonts w:ascii="Arial" w:eastAsia="MS Mincho" w:hAnsi="Arial" w:cs="Arial"/>
          <w:i/>
          <w:kern w:val="22"/>
          <w:sz w:val="20"/>
          <w:lang w:eastAsia="ja-JP"/>
        </w:rPr>
      </w:pPr>
    </w:p>
    <w:p w14:paraId="2ACB5253" w14:textId="77777777" w:rsidR="00E40303" w:rsidRDefault="00000000">
      <w:pPr>
        <w:pStyle w:val="SectionSubtitle"/>
        <w:numPr>
          <w:ilvl w:val="0"/>
          <w:numId w:val="1"/>
        </w:numPr>
        <w:adjustRightInd w:val="0"/>
        <w:snapToGrid w:val="0"/>
        <w:rPr>
          <w:rFonts w:ascii="Calibri" w:eastAsia="SimSun" w:hAnsi="Calibri" w:cs="Calibri"/>
          <w:sz w:val="28"/>
          <w:szCs w:val="28"/>
        </w:rPr>
      </w:pPr>
      <w:r>
        <w:rPr>
          <w:rFonts w:ascii="Calibri" w:eastAsia="SimSun" w:hAnsi="Calibri" w:cs="Calibri"/>
          <w:sz w:val="28"/>
          <w:szCs w:val="28"/>
        </w:rPr>
        <w:t>mail addresses:</w:t>
      </w:r>
    </w:p>
    <w:p w14:paraId="552210FE" w14:textId="77777777" w:rsidR="00E40303" w:rsidRDefault="00000000">
      <w:pPr>
        <w:pStyle w:val="SectionSubtitle"/>
        <w:adjustRightInd w:val="0"/>
        <w:snapToGrid w:val="0"/>
        <w:rPr>
          <w:rFonts w:ascii="Calibri" w:eastAsia="SimSun" w:hAnsi="Calibri" w:cs="Calibri"/>
          <w:b w:val="0"/>
          <w:bCs/>
          <w:sz w:val="24"/>
          <w:szCs w:val="24"/>
        </w:rPr>
      </w:pPr>
      <w:hyperlink r:id="rId9" w:history="1">
        <w:r>
          <w:rPr>
            <w:rStyle w:val="Hyperlink"/>
            <w:rFonts w:ascii="Calibri" w:eastAsia="SimSun" w:hAnsi="Calibri" w:cs="Calibri" w:hint="eastAsia"/>
            <w:b w:val="0"/>
            <w:bCs/>
            <w:sz w:val="24"/>
            <w:szCs w:val="24"/>
          </w:rPr>
          <w:t>zhanglitao@medmail.com.cn</w:t>
        </w:r>
      </w:hyperlink>
      <w:r>
        <w:rPr>
          <w:rFonts w:ascii="Calibri" w:eastAsia="SimSun" w:hAnsi="Calibri" w:cs="Calibri" w:hint="eastAsia"/>
          <w:b w:val="0"/>
          <w:bCs/>
          <w:sz w:val="24"/>
          <w:szCs w:val="24"/>
        </w:rPr>
        <w:t xml:space="preserve"> (</w:t>
      </w:r>
      <w:r>
        <w:rPr>
          <w:rFonts w:hint="eastAsia"/>
          <w:sz w:val="24"/>
          <w:vertAlign w:val="superscript"/>
        </w:rPr>
        <w:t>*</w:t>
      </w:r>
      <w:r>
        <w:rPr>
          <w:rFonts w:ascii="Calibri" w:eastAsia="SimSun" w:hAnsi="Calibri" w:cs="Calibri" w:hint="eastAsia"/>
          <w:b w:val="0"/>
          <w:bCs/>
          <w:sz w:val="24"/>
          <w:szCs w:val="24"/>
        </w:rPr>
        <w:t>L. Zhang)</w:t>
      </w:r>
    </w:p>
    <w:p w14:paraId="16F2CE1F" w14:textId="77777777" w:rsidR="00E40303" w:rsidRDefault="00000000">
      <w:pPr>
        <w:pStyle w:val="SectionContent"/>
        <w:rPr>
          <w:rFonts w:eastAsia="SimSun"/>
          <w:sz w:val="24"/>
        </w:rPr>
      </w:pPr>
      <w:hyperlink r:id="rId10" w:history="1">
        <w:r>
          <w:rPr>
            <w:rStyle w:val="Hyperlink"/>
            <w:rFonts w:ascii="Calibri" w:eastAsia="SimSun" w:hAnsi="Calibri" w:cs="Calibri"/>
            <w:bCs/>
            <w:sz w:val="24"/>
          </w:rPr>
          <w:t>gexiaohu@tingocell.com</w:t>
        </w:r>
      </w:hyperlink>
      <w:r>
        <w:rPr>
          <w:rStyle w:val="Hyperlink"/>
          <w:rFonts w:ascii="Calibri" w:eastAsia="SimSun" w:hAnsi="Calibri" w:cs="Calibri" w:hint="eastAsia"/>
          <w:bCs/>
          <w:color w:val="auto"/>
          <w:sz w:val="24"/>
          <w:u w:val="none"/>
        </w:rPr>
        <w:t>(</w:t>
      </w:r>
      <w:r>
        <w:rPr>
          <w:rFonts w:hint="eastAsia"/>
          <w:sz w:val="24"/>
          <w:vertAlign w:val="superscript"/>
        </w:rPr>
        <w:t>*</w:t>
      </w:r>
      <w:r>
        <w:rPr>
          <w:rStyle w:val="Hyperlink"/>
          <w:rFonts w:ascii="Calibri" w:eastAsia="SimSun" w:hAnsi="Calibri" w:cs="Calibri" w:hint="eastAsia"/>
          <w:bCs/>
          <w:color w:val="auto"/>
          <w:sz w:val="24"/>
          <w:u w:val="none"/>
        </w:rPr>
        <w:t>X. Ge)</w:t>
      </w:r>
    </w:p>
    <w:p w14:paraId="7BDA39AC" w14:textId="77777777" w:rsidR="00E40303" w:rsidRDefault="00000000">
      <w:pPr>
        <w:rPr>
          <w:sz w:val="28"/>
          <w:szCs w:val="28"/>
          <w:lang w:eastAsia="ja-JP"/>
        </w:rPr>
      </w:pPr>
      <w:r>
        <w:rPr>
          <w:rFonts w:eastAsia="MS Mincho" w:hint="eastAsia"/>
          <w:sz w:val="24"/>
          <w:lang w:eastAsia="ja-JP"/>
        </w:rPr>
        <w:br w:type="page"/>
      </w:r>
    </w:p>
    <w:p w14:paraId="7DE38772" w14:textId="77777777" w:rsidR="00E40303" w:rsidRDefault="00000000">
      <w:pPr>
        <w:rPr>
          <w:rFonts w:eastAsia="MS Mincho"/>
          <w:b/>
          <w:bCs/>
          <w:sz w:val="28"/>
          <w:szCs w:val="28"/>
          <w:lang w:eastAsia="ja-JP"/>
        </w:rPr>
      </w:pPr>
      <w:r>
        <w:rPr>
          <w:rFonts w:eastAsia="MS Mincho" w:hint="eastAsia"/>
          <w:b/>
          <w:bCs/>
          <w:sz w:val="28"/>
          <w:szCs w:val="28"/>
          <w:lang w:eastAsia="ja-JP"/>
        </w:rPr>
        <w:lastRenderedPageBreak/>
        <w:t>Contents</w:t>
      </w:r>
    </w:p>
    <w:p w14:paraId="1CD02C4F" w14:textId="77777777" w:rsidR="00E40303" w:rsidRDefault="00000000">
      <w:pPr>
        <w:pStyle w:val="TOC1"/>
        <w:tabs>
          <w:tab w:val="right" w:leader="dot" w:pos="8296"/>
        </w:tabs>
        <w:rPr>
          <w:szCs w:val="22"/>
        </w:rPr>
      </w:pPr>
      <w:r>
        <w:rPr>
          <w:sz w:val="28"/>
          <w:szCs w:val="28"/>
          <w:lang w:eastAsia="ja-JP"/>
        </w:rPr>
        <w:fldChar w:fldCharType="begin"/>
      </w:r>
      <w:r>
        <w:rPr>
          <w:rFonts w:hint="eastAsia"/>
          <w:sz w:val="28"/>
          <w:szCs w:val="28"/>
          <w:lang w:eastAsia="ja-JP"/>
        </w:rPr>
        <w:instrText>TOC \o "1-3" \h \z \u</w:instrText>
      </w:r>
      <w:r>
        <w:rPr>
          <w:sz w:val="28"/>
          <w:szCs w:val="28"/>
          <w:lang w:eastAsia="ja-JP"/>
        </w:rPr>
        <w:fldChar w:fldCharType="separate"/>
      </w:r>
      <w:hyperlink w:anchor="_Toc169958404" w:history="1">
        <w:r>
          <w:rPr>
            <w:rStyle w:val="Hyperlink"/>
            <w:rFonts w:eastAsia="SimSun"/>
          </w:rPr>
          <w:t>1. Preparation and characterization of artesunate (ATS)-loaded exosomes</w:t>
        </w:r>
        <w:r>
          <w:tab/>
        </w:r>
        <w:r>
          <w:fldChar w:fldCharType="begin"/>
        </w:r>
        <w:r>
          <w:instrText xml:space="preserve"> PAGEREF _Toc169958404 \h </w:instrText>
        </w:r>
        <w:r>
          <w:fldChar w:fldCharType="separate"/>
        </w:r>
        <w:r>
          <w:t>3</w:t>
        </w:r>
        <w:r>
          <w:fldChar w:fldCharType="end"/>
        </w:r>
      </w:hyperlink>
    </w:p>
    <w:p w14:paraId="79408AF8" w14:textId="77777777" w:rsidR="00E40303" w:rsidRDefault="00000000">
      <w:pPr>
        <w:pStyle w:val="TOC1"/>
        <w:tabs>
          <w:tab w:val="right" w:leader="dot" w:pos="8296"/>
        </w:tabs>
        <w:rPr>
          <w:szCs w:val="22"/>
        </w:rPr>
      </w:pPr>
      <w:hyperlink w:anchor="_Toc169958405" w:history="1">
        <w:r>
          <w:rPr>
            <w:rStyle w:val="Hyperlink"/>
            <w:rFonts w:eastAsia="SimSun"/>
          </w:rPr>
          <w:t>2. UPLC determination of dihydroartemisinin (DART) in rat plasma</w:t>
        </w:r>
        <w:r>
          <w:tab/>
        </w:r>
        <w:r>
          <w:fldChar w:fldCharType="begin"/>
        </w:r>
        <w:r>
          <w:instrText xml:space="preserve"> PAGEREF _Toc169958405 \h </w:instrText>
        </w:r>
        <w:r>
          <w:fldChar w:fldCharType="separate"/>
        </w:r>
        <w:r>
          <w:t>3</w:t>
        </w:r>
        <w:r>
          <w:fldChar w:fldCharType="end"/>
        </w:r>
      </w:hyperlink>
    </w:p>
    <w:p w14:paraId="3C2035BE" w14:textId="77777777" w:rsidR="00E40303" w:rsidRDefault="00000000">
      <w:pPr>
        <w:pStyle w:val="TOC1"/>
        <w:tabs>
          <w:tab w:val="right" w:leader="dot" w:pos="8296"/>
        </w:tabs>
        <w:rPr>
          <w:szCs w:val="22"/>
        </w:rPr>
      </w:pPr>
      <w:hyperlink w:anchor="_Toc169958406" w:history="1">
        <w:r>
          <w:rPr>
            <w:rStyle w:val="Hyperlink"/>
          </w:rPr>
          <w:t>3. Measurement of the aqueous solubility of artesunate (ATS)</w:t>
        </w:r>
        <w:r>
          <w:tab/>
        </w:r>
        <w:r>
          <w:fldChar w:fldCharType="begin"/>
        </w:r>
        <w:r>
          <w:instrText xml:space="preserve"> PAGEREF _Toc169958406 \h </w:instrText>
        </w:r>
        <w:r>
          <w:fldChar w:fldCharType="separate"/>
        </w:r>
        <w:r>
          <w:t>4</w:t>
        </w:r>
        <w:r>
          <w:fldChar w:fldCharType="end"/>
        </w:r>
      </w:hyperlink>
    </w:p>
    <w:p w14:paraId="3ABA985C" w14:textId="77777777" w:rsidR="00E40303" w:rsidRDefault="00000000">
      <w:pPr>
        <w:pStyle w:val="TOC1"/>
        <w:tabs>
          <w:tab w:val="right" w:leader="dot" w:pos="8296"/>
        </w:tabs>
        <w:rPr>
          <w:szCs w:val="22"/>
        </w:rPr>
      </w:pPr>
      <w:hyperlink w:anchor="_Toc169958407" w:history="1">
        <w:r>
          <w:rPr>
            <w:rStyle w:val="Hyperlink"/>
            <w:lang w:eastAsia="ja-JP"/>
          </w:rPr>
          <w:t>4. Supplementary Figures</w:t>
        </w:r>
        <w:r>
          <w:tab/>
        </w:r>
        <w:r>
          <w:fldChar w:fldCharType="begin"/>
        </w:r>
        <w:r>
          <w:instrText xml:space="preserve"> PAGEREF _Toc169958407 \h </w:instrText>
        </w:r>
        <w:r>
          <w:fldChar w:fldCharType="separate"/>
        </w:r>
        <w:r>
          <w:t>6</w:t>
        </w:r>
        <w:r>
          <w:fldChar w:fldCharType="end"/>
        </w:r>
      </w:hyperlink>
    </w:p>
    <w:p w14:paraId="2373CF33" w14:textId="77777777" w:rsidR="00E40303" w:rsidRDefault="00000000">
      <w:pPr>
        <w:pStyle w:val="TOC2"/>
        <w:tabs>
          <w:tab w:val="right" w:leader="dot" w:pos="8296"/>
        </w:tabs>
        <w:rPr>
          <w:szCs w:val="22"/>
        </w:rPr>
      </w:pPr>
      <w:hyperlink w:anchor="_Toc169958408" w:history="1">
        <w:r>
          <w:rPr>
            <w:rStyle w:val="Hyperlink"/>
            <w:rFonts w:ascii="Calibri" w:hAnsi="Calibri" w:cs="Calibri"/>
          </w:rPr>
          <w:t>Figure S</w:t>
        </w:r>
        <w:r>
          <w:rPr>
            <w:rStyle w:val="Hyperlink"/>
            <w:rFonts w:ascii="Calibri" w:hAnsi="Calibri" w:cs="Calibri"/>
            <w:lang w:eastAsia="ja-JP"/>
          </w:rPr>
          <w:t>1</w:t>
        </w:r>
        <w:r>
          <w:rPr>
            <w:rStyle w:val="Hyperlink"/>
            <w:rFonts w:ascii="Calibri" w:hAnsi="Calibri" w:cs="Calibri"/>
          </w:rPr>
          <w:t>.</w:t>
        </w:r>
        <w:r>
          <w:tab/>
        </w:r>
        <w:r>
          <w:fldChar w:fldCharType="begin"/>
        </w:r>
        <w:r>
          <w:instrText xml:space="preserve"> PAGEREF _Toc169958408 \h </w:instrText>
        </w:r>
        <w:r>
          <w:fldChar w:fldCharType="separate"/>
        </w:r>
        <w:r>
          <w:t>6</w:t>
        </w:r>
        <w:r>
          <w:fldChar w:fldCharType="end"/>
        </w:r>
      </w:hyperlink>
    </w:p>
    <w:p w14:paraId="2CE09FD6" w14:textId="77777777" w:rsidR="00E40303" w:rsidRDefault="00000000">
      <w:pPr>
        <w:pStyle w:val="TOC2"/>
        <w:tabs>
          <w:tab w:val="right" w:leader="dot" w:pos="8296"/>
        </w:tabs>
        <w:rPr>
          <w:szCs w:val="22"/>
        </w:rPr>
      </w:pPr>
      <w:hyperlink w:anchor="_Toc169958409" w:history="1">
        <w:r>
          <w:rPr>
            <w:rStyle w:val="Hyperlink"/>
            <w:rFonts w:ascii="Calibri" w:hAnsi="Calibri" w:cs="Calibri"/>
          </w:rPr>
          <w:t>Figure S2.</w:t>
        </w:r>
        <w:r>
          <w:tab/>
        </w:r>
        <w:r>
          <w:fldChar w:fldCharType="begin"/>
        </w:r>
        <w:r>
          <w:instrText xml:space="preserve"> PAGEREF _Toc169958409 \h </w:instrText>
        </w:r>
        <w:r>
          <w:fldChar w:fldCharType="separate"/>
        </w:r>
        <w:r>
          <w:t>6</w:t>
        </w:r>
        <w:r>
          <w:fldChar w:fldCharType="end"/>
        </w:r>
      </w:hyperlink>
    </w:p>
    <w:p w14:paraId="40609315" w14:textId="77777777" w:rsidR="00E40303" w:rsidRDefault="00000000">
      <w:pPr>
        <w:pStyle w:val="TOC2"/>
        <w:tabs>
          <w:tab w:val="right" w:leader="dot" w:pos="8296"/>
        </w:tabs>
        <w:rPr>
          <w:szCs w:val="22"/>
        </w:rPr>
      </w:pPr>
      <w:hyperlink w:anchor="_Toc169958410" w:history="1">
        <w:r>
          <w:rPr>
            <w:rStyle w:val="Hyperlink"/>
            <w:rFonts w:ascii="Calibri" w:hAnsi="Calibri" w:cs="Calibri"/>
          </w:rPr>
          <w:t>Figure S3.</w:t>
        </w:r>
        <w:r>
          <w:tab/>
        </w:r>
        <w:r>
          <w:fldChar w:fldCharType="begin"/>
        </w:r>
        <w:r>
          <w:instrText xml:space="preserve"> PAGEREF _Toc169958410 \h </w:instrText>
        </w:r>
        <w:r>
          <w:fldChar w:fldCharType="separate"/>
        </w:r>
        <w:r>
          <w:t>7</w:t>
        </w:r>
        <w:r>
          <w:fldChar w:fldCharType="end"/>
        </w:r>
      </w:hyperlink>
    </w:p>
    <w:p w14:paraId="53F76B43" w14:textId="77777777" w:rsidR="00E40303" w:rsidRDefault="00000000">
      <w:pPr>
        <w:pStyle w:val="TOC2"/>
        <w:tabs>
          <w:tab w:val="right" w:leader="dot" w:pos="8296"/>
        </w:tabs>
        <w:rPr>
          <w:szCs w:val="22"/>
        </w:rPr>
      </w:pPr>
      <w:hyperlink w:anchor="_Toc169958411" w:history="1">
        <w:r>
          <w:rPr>
            <w:rStyle w:val="Hyperlink"/>
            <w:rFonts w:ascii="Calibri" w:hAnsi="Calibri" w:cs="Calibri"/>
          </w:rPr>
          <w:t>Figure S4.</w:t>
        </w:r>
        <w:r>
          <w:tab/>
        </w:r>
        <w:r>
          <w:fldChar w:fldCharType="begin"/>
        </w:r>
        <w:r>
          <w:instrText xml:space="preserve"> PAGEREF _Toc169958411 \h </w:instrText>
        </w:r>
        <w:r>
          <w:fldChar w:fldCharType="separate"/>
        </w:r>
        <w:r>
          <w:t>7</w:t>
        </w:r>
        <w:r>
          <w:fldChar w:fldCharType="end"/>
        </w:r>
      </w:hyperlink>
    </w:p>
    <w:p w14:paraId="55DAD2FD" w14:textId="77777777" w:rsidR="00E40303" w:rsidRDefault="00000000">
      <w:pPr>
        <w:pStyle w:val="TOC2"/>
        <w:tabs>
          <w:tab w:val="right" w:leader="dot" w:pos="8296"/>
        </w:tabs>
        <w:rPr>
          <w:szCs w:val="22"/>
        </w:rPr>
      </w:pPr>
      <w:hyperlink w:anchor="_Toc169958412" w:history="1">
        <w:r>
          <w:rPr>
            <w:rStyle w:val="Hyperlink"/>
            <w:rFonts w:ascii="Calibri" w:hAnsi="Calibri" w:cs="Calibri"/>
          </w:rPr>
          <w:t>Figure S5.</w:t>
        </w:r>
        <w:r>
          <w:tab/>
        </w:r>
        <w:r>
          <w:fldChar w:fldCharType="begin"/>
        </w:r>
        <w:r>
          <w:instrText xml:space="preserve"> PAGEREF _Toc169958412 \h </w:instrText>
        </w:r>
        <w:r>
          <w:fldChar w:fldCharType="separate"/>
        </w:r>
        <w:r>
          <w:t>8</w:t>
        </w:r>
        <w:r>
          <w:fldChar w:fldCharType="end"/>
        </w:r>
      </w:hyperlink>
    </w:p>
    <w:p w14:paraId="46DD1218" w14:textId="77777777" w:rsidR="00E40303" w:rsidRDefault="00000000">
      <w:pPr>
        <w:rPr>
          <w:sz w:val="28"/>
          <w:szCs w:val="28"/>
          <w:lang w:eastAsia="ja-JP"/>
        </w:rPr>
      </w:pPr>
      <w:r>
        <w:rPr>
          <w:szCs w:val="28"/>
          <w:lang w:eastAsia="ja-JP"/>
        </w:rPr>
        <w:fldChar w:fldCharType="end"/>
      </w:r>
      <w:r>
        <w:rPr>
          <w:rFonts w:hint="eastAsia"/>
          <w:sz w:val="28"/>
          <w:szCs w:val="28"/>
          <w:lang w:eastAsia="ja-JP"/>
        </w:rPr>
        <w:br w:type="page"/>
      </w:r>
    </w:p>
    <w:p w14:paraId="2A0C08EC" w14:textId="77777777" w:rsidR="00E40303" w:rsidRDefault="00000000">
      <w:pPr>
        <w:pStyle w:val="Heading1"/>
        <w:numPr>
          <w:ilvl w:val="0"/>
          <w:numId w:val="2"/>
        </w:numPr>
        <w:rPr>
          <w:rFonts w:eastAsia="SimSun"/>
          <w:sz w:val="24"/>
        </w:rPr>
      </w:pPr>
      <w:bookmarkStart w:id="0" w:name="_Toc169958404"/>
      <w:r>
        <w:rPr>
          <w:rFonts w:eastAsia="SimSun" w:hint="eastAsia"/>
          <w:sz w:val="24"/>
        </w:rPr>
        <w:lastRenderedPageBreak/>
        <w:t>Preparation and characterization of artesunate (ATS)-loaded exosomes</w:t>
      </w:r>
      <w:bookmarkEnd w:id="0"/>
    </w:p>
    <w:p w14:paraId="2ABF1649" w14:textId="77777777" w:rsidR="00E40303" w:rsidRDefault="00000000">
      <w:pPr>
        <w:ind w:firstLineChars="200" w:firstLine="480"/>
        <w:rPr>
          <w:rFonts w:ascii="Calibri" w:hAnsi="Calibri" w:cs="Calibri"/>
          <w:sz w:val="24"/>
        </w:rPr>
      </w:pPr>
      <w:r>
        <w:rPr>
          <w:rFonts w:ascii="Calibri" w:hAnsi="Calibri" w:cs="Calibri" w:hint="eastAsia"/>
          <w:sz w:val="24"/>
        </w:rPr>
        <w:t xml:space="preserve">For ATS loading into exosomes, 120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ATS solution in DMSO (36 mM) were first mixed with 750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milk-derived exosomes with a concentration of 10</w:t>
      </w:r>
      <w:r>
        <w:rPr>
          <w:rFonts w:ascii="Calibri" w:hAnsi="Calibri" w:cs="Calibri" w:hint="eastAsia"/>
          <w:sz w:val="24"/>
          <w:vertAlign w:val="superscript"/>
        </w:rPr>
        <w:t>12</w:t>
      </w:r>
      <w:r>
        <w:rPr>
          <w:rFonts w:ascii="Calibri" w:hAnsi="Calibri" w:cs="Calibri" w:hint="eastAsia"/>
          <w:sz w:val="24"/>
        </w:rPr>
        <w:t xml:space="preserve"> particles/mL in 1.0 mL PBS buffer. </w:t>
      </w:r>
      <w:proofErr w:type="gramStart"/>
      <w:r>
        <w:rPr>
          <w:rFonts w:ascii="Calibri" w:hAnsi="Calibri" w:cs="Calibri" w:hint="eastAsia"/>
          <w:sz w:val="24"/>
        </w:rPr>
        <w:t>In order to</w:t>
      </w:r>
      <w:proofErr w:type="gramEnd"/>
      <w:r>
        <w:rPr>
          <w:rFonts w:ascii="Calibri" w:hAnsi="Calibri" w:cs="Calibri" w:hint="eastAsia"/>
          <w:sz w:val="24"/>
        </w:rPr>
        <w:t xml:space="preserve"> compare with exosome-ATS conjugation, three different methods of drug loading were investigated, including co-incubation, electroporation and lipofectamine transfection. Concerning the co-incubation, the mixture of ATS and exosomes was co-incubated at 37</w:t>
      </w:r>
      <w:r>
        <w:rPr>
          <w:rFonts w:ascii="Calibri" w:hAnsi="Calibri" w:cs="Calibri"/>
          <w:sz w:val="24"/>
        </w:rPr>
        <w:t xml:space="preserve"> °C</w:t>
      </w:r>
      <w:r>
        <w:rPr>
          <w:rFonts w:ascii="Calibri" w:hAnsi="Calibri" w:cs="Calibri" w:hint="eastAsia"/>
          <w:sz w:val="24"/>
        </w:rPr>
        <w:t xml:space="preserve"> for 3.5 h with shaking. As for the electroporation method, the mixture of ATS and exosomes was mixed with electroporation buffer (30 mM sucrose, 0.6% (w/v) sodium chloride, pH 2) and then transferred into a chilled 0.4 cm electroporation cuvette. Afterwards, the mixture was electroporated at 0.7 kV in 5 </w:t>
      </w:r>
      <w:proofErr w:type="spellStart"/>
      <w:r>
        <w:rPr>
          <w:rFonts w:ascii="Calibri" w:hAnsi="Calibri" w:cs="Calibri" w:hint="eastAsia"/>
          <w:sz w:val="24"/>
        </w:rPr>
        <w:t>ms</w:t>
      </w:r>
      <w:proofErr w:type="spellEnd"/>
      <w:r>
        <w:rPr>
          <w:rFonts w:ascii="Calibri" w:hAnsi="Calibri" w:cs="Calibri" w:hint="eastAsia"/>
          <w:sz w:val="24"/>
        </w:rPr>
        <w:t xml:space="preserve"> intervals for 5 times using Eppendorf </w:t>
      </w:r>
      <w:proofErr w:type="spellStart"/>
      <w:r>
        <w:rPr>
          <w:rFonts w:ascii="Calibri" w:hAnsi="Calibri" w:cs="Calibri" w:hint="eastAsia"/>
          <w:sz w:val="24"/>
        </w:rPr>
        <w:t>Eporator</w:t>
      </w:r>
      <w:proofErr w:type="spellEnd"/>
      <w:r>
        <w:rPr>
          <w:rFonts w:ascii="Calibri" w:hAnsi="Calibri" w:cs="Calibri" w:hint="eastAsia"/>
          <w:sz w:val="24"/>
        </w:rPr>
        <w:t xml:space="preserve"> (Eppendorf AG, Hamburg, Germany), followed by incubation at 37</w:t>
      </w:r>
      <w:r>
        <w:rPr>
          <w:rFonts w:ascii="Calibri" w:hAnsi="Calibri" w:cs="Calibri"/>
          <w:sz w:val="24"/>
        </w:rPr>
        <w:t xml:space="preserve"> °C</w:t>
      </w:r>
      <w:r>
        <w:rPr>
          <w:rFonts w:ascii="Calibri" w:hAnsi="Calibri" w:cs="Calibri" w:hint="eastAsia"/>
          <w:sz w:val="24"/>
        </w:rPr>
        <w:t xml:space="preserve"> for 30 min to allow for recovery of the </w:t>
      </w:r>
      <w:proofErr w:type="spellStart"/>
      <w:r>
        <w:rPr>
          <w:rFonts w:ascii="Calibri" w:hAnsi="Calibri" w:cs="Calibri" w:hint="eastAsia"/>
          <w:sz w:val="24"/>
        </w:rPr>
        <w:t>exosomal</w:t>
      </w:r>
      <w:proofErr w:type="spellEnd"/>
      <w:r>
        <w:rPr>
          <w:rFonts w:ascii="Calibri" w:hAnsi="Calibri" w:cs="Calibri" w:hint="eastAsia"/>
          <w:sz w:val="24"/>
        </w:rPr>
        <w:t xml:space="preserve"> membrane as previously reported with slight modifications</w:t>
      </w:r>
      <w:r>
        <w:rPr>
          <w:rFonts w:ascii="Calibri" w:hAnsi="Calibri" w:cs="Calibri" w:hint="eastAsia"/>
          <w:sz w:val="24"/>
          <w:vertAlign w:val="superscript"/>
        </w:rPr>
        <w:t>1</w:t>
      </w:r>
      <w:r>
        <w:rPr>
          <w:rFonts w:ascii="Calibri" w:hAnsi="Calibri" w:cs="Calibri" w:hint="eastAsia"/>
          <w:sz w:val="24"/>
        </w:rPr>
        <w:t xml:space="preserve">. For the lipofectamine transfection, 120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ATS solution in DMSO (36 mM) were first mixed with 50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w:t>
      </w:r>
      <w:proofErr w:type="spellStart"/>
      <w:r>
        <w:rPr>
          <w:rFonts w:ascii="Calibri" w:hAnsi="Calibri" w:cs="Calibri" w:hint="eastAsia"/>
          <w:sz w:val="24"/>
        </w:rPr>
        <w:t>Lipofectamine</w:t>
      </w:r>
      <w:r>
        <w:rPr>
          <w:rFonts w:ascii="Calibri" w:hAnsi="Calibri" w:cs="Calibri" w:hint="eastAsia"/>
          <w:sz w:val="24"/>
          <w:vertAlign w:val="superscript"/>
        </w:rPr>
        <w:t>TM</w:t>
      </w:r>
      <w:proofErr w:type="spellEnd"/>
      <w:r>
        <w:rPr>
          <w:rFonts w:ascii="Calibri" w:hAnsi="Calibri" w:cs="Calibri" w:hint="eastAsia"/>
          <w:sz w:val="24"/>
        </w:rPr>
        <w:t xml:space="preserve"> 3000 reagent (Invitrogen) and then incubated at 37</w:t>
      </w:r>
      <w:r>
        <w:rPr>
          <w:rFonts w:ascii="Calibri" w:hAnsi="Calibri" w:cs="Calibri"/>
          <w:sz w:val="24"/>
        </w:rPr>
        <w:t xml:space="preserve"> °C</w:t>
      </w:r>
      <w:r>
        <w:rPr>
          <w:rFonts w:ascii="Calibri" w:hAnsi="Calibri" w:cs="Calibri" w:hint="eastAsia"/>
          <w:sz w:val="24"/>
        </w:rPr>
        <w:t xml:space="preserve"> for 15 min. Afterwards, the mixture was added into 750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milk-derived exosomes with a concentration of 10</w:t>
      </w:r>
      <w:r>
        <w:rPr>
          <w:rFonts w:ascii="Calibri" w:hAnsi="Calibri" w:cs="Calibri" w:hint="eastAsia"/>
          <w:sz w:val="24"/>
          <w:vertAlign w:val="superscript"/>
        </w:rPr>
        <w:t>12</w:t>
      </w:r>
      <w:r>
        <w:rPr>
          <w:rFonts w:ascii="Calibri" w:hAnsi="Calibri" w:cs="Calibri" w:hint="eastAsia"/>
          <w:sz w:val="24"/>
        </w:rPr>
        <w:t xml:space="preserve"> particles/mL in 1.0 mL PBS buffer and then incubated at 37</w:t>
      </w:r>
      <w:r>
        <w:rPr>
          <w:rFonts w:ascii="Calibri" w:hAnsi="Calibri" w:cs="Calibri"/>
          <w:sz w:val="24"/>
        </w:rPr>
        <w:t xml:space="preserve"> °C</w:t>
      </w:r>
      <w:r>
        <w:rPr>
          <w:rFonts w:ascii="Calibri" w:hAnsi="Calibri" w:cs="Calibri" w:hint="eastAsia"/>
          <w:sz w:val="24"/>
        </w:rPr>
        <w:t xml:space="preserve"> for another 45 min.</w:t>
      </w:r>
    </w:p>
    <w:p w14:paraId="7FC6AC1B" w14:textId="77777777" w:rsidR="00E40303" w:rsidRDefault="00000000">
      <w:pPr>
        <w:ind w:firstLineChars="200" w:firstLine="480"/>
        <w:rPr>
          <w:rFonts w:ascii="Calibri" w:hAnsi="Calibri" w:cs="Calibri"/>
          <w:sz w:val="24"/>
        </w:rPr>
      </w:pPr>
      <w:r>
        <w:rPr>
          <w:rFonts w:ascii="Calibri" w:hAnsi="Calibri" w:cs="Calibri" w:hint="eastAsia"/>
          <w:sz w:val="24"/>
        </w:rPr>
        <w:t xml:space="preserve">Next, the produced ATS-loaded exosomes via the </w:t>
      </w:r>
      <w:proofErr w:type="gramStart"/>
      <w:r>
        <w:rPr>
          <w:rFonts w:ascii="Calibri" w:hAnsi="Calibri" w:cs="Calibri" w:hint="eastAsia"/>
          <w:sz w:val="24"/>
        </w:rPr>
        <w:t>above described</w:t>
      </w:r>
      <w:proofErr w:type="gramEnd"/>
      <w:r>
        <w:rPr>
          <w:rFonts w:ascii="Calibri" w:hAnsi="Calibri" w:cs="Calibri" w:hint="eastAsia"/>
          <w:sz w:val="24"/>
        </w:rPr>
        <w:t xml:space="preserve"> methods were ultra-centrifuged at 100,000</w:t>
      </w:r>
      <w:r>
        <w:rPr>
          <w:rFonts w:ascii="Calibri" w:hAnsi="Calibri" w:cs="Calibri"/>
          <w:sz w:val="24"/>
        </w:rPr>
        <w:t xml:space="preserve"> × </w:t>
      </w:r>
      <w:r>
        <w:rPr>
          <w:rFonts w:ascii="Calibri" w:hAnsi="Calibri" w:cs="Calibri" w:hint="eastAsia"/>
          <w:sz w:val="24"/>
        </w:rPr>
        <w:t xml:space="preserve">g for 90 min at 4 </w:t>
      </w:r>
      <w:r>
        <w:rPr>
          <w:rFonts w:ascii="Calibri" w:hAnsi="Calibri" w:cs="Calibri"/>
          <w:sz w:val="24"/>
        </w:rPr>
        <w:t>°C</w:t>
      </w:r>
      <w:r>
        <w:rPr>
          <w:rFonts w:ascii="Calibri" w:hAnsi="Calibri" w:cs="Calibri" w:hint="eastAsia"/>
          <w:sz w:val="24"/>
        </w:rPr>
        <w:t xml:space="preserve"> by Optima L-80 XP ultra-centrifuge with rotor SW32Ti (Beckman Coulter). The resulting supernatant containing unbound ATS was collected and subsequently analyzed using HPLC system as described in 2.5.1. The loading capacity (LC) was calculated using the following formula:</w:t>
      </w:r>
    </w:p>
    <w:p w14:paraId="03C593DB" w14:textId="77777777" w:rsidR="00E40303" w:rsidRDefault="00000000">
      <w:pPr>
        <w:ind w:firstLineChars="200" w:firstLine="480"/>
        <w:jc w:val="center"/>
        <w:rPr>
          <w:rFonts w:ascii="Calibri" w:hAnsi="Calibri" w:cs="Calibri"/>
          <w:position w:val="-30"/>
          <w:sz w:val="24"/>
        </w:rPr>
      </w:pPr>
      <w:r>
        <w:rPr>
          <w:rFonts w:ascii="Calibri" w:hAnsi="Calibri" w:cs="Calibri"/>
          <w:position w:val="-32"/>
          <w:sz w:val="24"/>
        </w:rPr>
        <w:object w:dxaOrig="6727" w:dyaOrig="752" w14:anchorId="2AFB3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7.5pt" o:ole="">
            <v:imagedata r:id="rId11" o:title=""/>
          </v:shape>
          <o:OLEObject Type="Embed" ProgID="Equation.3" ShapeID="_x0000_i1025" DrawAspect="Content" ObjectID="_1781444360" r:id="rId12"/>
        </w:object>
      </w:r>
    </w:p>
    <w:p w14:paraId="4DC5D867" w14:textId="77777777" w:rsidR="00E40303" w:rsidRDefault="00000000">
      <w:pPr>
        <w:rPr>
          <w:rFonts w:ascii="Calibri" w:hAnsi="Calibri" w:cs="Calibri"/>
          <w:position w:val="-30"/>
          <w:sz w:val="24"/>
        </w:rPr>
      </w:pPr>
      <w:r>
        <w:rPr>
          <w:rFonts w:ascii="Calibri" w:hAnsi="Calibri" w:cs="Calibri" w:hint="eastAsia"/>
          <w:sz w:val="24"/>
        </w:rPr>
        <w:t xml:space="preserve">Where </w:t>
      </w:r>
      <w:r>
        <w:rPr>
          <w:rFonts w:ascii="Calibri" w:hAnsi="Calibri" w:cs="Calibri" w:hint="eastAsia"/>
          <w:i/>
          <w:iCs/>
          <w:sz w:val="24"/>
        </w:rPr>
        <w:t>M</w:t>
      </w:r>
      <w:r>
        <w:rPr>
          <w:rFonts w:ascii="Calibri" w:hAnsi="Calibri" w:cs="Calibri" w:hint="eastAsia"/>
          <w:i/>
          <w:iCs/>
          <w:sz w:val="24"/>
          <w:vertAlign w:val="subscript"/>
        </w:rPr>
        <w:t xml:space="preserve">ATS, add </w:t>
      </w:r>
      <w:r>
        <w:rPr>
          <w:rFonts w:ascii="Calibri" w:hAnsi="Calibri" w:cs="Calibri" w:hint="eastAsia"/>
          <w:sz w:val="24"/>
        </w:rPr>
        <w:t xml:space="preserve">and </w:t>
      </w:r>
      <w:proofErr w:type="spellStart"/>
      <w:r>
        <w:rPr>
          <w:rFonts w:ascii="Calibri" w:hAnsi="Calibri" w:cs="Calibri" w:hint="eastAsia"/>
          <w:i/>
          <w:iCs/>
          <w:sz w:val="24"/>
        </w:rPr>
        <w:t>M</w:t>
      </w:r>
      <w:r>
        <w:rPr>
          <w:rFonts w:ascii="Calibri" w:hAnsi="Calibri" w:cs="Calibri" w:hint="eastAsia"/>
          <w:i/>
          <w:iCs/>
          <w:sz w:val="24"/>
          <w:vertAlign w:val="subscript"/>
        </w:rPr>
        <w:t>Exosome</w:t>
      </w:r>
      <w:proofErr w:type="spellEnd"/>
      <w:r>
        <w:rPr>
          <w:rFonts w:ascii="Calibri" w:hAnsi="Calibri" w:cs="Calibri" w:hint="eastAsia"/>
          <w:i/>
          <w:iCs/>
          <w:sz w:val="24"/>
          <w:vertAlign w:val="subscript"/>
        </w:rPr>
        <w:t>, add</w:t>
      </w:r>
      <w:r>
        <w:rPr>
          <w:rFonts w:ascii="Calibri" w:hAnsi="Calibri" w:cs="Calibri" w:hint="eastAsia"/>
          <w:sz w:val="24"/>
        </w:rPr>
        <w:t xml:space="preserve"> stand for the initial addition amount of ATS and total </w:t>
      </w:r>
      <w:proofErr w:type="spellStart"/>
      <w:r>
        <w:rPr>
          <w:rFonts w:ascii="Calibri" w:hAnsi="Calibri" w:cs="Calibri" w:hint="eastAsia"/>
          <w:sz w:val="24"/>
        </w:rPr>
        <w:t>exosomal</w:t>
      </w:r>
      <w:proofErr w:type="spellEnd"/>
      <w:r>
        <w:rPr>
          <w:rFonts w:ascii="Calibri" w:hAnsi="Calibri" w:cs="Calibri" w:hint="eastAsia"/>
          <w:sz w:val="24"/>
        </w:rPr>
        <w:t xml:space="preserve"> proteins for each investigated method, </w:t>
      </w:r>
      <w:proofErr w:type="spellStart"/>
      <w:proofErr w:type="gramStart"/>
      <w:r>
        <w:rPr>
          <w:rFonts w:ascii="Calibri" w:hAnsi="Calibri" w:cs="Calibri" w:hint="eastAsia"/>
          <w:sz w:val="24"/>
        </w:rPr>
        <w:t>respectively,and</w:t>
      </w:r>
      <w:proofErr w:type="spellEnd"/>
      <w:proofErr w:type="gramEnd"/>
      <w:r>
        <w:rPr>
          <w:rFonts w:ascii="Calibri" w:hAnsi="Calibri" w:cs="Calibri" w:hint="eastAsia"/>
          <w:i/>
          <w:iCs/>
          <w:sz w:val="24"/>
        </w:rPr>
        <w:t xml:space="preserve"> M</w:t>
      </w:r>
      <w:r>
        <w:rPr>
          <w:rFonts w:ascii="Calibri" w:hAnsi="Calibri" w:cs="Calibri" w:hint="eastAsia"/>
          <w:i/>
          <w:iCs/>
          <w:sz w:val="24"/>
          <w:vertAlign w:val="subscript"/>
        </w:rPr>
        <w:t xml:space="preserve">ATS, unbound </w:t>
      </w:r>
      <w:r>
        <w:rPr>
          <w:rFonts w:ascii="Calibri" w:hAnsi="Calibri" w:cs="Calibri" w:hint="eastAsia"/>
          <w:sz w:val="24"/>
        </w:rPr>
        <w:t>the detected content of unbound ATS in the supernatant by HPLC.</w:t>
      </w:r>
    </w:p>
    <w:p w14:paraId="3A0BC8D3" w14:textId="77777777" w:rsidR="00E40303" w:rsidRDefault="00000000">
      <w:pPr>
        <w:pStyle w:val="Heading1"/>
        <w:numPr>
          <w:ilvl w:val="0"/>
          <w:numId w:val="2"/>
        </w:numPr>
        <w:rPr>
          <w:rFonts w:eastAsia="SimSun"/>
          <w:sz w:val="24"/>
        </w:rPr>
      </w:pPr>
      <w:bookmarkStart w:id="1" w:name="_Toc169958405"/>
      <w:r>
        <w:rPr>
          <w:rFonts w:eastAsia="SimSun" w:hint="eastAsia"/>
          <w:sz w:val="24"/>
        </w:rPr>
        <w:t xml:space="preserve">UPLC determination of </w:t>
      </w:r>
      <w:proofErr w:type="spellStart"/>
      <w:r>
        <w:rPr>
          <w:rFonts w:eastAsia="SimSun" w:hint="eastAsia"/>
          <w:sz w:val="24"/>
        </w:rPr>
        <w:t>dihydroartemisinin</w:t>
      </w:r>
      <w:proofErr w:type="spellEnd"/>
      <w:r>
        <w:rPr>
          <w:rFonts w:eastAsia="SimSun" w:hint="eastAsia"/>
          <w:sz w:val="24"/>
        </w:rPr>
        <w:t xml:space="preserve"> (DART) in rat plasma</w:t>
      </w:r>
      <w:bookmarkEnd w:id="1"/>
    </w:p>
    <w:p w14:paraId="71242595" w14:textId="77777777" w:rsidR="00E40303" w:rsidRDefault="00000000">
      <w:pPr>
        <w:ind w:firstLineChars="200" w:firstLine="480"/>
        <w:rPr>
          <w:rFonts w:ascii="Calibri" w:hAnsi="Calibri" w:cs="Calibri"/>
          <w:sz w:val="24"/>
        </w:rPr>
      </w:pPr>
      <w:r>
        <w:rPr>
          <w:rFonts w:ascii="Calibri" w:hAnsi="Calibri" w:cs="Calibri" w:hint="eastAsia"/>
          <w:sz w:val="24"/>
        </w:rPr>
        <w:t xml:space="preserve">The concentration of DART in rat plasma due to the degradation of artesunate </w:t>
      </w:r>
      <w:r>
        <w:rPr>
          <w:rFonts w:ascii="Calibri" w:hAnsi="Calibri" w:cs="Calibri"/>
          <w:sz w:val="24"/>
        </w:rPr>
        <w:t xml:space="preserve">(ATS) was quantified by </w:t>
      </w:r>
      <w:r>
        <w:rPr>
          <w:rFonts w:ascii="Calibri" w:hAnsi="Calibri" w:cs="Calibri" w:hint="eastAsia"/>
          <w:sz w:val="24"/>
        </w:rPr>
        <w:t>ZORBAX</w:t>
      </w:r>
      <w:r>
        <w:rPr>
          <w:rFonts w:ascii="Calibri" w:hAnsi="Calibri" w:cs="Calibri"/>
          <w:sz w:val="24"/>
        </w:rPr>
        <w:t xml:space="preserve"> UPLC system using a 4.5 × 50 mm </w:t>
      </w:r>
      <w:r>
        <w:rPr>
          <w:rFonts w:ascii="Calibri" w:hAnsi="Calibri" w:cs="Calibri" w:hint="eastAsia"/>
          <w:sz w:val="24"/>
        </w:rPr>
        <w:t>XDB</w:t>
      </w:r>
      <w:r>
        <w:rPr>
          <w:rFonts w:ascii="Calibri" w:hAnsi="Calibri" w:cs="Calibri"/>
          <w:sz w:val="24"/>
        </w:rPr>
        <w:t xml:space="preserve"> C18 column </w:t>
      </w:r>
      <w:r>
        <w:rPr>
          <w:rFonts w:ascii="Calibri" w:hAnsi="Calibri" w:cs="Calibri" w:hint="eastAsia"/>
          <w:sz w:val="24"/>
        </w:rPr>
        <w:t xml:space="preserve">(particle size 5.0 </w:t>
      </w:r>
      <w:proofErr w:type="spellStart"/>
      <w:r>
        <w:rPr>
          <w:rFonts w:ascii="Calibri" w:hAnsi="Calibri" w:cs="Calibri"/>
          <w:sz w:val="24"/>
        </w:rPr>
        <w:t>μ</w:t>
      </w:r>
      <w:r>
        <w:rPr>
          <w:rFonts w:ascii="Calibri" w:hAnsi="Calibri" w:cs="Calibri" w:hint="eastAsia"/>
          <w:sz w:val="24"/>
        </w:rPr>
        <w:t>m</w:t>
      </w:r>
      <w:proofErr w:type="spellEnd"/>
      <w:r>
        <w:rPr>
          <w:rFonts w:ascii="Calibri" w:hAnsi="Calibri" w:cs="Calibri" w:hint="eastAsia"/>
          <w:sz w:val="24"/>
        </w:rPr>
        <w:t>) (Agilent). Verapamil was employed as internal standard for determining the plasma concentration of DART. The separation was carried out with a flow rate of 0.5 mL/min using a gradient liquid phase consisting of 10 mM ammonium acetate aqueous solution as mobile phase A containing 0.1% (v/v) formic acid and acetonitrile as mobile phase B containing 0.1% (v/v) formic acid. The gradient was formulated as follows:</w:t>
      </w:r>
    </w:p>
    <w:tbl>
      <w:tblPr>
        <w:tblStyle w:val="TableGrid"/>
        <w:tblW w:w="0" w:type="auto"/>
        <w:tblLook w:val="04A0" w:firstRow="1" w:lastRow="0" w:firstColumn="1" w:lastColumn="0" w:noHBand="0" w:noVBand="1"/>
      </w:tblPr>
      <w:tblGrid>
        <w:gridCol w:w="2177"/>
        <w:gridCol w:w="3193"/>
        <w:gridCol w:w="3152"/>
      </w:tblGrid>
      <w:tr w:rsidR="00E40303" w14:paraId="45EB9070" w14:textId="77777777">
        <w:tc>
          <w:tcPr>
            <w:tcW w:w="2177" w:type="dxa"/>
            <w:tcBorders>
              <w:top w:val="single" w:sz="12" w:space="0" w:color="auto"/>
              <w:left w:val="nil"/>
              <w:bottom w:val="single" w:sz="4" w:space="0" w:color="auto"/>
              <w:right w:val="nil"/>
            </w:tcBorders>
            <w:vAlign w:val="center"/>
          </w:tcPr>
          <w:p w14:paraId="12C2CAA7" w14:textId="77777777" w:rsidR="00E40303" w:rsidRDefault="00000000">
            <w:pPr>
              <w:jc w:val="center"/>
              <w:rPr>
                <w:rFonts w:ascii="Calibri" w:hAnsi="Calibri" w:cs="Calibri"/>
                <w:szCs w:val="21"/>
              </w:rPr>
            </w:pPr>
            <w:r>
              <w:rPr>
                <w:rFonts w:ascii="Calibri" w:hAnsi="Calibri" w:cs="Calibri" w:hint="eastAsia"/>
                <w:szCs w:val="21"/>
              </w:rPr>
              <w:t>Time (min)</w:t>
            </w:r>
          </w:p>
        </w:tc>
        <w:tc>
          <w:tcPr>
            <w:tcW w:w="3193" w:type="dxa"/>
            <w:tcBorders>
              <w:top w:val="single" w:sz="12" w:space="0" w:color="auto"/>
              <w:left w:val="nil"/>
              <w:bottom w:val="single" w:sz="4" w:space="0" w:color="auto"/>
              <w:right w:val="nil"/>
            </w:tcBorders>
            <w:vAlign w:val="center"/>
          </w:tcPr>
          <w:p w14:paraId="55E53684" w14:textId="77777777" w:rsidR="00E40303" w:rsidRDefault="00000000">
            <w:pPr>
              <w:jc w:val="center"/>
              <w:rPr>
                <w:rFonts w:ascii="Calibri" w:hAnsi="Calibri" w:cs="Calibri"/>
                <w:szCs w:val="21"/>
              </w:rPr>
            </w:pPr>
            <w:r>
              <w:rPr>
                <w:rFonts w:ascii="Calibri" w:hAnsi="Calibri" w:cs="Calibri" w:hint="eastAsia"/>
                <w:szCs w:val="21"/>
              </w:rPr>
              <w:t>Mobile phase A (%)</w:t>
            </w:r>
          </w:p>
        </w:tc>
        <w:tc>
          <w:tcPr>
            <w:tcW w:w="3152" w:type="dxa"/>
            <w:tcBorders>
              <w:top w:val="single" w:sz="12" w:space="0" w:color="auto"/>
              <w:left w:val="nil"/>
              <w:bottom w:val="single" w:sz="4" w:space="0" w:color="auto"/>
              <w:right w:val="nil"/>
            </w:tcBorders>
            <w:vAlign w:val="center"/>
          </w:tcPr>
          <w:p w14:paraId="55695B97" w14:textId="77777777" w:rsidR="00E40303" w:rsidRDefault="00000000">
            <w:pPr>
              <w:jc w:val="center"/>
              <w:rPr>
                <w:rFonts w:ascii="Calibri" w:hAnsi="Calibri" w:cs="Calibri"/>
                <w:szCs w:val="21"/>
              </w:rPr>
            </w:pPr>
            <w:r>
              <w:rPr>
                <w:rFonts w:ascii="Calibri" w:hAnsi="Calibri" w:cs="Calibri" w:hint="eastAsia"/>
                <w:szCs w:val="21"/>
              </w:rPr>
              <w:t>Mobile phase B (%)</w:t>
            </w:r>
          </w:p>
        </w:tc>
      </w:tr>
      <w:tr w:rsidR="00E40303" w14:paraId="0DD4EE1A" w14:textId="77777777">
        <w:trPr>
          <w:trHeight w:val="301"/>
        </w:trPr>
        <w:tc>
          <w:tcPr>
            <w:tcW w:w="2177" w:type="dxa"/>
            <w:tcBorders>
              <w:top w:val="single" w:sz="4" w:space="0" w:color="auto"/>
              <w:left w:val="nil"/>
              <w:bottom w:val="nil"/>
              <w:right w:val="nil"/>
            </w:tcBorders>
            <w:vAlign w:val="center"/>
          </w:tcPr>
          <w:p w14:paraId="7910F7B2" w14:textId="77777777" w:rsidR="00E40303" w:rsidRDefault="00000000">
            <w:pPr>
              <w:jc w:val="center"/>
              <w:rPr>
                <w:rFonts w:ascii="Calibri" w:hAnsi="Calibri" w:cs="Calibri"/>
                <w:szCs w:val="21"/>
              </w:rPr>
            </w:pPr>
            <w:r>
              <w:rPr>
                <w:rFonts w:ascii="Calibri" w:hAnsi="Calibri" w:cs="Calibri" w:hint="eastAsia"/>
                <w:szCs w:val="21"/>
              </w:rPr>
              <w:t>0.00</w:t>
            </w:r>
          </w:p>
        </w:tc>
        <w:tc>
          <w:tcPr>
            <w:tcW w:w="3193" w:type="dxa"/>
            <w:tcBorders>
              <w:top w:val="single" w:sz="4" w:space="0" w:color="auto"/>
              <w:left w:val="nil"/>
              <w:bottom w:val="nil"/>
              <w:right w:val="nil"/>
            </w:tcBorders>
            <w:vAlign w:val="center"/>
          </w:tcPr>
          <w:p w14:paraId="1AFB4DCB" w14:textId="77777777" w:rsidR="00E40303" w:rsidRDefault="00000000">
            <w:pPr>
              <w:jc w:val="center"/>
              <w:rPr>
                <w:rFonts w:ascii="Calibri" w:hAnsi="Calibri" w:cs="Calibri"/>
                <w:szCs w:val="21"/>
              </w:rPr>
            </w:pPr>
            <w:r>
              <w:rPr>
                <w:rFonts w:ascii="Calibri" w:hAnsi="Calibri" w:cs="Calibri" w:hint="eastAsia"/>
                <w:szCs w:val="21"/>
              </w:rPr>
              <w:t>70</w:t>
            </w:r>
          </w:p>
        </w:tc>
        <w:tc>
          <w:tcPr>
            <w:tcW w:w="3152" w:type="dxa"/>
            <w:tcBorders>
              <w:top w:val="single" w:sz="4" w:space="0" w:color="auto"/>
              <w:left w:val="nil"/>
              <w:bottom w:val="nil"/>
              <w:right w:val="nil"/>
            </w:tcBorders>
            <w:vAlign w:val="center"/>
          </w:tcPr>
          <w:p w14:paraId="35E42E67" w14:textId="77777777" w:rsidR="00E40303" w:rsidRDefault="00000000">
            <w:pPr>
              <w:jc w:val="center"/>
              <w:rPr>
                <w:rFonts w:ascii="Calibri" w:hAnsi="Calibri" w:cs="Calibri"/>
                <w:szCs w:val="21"/>
              </w:rPr>
            </w:pPr>
            <w:r>
              <w:rPr>
                <w:rFonts w:ascii="Calibri" w:hAnsi="Calibri" w:cs="Calibri" w:hint="eastAsia"/>
                <w:szCs w:val="21"/>
              </w:rPr>
              <w:t>30</w:t>
            </w:r>
          </w:p>
        </w:tc>
      </w:tr>
      <w:tr w:rsidR="00E40303" w14:paraId="694B9A14" w14:textId="77777777">
        <w:tc>
          <w:tcPr>
            <w:tcW w:w="2177" w:type="dxa"/>
            <w:tcBorders>
              <w:top w:val="nil"/>
              <w:left w:val="nil"/>
              <w:bottom w:val="nil"/>
              <w:right w:val="nil"/>
            </w:tcBorders>
            <w:vAlign w:val="center"/>
          </w:tcPr>
          <w:p w14:paraId="3CBF1644" w14:textId="77777777" w:rsidR="00E40303" w:rsidRDefault="00000000">
            <w:pPr>
              <w:jc w:val="center"/>
              <w:rPr>
                <w:rFonts w:ascii="Calibri" w:hAnsi="Calibri" w:cs="Calibri"/>
                <w:szCs w:val="21"/>
              </w:rPr>
            </w:pPr>
            <w:r>
              <w:rPr>
                <w:rFonts w:ascii="Calibri" w:hAnsi="Calibri" w:cs="Calibri" w:hint="eastAsia"/>
                <w:szCs w:val="21"/>
              </w:rPr>
              <w:lastRenderedPageBreak/>
              <w:t>0.30</w:t>
            </w:r>
          </w:p>
        </w:tc>
        <w:tc>
          <w:tcPr>
            <w:tcW w:w="3193" w:type="dxa"/>
            <w:tcBorders>
              <w:top w:val="nil"/>
              <w:left w:val="nil"/>
              <w:bottom w:val="nil"/>
              <w:right w:val="nil"/>
            </w:tcBorders>
            <w:vAlign w:val="center"/>
          </w:tcPr>
          <w:p w14:paraId="09C5F8BC" w14:textId="77777777" w:rsidR="00E40303" w:rsidRDefault="00000000">
            <w:pPr>
              <w:jc w:val="center"/>
              <w:rPr>
                <w:rFonts w:ascii="Calibri" w:hAnsi="Calibri" w:cs="Calibri"/>
                <w:szCs w:val="21"/>
              </w:rPr>
            </w:pPr>
            <w:r>
              <w:rPr>
                <w:rFonts w:ascii="Calibri" w:hAnsi="Calibri" w:cs="Calibri" w:hint="eastAsia"/>
                <w:szCs w:val="21"/>
              </w:rPr>
              <w:t>70</w:t>
            </w:r>
          </w:p>
        </w:tc>
        <w:tc>
          <w:tcPr>
            <w:tcW w:w="3152" w:type="dxa"/>
            <w:tcBorders>
              <w:top w:val="nil"/>
              <w:left w:val="nil"/>
              <w:bottom w:val="nil"/>
              <w:right w:val="nil"/>
            </w:tcBorders>
            <w:vAlign w:val="center"/>
          </w:tcPr>
          <w:p w14:paraId="0AE40976" w14:textId="77777777" w:rsidR="00E40303" w:rsidRDefault="00000000">
            <w:pPr>
              <w:jc w:val="center"/>
              <w:rPr>
                <w:rFonts w:ascii="Calibri" w:hAnsi="Calibri" w:cs="Calibri"/>
                <w:szCs w:val="21"/>
              </w:rPr>
            </w:pPr>
            <w:r>
              <w:rPr>
                <w:rFonts w:ascii="Calibri" w:hAnsi="Calibri" w:cs="Calibri" w:hint="eastAsia"/>
                <w:szCs w:val="21"/>
              </w:rPr>
              <w:t>30</w:t>
            </w:r>
          </w:p>
        </w:tc>
      </w:tr>
      <w:tr w:rsidR="00E40303" w14:paraId="49376D3B" w14:textId="77777777">
        <w:tc>
          <w:tcPr>
            <w:tcW w:w="2177" w:type="dxa"/>
            <w:tcBorders>
              <w:top w:val="nil"/>
              <w:left w:val="nil"/>
              <w:bottom w:val="nil"/>
              <w:right w:val="nil"/>
            </w:tcBorders>
            <w:vAlign w:val="center"/>
          </w:tcPr>
          <w:p w14:paraId="1462E389" w14:textId="77777777" w:rsidR="00E40303" w:rsidRDefault="00000000">
            <w:pPr>
              <w:jc w:val="center"/>
              <w:rPr>
                <w:rFonts w:ascii="Calibri" w:hAnsi="Calibri" w:cs="Calibri"/>
                <w:szCs w:val="21"/>
              </w:rPr>
            </w:pPr>
            <w:r>
              <w:rPr>
                <w:rFonts w:ascii="Calibri" w:hAnsi="Calibri" w:cs="Calibri" w:hint="eastAsia"/>
                <w:szCs w:val="21"/>
              </w:rPr>
              <w:t>1.20</w:t>
            </w:r>
          </w:p>
        </w:tc>
        <w:tc>
          <w:tcPr>
            <w:tcW w:w="3193" w:type="dxa"/>
            <w:tcBorders>
              <w:top w:val="nil"/>
              <w:left w:val="nil"/>
              <w:bottom w:val="nil"/>
              <w:right w:val="nil"/>
            </w:tcBorders>
            <w:vAlign w:val="center"/>
          </w:tcPr>
          <w:p w14:paraId="30BFB252" w14:textId="77777777" w:rsidR="00E40303" w:rsidRDefault="00000000">
            <w:pPr>
              <w:jc w:val="center"/>
              <w:rPr>
                <w:rFonts w:ascii="Calibri" w:hAnsi="Calibri" w:cs="Calibri"/>
                <w:szCs w:val="21"/>
              </w:rPr>
            </w:pPr>
            <w:r>
              <w:rPr>
                <w:rFonts w:ascii="Calibri" w:hAnsi="Calibri" w:cs="Calibri" w:hint="eastAsia"/>
                <w:szCs w:val="21"/>
              </w:rPr>
              <w:t>5</w:t>
            </w:r>
          </w:p>
        </w:tc>
        <w:tc>
          <w:tcPr>
            <w:tcW w:w="3152" w:type="dxa"/>
            <w:tcBorders>
              <w:top w:val="nil"/>
              <w:left w:val="nil"/>
              <w:bottom w:val="nil"/>
              <w:right w:val="nil"/>
            </w:tcBorders>
            <w:vAlign w:val="center"/>
          </w:tcPr>
          <w:p w14:paraId="4528CC6E" w14:textId="77777777" w:rsidR="00E40303" w:rsidRDefault="00000000">
            <w:pPr>
              <w:jc w:val="center"/>
              <w:rPr>
                <w:rFonts w:ascii="Calibri" w:hAnsi="Calibri" w:cs="Calibri"/>
                <w:szCs w:val="21"/>
              </w:rPr>
            </w:pPr>
            <w:r>
              <w:rPr>
                <w:rFonts w:ascii="Calibri" w:hAnsi="Calibri" w:cs="Calibri" w:hint="eastAsia"/>
                <w:szCs w:val="21"/>
              </w:rPr>
              <w:t>95</w:t>
            </w:r>
          </w:p>
        </w:tc>
      </w:tr>
      <w:tr w:rsidR="00E40303" w14:paraId="792E608D" w14:textId="77777777">
        <w:tc>
          <w:tcPr>
            <w:tcW w:w="2177" w:type="dxa"/>
            <w:tcBorders>
              <w:top w:val="nil"/>
              <w:left w:val="nil"/>
              <w:bottom w:val="nil"/>
              <w:right w:val="nil"/>
            </w:tcBorders>
            <w:vAlign w:val="center"/>
          </w:tcPr>
          <w:p w14:paraId="6E663F08" w14:textId="77777777" w:rsidR="00E40303" w:rsidRDefault="00000000">
            <w:pPr>
              <w:jc w:val="center"/>
              <w:rPr>
                <w:rFonts w:ascii="Calibri" w:hAnsi="Calibri" w:cs="Calibri"/>
                <w:szCs w:val="21"/>
              </w:rPr>
            </w:pPr>
            <w:r>
              <w:rPr>
                <w:rFonts w:ascii="Calibri" w:hAnsi="Calibri" w:cs="Calibri" w:hint="eastAsia"/>
                <w:szCs w:val="21"/>
              </w:rPr>
              <w:t>3.00</w:t>
            </w:r>
          </w:p>
        </w:tc>
        <w:tc>
          <w:tcPr>
            <w:tcW w:w="3193" w:type="dxa"/>
            <w:tcBorders>
              <w:top w:val="nil"/>
              <w:left w:val="nil"/>
              <w:bottom w:val="nil"/>
              <w:right w:val="nil"/>
            </w:tcBorders>
            <w:vAlign w:val="center"/>
          </w:tcPr>
          <w:p w14:paraId="638D0480" w14:textId="77777777" w:rsidR="00E40303" w:rsidRDefault="00000000">
            <w:pPr>
              <w:jc w:val="center"/>
              <w:rPr>
                <w:rFonts w:ascii="Calibri" w:hAnsi="Calibri" w:cs="Calibri"/>
                <w:szCs w:val="21"/>
              </w:rPr>
            </w:pPr>
            <w:r>
              <w:rPr>
                <w:rFonts w:ascii="Calibri" w:hAnsi="Calibri" w:cs="Calibri" w:hint="eastAsia"/>
                <w:szCs w:val="21"/>
              </w:rPr>
              <w:t>5</w:t>
            </w:r>
          </w:p>
        </w:tc>
        <w:tc>
          <w:tcPr>
            <w:tcW w:w="3152" w:type="dxa"/>
            <w:tcBorders>
              <w:top w:val="nil"/>
              <w:left w:val="nil"/>
              <w:bottom w:val="nil"/>
              <w:right w:val="nil"/>
            </w:tcBorders>
            <w:vAlign w:val="center"/>
          </w:tcPr>
          <w:p w14:paraId="33F2803D" w14:textId="77777777" w:rsidR="00E40303" w:rsidRDefault="00000000">
            <w:pPr>
              <w:jc w:val="center"/>
              <w:rPr>
                <w:rFonts w:ascii="Calibri" w:hAnsi="Calibri" w:cs="Calibri"/>
                <w:szCs w:val="21"/>
              </w:rPr>
            </w:pPr>
            <w:r>
              <w:rPr>
                <w:rFonts w:ascii="Calibri" w:hAnsi="Calibri" w:cs="Calibri" w:hint="eastAsia"/>
                <w:szCs w:val="21"/>
              </w:rPr>
              <w:t>95</w:t>
            </w:r>
          </w:p>
        </w:tc>
      </w:tr>
      <w:tr w:rsidR="00E40303" w14:paraId="45570D91" w14:textId="77777777">
        <w:tc>
          <w:tcPr>
            <w:tcW w:w="2177" w:type="dxa"/>
            <w:tcBorders>
              <w:top w:val="nil"/>
              <w:left w:val="nil"/>
              <w:bottom w:val="nil"/>
              <w:right w:val="nil"/>
            </w:tcBorders>
            <w:vAlign w:val="center"/>
          </w:tcPr>
          <w:p w14:paraId="033AEA80" w14:textId="77777777" w:rsidR="00E40303" w:rsidRDefault="00000000">
            <w:pPr>
              <w:jc w:val="center"/>
              <w:rPr>
                <w:rFonts w:ascii="Calibri" w:hAnsi="Calibri" w:cs="Calibri"/>
                <w:szCs w:val="21"/>
              </w:rPr>
            </w:pPr>
            <w:r>
              <w:rPr>
                <w:rFonts w:ascii="Calibri" w:hAnsi="Calibri" w:cs="Calibri" w:hint="eastAsia"/>
                <w:szCs w:val="21"/>
              </w:rPr>
              <w:t>3.10</w:t>
            </w:r>
          </w:p>
        </w:tc>
        <w:tc>
          <w:tcPr>
            <w:tcW w:w="3193" w:type="dxa"/>
            <w:tcBorders>
              <w:top w:val="nil"/>
              <w:left w:val="nil"/>
              <w:bottom w:val="nil"/>
              <w:right w:val="nil"/>
            </w:tcBorders>
            <w:vAlign w:val="center"/>
          </w:tcPr>
          <w:p w14:paraId="0642EBEC" w14:textId="77777777" w:rsidR="00E40303" w:rsidRDefault="00000000">
            <w:pPr>
              <w:jc w:val="center"/>
              <w:rPr>
                <w:rFonts w:ascii="Calibri" w:hAnsi="Calibri" w:cs="Calibri"/>
                <w:szCs w:val="21"/>
              </w:rPr>
            </w:pPr>
            <w:r>
              <w:rPr>
                <w:rFonts w:ascii="Calibri" w:hAnsi="Calibri" w:cs="Calibri" w:hint="eastAsia"/>
                <w:szCs w:val="21"/>
              </w:rPr>
              <w:t>70</w:t>
            </w:r>
          </w:p>
        </w:tc>
        <w:tc>
          <w:tcPr>
            <w:tcW w:w="3152" w:type="dxa"/>
            <w:tcBorders>
              <w:top w:val="nil"/>
              <w:left w:val="nil"/>
              <w:bottom w:val="nil"/>
              <w:right w:val="nil"/>
            </w:tcBorders>
            <w:vAlign w:val="center"/>
          </w:tcPr>
          <w:p w14:paraId="506171C9" w14:textId="77777777" w:rsidR="00E40303" w:rsidRDefault="00000000">
            <w:pPr>
              <w:jc w:val="center"/>
              <w:rPr>
                <w:rFonts w:ascii="Calibri" w:hAnsi="Calibri" w:cs="Calibri"/>
                <w:szCs w:val="21"/>
              </w:rPr>
            </w:pPr>
            <w:r>
              <w:rPr>
                <w:rFonts w:ascii="Calibri" w:hAnsi="Calibri" w:cs="Calibri" w:hint="eastAsia"/>
                <w:szCs w:val="21"/>
              </w:rPr>
              <w:t>30</w:t>
            </w:r>
          </w:p>
        </w:tc>
      </w:tr>
      <w:tr w:rsidR="00E40303" w14:paraId="61E18951" w14:textId="77777777">
        <w:tc>
          <w:tcPr>
            <w:tcW w:w="2177" w:type="dxa"/>
            <w:tcBorders>
              <w:top w:val="nil"/>
              <w:left w:val="nil"/>
              <w:bottom w:val="single" w:sz="12" w:space="0" w:color="auto"/>
              <w:right w:val="nil"/>
            </w:tcBorders>
            <w:vAlign w:val="center"/>
          </w:tcPr>
          <w:p w14:paraId="37B05143" w14:textId="77777777" w:rsidR="00E40303" w:rsidRDefault="00000000">
            <w:pPr>
              <w:jc w:val="center"/>
              <w:rPr>
                <w:rFonts w:ascii="Calibri" w:hAnsi="Calibri" w:cs="Calibri"/>
                <w:szCs w:val="21"/>
              </w:rPr>
            </w:pPr>
            <w:r>
              <w:rPr>
                <w:rFonts w:ascii="Calibri" w:hAnsi="Calibri" w:cs="Calibri" w:hint="eastAsia"/>
                <w:szCs w:val="21"/>
              </w:rPr>
              <w:t>4.00</w:t>
            </w:r>
          </w:p>
        </w:tc>
        <w:tc>
          <w:tcPr>
            <w:tcW w:w="3193" w:type="dxa"/>
            <w:tcBorders>
              <w:top w:val="nil"/>
              <w:left w:val="nil"/>
              <w:bottom w:val="single" w:sz="12" w:space="0" w:color="auto"/>
              <w:right w:val="nil"/>
            </w:tcBorders>
            <w:vAlign w:val="center"/>
          </w:tcPr>
          <w:p w14:paraId="022A4C2A" w14:textId="77777777" w:rsidR="00E40303" w:rsidRDefault="00000000">
            <w:pPr>
              <w:jc w:val="center"/>
              <w:rPr>
                <w:rFonts w:ascii="Calibri" w:hAnsi="Calibri" w:cs="Calibri"/>
                <w:szCs w:val="21"/>
              </w:rPr>
            </w:pPr>
            <w:r>
              <w:rPr>
                <w:rFonts w:ascii="Calibri" w:hAnsi="Calibri" w:cs="Calibri" w:hint="eastAsia"/>
                <w:szCs w:val="21"/>
              </w:rPr>
              <w:t>70</w:t>
            </w:r>
          </w:p>
        </w:tc>
        <w:tc>
          <w:tcPr>
            <w:tcW w:w="3152" w:type="dxa"/>
            <w:tcBorders>
              <w:top w:val="nil"/>
              <w:left w:val="nil"/>
              <w:bottom w:val="single" w:sz="12" w:space="0" w:color="auto"/>
              <w:right w:val="nil"/>
            </w:tcBorders>
            <w:vAlign w:val="center"/>
          </w:tcPr>
          <w:p w14:paraId="2BB88C0D" w14:textId="77777777" w:rsidR="00E40303" w:rsidRDefault="00000000">
            <w:pPr>
              <w:jc w:val="center"/>
              <w:rPr>
                <w:rFonts w:ascii="Calibri" w:hAnsi="Calibri" w:cs="Calibri"/>
                <w:szCs w:val="21"/>
              </w:rPr>
            </w:pPr>
            <w:r>
              <w:rPr>
                <w:rFonts w:ascii="Calibri" w:hAnsi="Calibri" w:cs="Calibri" w:hint="eastAsia"/>
                <w:szCs w:val="21"/>
              </w:rPr>
              <w:t>30</w:t>
            </w:r>
          </w:p>
        </w:tc>
      </w:tr>
    </w:tbl>
    <w:p w14:paraId="245DDAEB" w14:textId="77777777" w:rsidR="00E40303" w:rsidRDefault="00000000">
      <w:pPr>
        <w:spacing w:afterLines="50" w:after="156"/>
        <w:ind w:firstLineChars="200" w:firstLine="480"/>
      </w:pPr>
      <w:r>
        <w:rPr>
          <w:rFonts w:ascii="Calibri" w:hAnsi="Calibri" w:cs="Calibri" w:hint="eastAsia"/>
          <w:sz w:val="24"/>
        </w:rPr>
        <w:t xml:space="preserve">The retention time of DART was 1.78 min compared with 1.80 min of verapamil, which was monitored at 210 nm. After the UPLC determination of the plasma concentration of the samples as described in Section 2.11, 30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plasma sample was added to 500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ethyl acetate to re-extract the component of DART, followed by the introduction of 10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verapamil working solution into the mixture. After mixing for 10 min by vortex mixer, the mixture was centrifuged at 12,000 rpm</w:t>
      </w:r>
      <w:r>
        <w:rPr>
          <w:rFonts w:ascii="Calibri" w:hAnsi="Calibri" w:cs="Calibri"/>
          <w:sz w:val="24"/>
        </w:rPr>
        <w:t xml:space="preserve"> at 4 °C for 15 min. Thus, </w:t>
      </w:r>
      <w:r>
        <w:rPr>
          <w:rFonts w:ascii="Calibri" w:hAnsi="Calibri" w:cs="Calibri" w:hint="eastAsia"/>
          <w:sz w:val="24"/>
        </w:rPr>
        <w:t>450</w:t>
      </w:r>
      <w:r>
        <w:rPr>
          <w:rFonts w:ascii="Calibri" w:hAnsi="Calibri" w:cs="Calibri"/>
          <w:sz w:val="24"/>
        </w:rPr>
        <w:t xml:space="preserve"> </w:t>
      </w:r>
      <w:proofErr w:type="spellStart"/>
      <w:r>
        <w:rPr>
          <w:rFonts w:ascii="Calibri" w:hAnsi="Calibri" w:cs="Calibri"/>
          <w:sz w:val="24"/>
        </w:rPr>
        <w:t>μL</w:t>
      </w:r>
      <w:proofErr w:type="spellEnd"/>
      <w:r>
        <w:rPr>
          <w:rFonts w:ascii="Calibri" w:hAnsi="Calibri" w:cs="Calibri"/>
          <w:sz w:val="24"/>
        </w:rPr>
        <w:t xml:space="preserve"> of the supernatant was</w:t>
      </w:r>
      <w:r>
        <w:rPr>
          <w:rFonts w:ascii="Calibri" w:hAnsi="Calibri" w:cs="Calibri" w:hint="eastAsia"/>
          <w:sz w:val="24"/>
        </w:rPr>
        <w:t xml:space="preserve"> transferred into another glass tube, followed by evaporated with the nitrogen stream at 60 </w:t>
      </w:r>
      <w:r>
        <w:rPr>
          <w:rFonts w:ascii="Calibri" w:hAnsi="Calibri" w:cs="Calibri"/>
          <w:sz w:val="24"/>
        </w:rPr>
        <w:t>°C</w:t>
      </w:r>
      <w:r>
        <w:rPr>
          <w:rFonts w:ascii="Calibri" w:hAnsi="Calibri" w:cs="Calibri" w:hint="eastAsia"/>
          <w:sz w:val="24"/>
        </w:rPr>
        <w:t xml:space="preserve">. Afterwards, 50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of MPA and MPB reagents were added to the glass tube. After mixing for 3 min by vortex mixer, the mixed solution was centrifuged at 3,000</w:t>
      </w:r>
      <w:r>
        <w:rPr>
          <w:rFonts w:ascii="Calibri" w:hAnsi="Calibri" w:cs="Calibri"/>
          <w:sz w:val="24"/>
        </w:rPr>
        <w:t xml:space="preserve"> × </w:t>
      </w:r>
      <w:r>
        <w:rPr>
          <w:rFonts w:ascii="Calibri" w:hAnsi="Calibri" w:cs="Calibri" w:hint="eastAsia"/>
          <w:sz w:val="24"/>
        </w:rPr>
        <w:t>g</w:t>
      </w:r>
      <w:r>
        <w:rPr>
          <w:rFonts w:ascii="Calibri" w:hAnsi="Calibri" w:cs="Calibri"/>
          <w:sz w:val="24"/>
        </w:rPr>
        <w:t xml:space="preserve"> at 4 °C for 15 min.</w:t>
      </w:r>
      <w:r>
        <w:rPr>
          <w:rFonts w:ascii="Calibri" w:hAnsi="Calibri" w:cs="Calibri" w:hint="eastAsia"/>
          <w:sz w:val="24"/>
        </w:rPr>
        <w:t xml:space="preserve"> 5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of the resulted mixture was analyzed by the UPLC method </w:t>
      </w:r>
      <w:proofErr w:type="gramStart"/>
      <w:r>
        <w:rPr>
          <w:rFonts w:ascii="Calibri" w:hAnsi="Calibri" w:cs="Calibri" w:hint="eastAsia"/>
          <w:sz w:val="24"/>
        </w:rPr>
        <w:t>as aforementioned</w:t>
      </w:r>
      <w:proofErr w:type="gramEnd"/>
      <w:r>
        <w:rPr>
          <w:rFonts w:ascii="Calibri" w:hAnsi="Calibri" w:cs="Calibri" w:hint="eastAsia"/>
          <w:sz w:val="24"/>
        </w:rPr>
        <w:t>. The rat plasma-DART concentration was calculated against a standard curve of DART, which was obtained using a series of standard plasma samples with varying concentrations of DART.</w:t>
      </w:r>
    </w:p>
    <w:p w14:paraId="3FA431D4" w14:textId="77777777" w:rsidR="00E40303" w:rsidRDefault="00000000">
      <w:pPr>
        <w:pStyle w:val="Heading1"/>
        <w:numPr>
          <w:ilvl w:val="0"/>
          <w:numId w:val="2"/>
        </w:numPr>
        <w:rPr>
          <w:sz w:val="24"/>
        </w:rPr>
      </w:pPr>
      <w:bookmarkStart w:id="2" w:name="_Toc169958406"/>
      <w:r>
        <w:rPr>
          <w:rFonts w:hint="eastAsia"/>
          <w:sz w:val="24"/>
        </w:rPr>
        <w:t>Measurement of the aqueous solubility of artesunate (ATS)</w:t>
      </w:r>
      <w:bookmarkEnd w:id="2"/>
    </w:p>
    <w:p w14:paraId="19185E4C" w14:textId="77777777" w:rsidR="00E40303" w:rsidRDefault="00000000">
      <w:pPr>
        <w:ind w:firstLineChars="200" w:firstLine="480"/>
        <w:rPr>
          <w:rFonts w:ascii="Calibri" w:hAnsi="Calibri" w:cs="Calibri"/>
          <w:sz w:val="24"/>
        </w:rPr>
      </w:pPr>
      <w:r>
        <w:rPr>
          <w:rFonts w:ascii="Calibri" w:hAnsi="Calibri" w:cs="Calibri" w:hint="eastAsia"/>
          <w:sz w:val="24"/>
        </w:rPr>
        <w:t xml:space="preserve">The aqueous solubility of ATS </w:t>
      </w:r>
      <w:r>
        <w:rPr>
          <w:rFonts w:ascii="Calibri" w:hAnsi="Calibri" w:cs="Calibri"/>
          <w:sz w:val="24"/>
        </w:rPr>
        <w:t xml:space="preserve">was quantified by </w:t>
      </w:r>
      <w:r>
        <w:rPr>
          <w:rFonts w:ascii="Calibri" w:hAnsi="Calibri" w:cs="Calibri" w:hint="eastAsia"/>
          <w:sz w:val="24"/>
        </w:rPr>
        <w:t>ZORBAX</w:t>
      </w:r>
      <w:r>
        <w:rPr>
          <w:rFonts w:ascii="Calibri" w:hAnsi="Calibri" w:cs="Calibri"/>
          <w:sz w:val="24"/>
        </w:rPr>
        <w:t xml:space="preserve"> UPLC system using a 4.5 × 50 mm </w:t>
      </w:r>
      <w:r>
        <w:rPr>
          <w:rFonts w:ascii="Calibri" w:hAnsi="Calibri" w:cs="Calibri" w:hint="eastAsia"/>
          <w:sz w:val="24"/>
        </w:rPr>
        <w:t>XDB</w:t>
      </w:r>
      <w:r>
        <w:rPr>
          <w:rFonts w:ascii="Calibri" w:hAnsi="Calibri" w:cs="Calibri"/>
          <w:sz w:val="24"/>
        </w:rPr>
        <w:t xml:space="preserve"> C18 column </w:t>
      </w:r>
      <w:r>
        <w:rPr>
          <w:rFonts w:ascii="Calibri" w:hAnsi="Calibri" w:cs="Calibri" w:hint="eastAsia"/>
          <w:sz w:val="24"/>
        </w:rPr>
        <w:t xml:space="preserve">(particle size 5.0 </w:t>
      </w:r>
      <w:proofErr w:type="spellStart"/>
      <w:r>
        <w:rPr>
          <w:rFonts w:ascii="Calibri" w:hAnsi="Calibri" w:cs="Calibri"/>
          <w:sz w:val="24"/>
        </w:rPr>
        <w:t>μ</w:t>
      </w:r>
      <w:r>
        <w:rPr>
          <w:rFonts w:ascii="Calibri" w:hAnsi="Calibri" w:cs="Calibri" w:hint="eastAsia"/>
          <w:sz w:val="24"/>
        </w:rPr>
        <w:t>m</w:t>
      </w:r>
      <w:proofErr w:type="spellEnd"/>
      <w:r>
        <w:rPr>
          <w:rFonts w:ascii="Calibri" w:hAnsi="Calibri" w:cs="Calibri" w:hint="eastAsia"/>
          <w:sz w:val="24"/>
        </w:rPr>
        <w:t>) (Agilent). Verapamil was employed as internal standard for quantification of ATS. The separation was carried out with a flow rate of 0.5 mL/min using a gradient liquid phase consisting of 1 mM ammonium formate-5%(v/v) acetonitrile-95%(v/v) water as mobile phase A containing 0.1% (v/v) formic acid and 50%(v/v) methanol-50%(v/v) acetonitrile as mobile phase B. The gradient was formulated as follows:</w:t>
      </w:r>
    </w:p>
    <w:p w14:paraId="56E639A3" w14:textId="77777777" w:rsidR="00E40303" w:rsidRDefault="00E40303">
      <w:pPr>
        <w:ind w:firstLineChars="200" w:firstLine="480"/>
        <w:rPr>
          <w:rFonts w:ascii="Calibri" w:hAnsi="Calibri" w:cs="Calibri"/>
          <w:sz w:val="24"/>
        </w:rPr>
      </w:pPr>
    </w:p>
    <w:p w14:paraId="593E0C9D" w14:textId="77777777" w:rsidR="00E40303" w:rsidRDefault="00E40303">
      <w:pPr>
        <w:ind w:firstLineChars="200" w:firstLine="480"/>
        <w:rPr>
          <w:rFonts w:ascii="Calibri" w:hAnsi="Calibri" w:cs="Calibri"/>
          <w:sz w:val="24"/>
        </w:rPr>
      </w:pPr>
    </w:p>
    <w:tbl>
      <w:tblPr>
        <w:tblStyle w:val="TableGrid"/>
        <w:tblW w:w="0" w:type="auto"/>
        <w:tblLook w:val="04A0" w:firstRow="1" w:lastRow="0" w:firstColumn="1" w:lastColumn="0" w:noHBand="0" w:noVBand="1"/>
      </w:tblPr>
      <w:tblGrid>
        <w:gridCol w:w="2177"/>
        <w:gridCol w:w="3193"/>
        <w:gridCol w:w="3152"/>
      </w:tblGrid>
      <w:tr w:rsidR="00E40303" w14:paraId="7DF2A4AC" w14:textId="77777777">
        <w:tc>
          <w:tcPr>
            <w:tcW w:w="2177" w:type="dxa"/>
            <w:tcBorders>
              <w:top w:val="single" w:sz="12" w:space="0" w:color="auto"/>
              <w:left w:val="nil"/>
              <w:bottom w:val="single" w:sz="4" w:space="0" w:color="auto"/>
              <w:right w:val="nil"/>
            </w:tcBorders>
            <w:vAlign w:val="center"/>
          </w:tcPr>
          <w:p w14:paraId="3C76BA2D" w14:textId="77777777" w:rsidR="00E40303" w:rsidRDefault="00000000">
            <w:pPr>
              <w:jc w:val="center"/>
              <w:rPr>
                <w:rFonts w:ascii="Calibri" w:hAnsi="Calibri" w:cs="Calibri"/>
                <w:szCs w:val="21"/>
              </w:rPr>
            </w:pPr>
            <w:r>
              <w:rPr>
                <w:rFonts w:ascii="Calibri" w:hAnsi="Calibri" w:cs="Calibri" w:hint="eastAsia"/>
                <w:szCs w:val="21"/>
              </w:rPr>
              <w:t>Time (min)</w:t>
            </w:r>
          </w:p>
        </w:tc>
        <w:tc>
          <w:tcPr>
            <w:tcW w:w="3193" w:type="dxa"/>
            <w:tcBorders>
              <w:top w:val="single" w:sz="12" w:space="0" w:color="auto"/>
              <w:left w:val="nil"/>
              <w:bottom w:val="single" w:sz="4" w:space="0" w:color="auto"/>
              <w:right w:val="nil"/>
            </w:tcBorders>
            <w:vAlign w:val="center"/>
          </w:tcPr>
          <w:p w14:paraId="31D133B4" w14:textId="77777777" w:rsidR="00E40303" w:rsidRDefault="00000000">
            <w:pPr>
              <w:jc w:val="center"/>
              <w:rPr>
                <w:rFonts w:ascii="Calibri" w:hAnsi="Calibri" w:cs="Calibri"/>
                <w:szCs w:val="21"/>
              </w:rPr>
            </w:pPr>
            <w:r>
              <w:rPr>
                <w:rFonts w:ascii="Calibri" w:hAnsi="Calibri" w:cs="Calibri" w:hint="eastAsia"/>
                <w:szCs w:val="21"/>
              </w:rPr>
              <w:t>Mobile phase A (%)</w:t>
            </w:r>
          </w:p>
        </w:tc>
        <w:tc>
          <w:tcPr>
            <w:tcW w:w="3152" w:type="dxa"/>
            <w:tcBorders>
              <w:top w:val="single" w:sz="12" w:space="0" w:color="auto"/>
              <w:left w:val="nil"/>
              <w:bottom w:val="single" w:sz="4" w:space="0" w:color="auto"/>
              <w:right w:val="nil"/>
            </w:tcBorders>
            <w:vAlign w:val="center"/>
          </w:tcPr>
          <w:p w14:paraId="41B954AF" w14:textId="77777777" w:rsidR="00E40303" w:rsidRDefault="00000000">
            <w:pPr>
              <w:jc w:val="center"/>
              <w:rPr>
                <w:rFonts w:ascii="Calibri" w:hAnsi="Calibri" w:cs="Calibri"/>
                <w:szCs w:val="21"/>
              </w:rPr>
            </w:pPr>
            <w:r>
              <w:rPr>
                <w:rFonts w:ascii="Calibri" w:hAnsi="Calibri" w:cs="Calibri" w:hint="eastAsia"/>
                <w:szCs w:val="21"/>
              </w:rPr>
              <w:t>Mobile phase B (%)</w:t>
            </w:r>
          </w:p>
        </w:tc>
      </w:tr>
      <w:tr w:rsidR="00E40303" w14:paraId="2408E471" w14:textId="77777777">
        <w:trPr>
          <w:trHeight w:val="301"/>
        </w:trPr>
        <w:tc>
          <w:tcPr>
            <w:tcW w:w="2177" w:type="dxa"/>
            <w:tcBorders>
              <w:top w:val="single" w:sz="4" w:space="0" w:color="auto"/>
              <w:left w:val="nil"/>
              <w:bottom w:val="nil"/>
              <w:right w:val="nil"/>
            </w:tcBorders>
            <w:vAlign w:val="center"/>
          </w:tcPr>
          <w:p w14:paraId="60A4584A" w14:textId="77777777" w:rsidR="00E40303" w:rsidRDefault="00000000">
            <w:pPr>
              <w:jc w:val="center"/>
              <w:rPr>
                <w:rFonts w:ascii="Calibri" w:hAnsi="Calibri" w:cs="Calibri"/>
                <w:szCs w:val="21"/>
              </w:rPr>
            </w:pPr>
            <w:r>
              <w:rPr>
                <w:rFonts w:ascii="Calibri" w:hAnsi="Calibri" w:cs="Calibri" w:hint="eastAsia"/>
                <w:szCs w:val="21"/>
              </w:rPr>
              <w:t>0.00</w:t>
            </w:r>
          </w:p>
        </w:tc>
        <w:tc>
          <w:tcPr>
            <w:tcW w:w="3193" w:type="dxa"/>
            <w:tcBorders>
              <w:top w:val="single" w:sz="4" w:space="0" w:color="auto"/>
              <w:left w:val="nil"/>
              <w:bottom w:val="nil"/>
              <w:right w:val="nil"/>
            </w:tcBorders>
            <w:vAlign w:val="center"/>
          </w:tcPr>
          <w:p w14:paraId="1BDBE7D3" w14:textId="77777777" w:rsidR="00E40303" w:rsidRDefault="00000000">
            <w:pPr>
              <w:jc w:val="center"/>
              <w:rPr>
                <w:rFonts w:ascii="Calibri" w:hAnsi="Calibri" w:cs="Calibri"/>
                <w:szCs w:val="21"/>
              </w:rPr>
            </w:pPr>
            <w:r>
              <w:rPr>
                <w:rFonts w:ascii="Calibri" w:hAnsi="Calibri" w:cs="Calibri" w:hint="eastAsia"/>
                <w:szCs w:val="21"/>
              </w:rPr>
              <w:t>35</w:t>
            </w:r>
          </w:p>
        </w:tc>
        <w:tc>
          <w:tcPr>
            <w:tcW w:w="3152" w:type="dxa"/>
            <w:tcBorders>
              <w:top w:val="single" w:sz="4" w:space="0" w:color="auto"/>
              <w:left w:val="nil"/>
              <w:bottom w:val="nil"/>
              <w:right w:val="nil"/>
            </w:tcBorders>
            <w:vAlign w:val="center"/>
          </w:tcPr>
          <w:p w14:paraId="5E59546E" w14:textId="77777777" w:rsidR="00E40303" w:rsidRDefault="00000000">
            <w:pPr>
              <w:jc w:val="center"/>
              <w:rPr>
                <w:rFonts w:ascii="Calibri" w:hAnsi="Calibri" w:cs="Calibri"/>
                <w:szCs w:val="21"/>
              </w:rPr>
            </w:pPr>
            <w:r>
              <w:rPr>
                <w:rFonts w:ascii="Calibri" w:hAnsi="Calibri" w:cs="Calibri" w:hint="eastAsia"/>
                <w:szCs w:val="21"/>
              </w:rPr>
              <w:t>65</w:t>
            </w:r>
          </w:p>
        </w:tc>
      </w:tr>
      <w:tr w:rsidR="00E40303" w14:paraId="20871076" w14:textId="77777777">
        <w:tc>
          <w:tcPr>
            <w:tcW w:w="2177" w:type="dxa"/>
            <w:tcBorders>
              <w:top w:val="nil"/>
              <w:left w:val="nil"/>
              <w:bottom w:val="nil"/>
              <w:right w:val="nil"/>
            </w:tcBorders>
            <w:vAlign w:val="center"/>
          </w:tcPr>
          <w:p w14:paraId="04308CC9" w14:textId="77777777" w:rsidR="00E40303" w:rsidRDefault="00000000">
            <w:pPr>
              <w:jc w:val="center"/>
              <w:rPr>
                <w:rFonts w:ascii="Calibri" w:hAnsi="Calibri" w:cs="Calibri"/>
                <w:szCs w:val="21"/>
              </w:rPr>
            </w:pPr>
            <w:r>
              <w:rPr>
                <w:rFonts w:ascii="Calibri" w:hAnsi="Calibri" w:cs="Calibri" w:hint="eastAsia"/>
                <w:szCs w:val="21"/>
              </w:rPr>
              <w:t>2.00</w:t>
            </w:r>
          </w:p>
        </w:tc>
        <w:tc>
          <w:tcPr>
            <w:tcW w:w="3193" w:type="dxa"/>
            <w:tcBorders>
              <w:top w:val="nil"/>
              <w:left w:val="nil"/>
              <w:bottom w:val="nil"/>
              <w:right w:val="nil"/>
            </w:tcBorders>
            <w:vAlign w:val="center"/>
          </w:tcPr>
          <w:p w14:paraId="5595A44E" w14:textId="77777777" w:rsidR="00E40303" w:rsidRDefault="00000000">
            <w:pPr>
              <w:jc w:val="center"/>
              <w:rPr>
                <w:rFonts w:ascii="Calibri" w:hAnsi="Calibri" w:cs="Calibri"/>
                <w:szCs w:val="21"/>
              </w:rPr>
            </w:pPr>
            <w:r>
              <w:rPr>
                <w:rFonts w:ascii="Calibri" w:hAnsi="Calibri" w:cs="Calibri" w:hint="eastAsia"/>
                <w:szCs w:val="21"/>
              </w:rPr>
              <w:t>5</w:t>
            </w:r>
          </w:p>
        </w:tc>
        <w:tc>
          <w:tcPr>
            <w:tcW w:w="3152" w:type="dxa"/>
            <w:tcBorders>
              <w:top w:val="nil"/>
              <w:left w:val="nil"/>
              <w:bottom w:val="nil"/>
              <w:right w:val="nil"/>
            </w:tcBorders>
            <w:vAlign w:val="center"/>
          </w:tcPr>
          <w:p w14:paraId="68CD2165" w14:textId="77777777" w:rsidR="00E40303" w:rsidRDefault="00000000">
            <w:pPr>
              <w:jc w:val="center"/>
              <w:rPr>
                <w:rFonts w:ascii="Calibri" w:hAnsi="Calibri" w:cs="Calibri"/>
                <w:szCs w:val="21"/>
              </w:rPr>
            </w:pPr>
            <w:r>
              <w:rPr>
                <w:rFonts w:ascii="Calibri" w:hAnsi="Calibri" w:cs="Calibri" w:hint="eastAsia"/>
                <w:szCs w:val="21"/>
              </w:rPr>
              <w:t>95</w:t>
            </w:r>
          </w:p>
        </w:tc>
      </w:tr>
      <w:tr w:rsidR="00E40303" w14:paraId="1E300D84" w14:textId="77777777">
        <w:tc>
          <w:tcPr>
            <w:tcW w:w="2177" w:type="dxa"/>
            <w:tcBorders>
              <w:top w:val="nil"/>
              <w:left w:val="nil"/>
              <w:bottom w:val="nil"/>
              <w:right w:val="nil"/>
            </w:tcBorders>
            <w:vAlign w:val="center"/>
          </w:tcPr>
          <w:p w14:paraId="788F4080" w14:textId="77777777" w:rsidR="00E40303" w:rsidRDefault="00000000">
            <w:pPr>
              <w:jc w:val="center"/>
              <w:rPr>
                <w:rFonts w:ascii="Calibri" w:hAnsi="Calibri" w:cs="Calibri"/>
                <w:szCs w:val="21"/>
              </w:rPr>
            </w:pPr>
            <w:r>
              <w:rPr>
                <w:rFonts w:ascii="Calibri" w:hAnsi="Calibri" w:cs="Calibri" w:hint="eastAsia"/>
                <w:szCs w:val="21"/>
              </w:rPr>
              <w:t>5.00</w:t>
            </w:r>
          </w:p>
        </w:tc>
        <w:tc>
          <w:tcPr>
            <w:tcW w:w="3193" w:type="dxa"/>
            <w:tcBorders>
              <w:top w:val="nil"/>
              <w:left w:val="nil"/>
              <w:bottom w:val="nil"/>
              <w:right w:val="nil"/>
            </w:tcBorders>
            <w:vAlign w:val="center"/>
          </w:tcPr>
          <w:p w14:paraId="2AAA7333" w14:textId="77777777" w:rsidR="00E40303" w:rsidRDefault="00000000">
            <w:pPr>
              <w:jc w:val="center"/>
              <w:rPr>
                <w:rFonts w:ascii="Calibri" w:hAnsi="Calibri" w:cs="Calibri"/>
                <w:szCs w:val="21"/>
              </w:rPr>
            </w:pPr>
            <w:r>
              <w:rPr>
                <w:rFonts w:ascii="Calibri" w:hAnsi="Calibri" w:cs="Calibri" w:hint="eastAsia"/>
                <w:szCs w:val="21"/>
              </w:rPr>
              <w:t>5</w:t>
            </w:r>
          </w:p>
        </w:tc>
        <w:tc>
          <w:tcPr>
            <w:tcW w:w="3152" w:type="dxa"/>
            <w:tcBorders>
              <w:top w:val="nil"/>
              <w:left w:val="nil"/>
              <w:bottom w:val="nil"/>
              <w:right w:val="nil"/>
            </w:tcBorders>
            <w:vAlign w:val="center"/>
          </w:tcPr>
          <w:p w14:paraId="68123960" w14:textId="77777777" w:rsidR="00E40303" w:rsidRDefault="00000000">
            <w:pPr>
              <w:jc w:val="center"/>
              <w:rPr>
                <w:rFonts w:ascii="Calibri" w:hAnsi="Calibri" w:cs="Calibri"/>
                <w:szCs w:val="21"/>
              </w:rPr>
            </w:pPr>
            <w:r>
              <w:rPr>
                <w:rFonts w:ascii="Calibri" w:hAnsi="Calibri" w:cs="Calibri" w:hint="eastAsia"/>
                <w:szCs w:val="21"/>
              </w:rPr>
              <w:t>95</w:t>
            </w:r>
          </w:p>
        </w:tc>
      </w:tr>
      <w:tr w:rsidR="00E40303" w14:paraId="653163FF" w14:textId="77777777">
        <w:tc>
          <w:tcPr>
            <w:tcW w:w="2177" w:type="dxa"/>
            <w:tcBorders>
              <w:top w:val="nil"/>
              <w:left w:val="nil"/>
              <w:bottom w:val="nil"/>
              <w:right w:val="nil"/>
            </w:tcBorders>
            <w:vAlign w:val="center"/>
          </w:tcPr>
          <w:p w14:paraId="34833B2C" w14:textId="77777777" w:rsidR="00E40303" w:rsidRDefault="00000000">
            <w:pPr>
              <w:jc w:val="center"/>
              <w:rPr>
                <w:rFonts w:ascii="Calibri" w:hAnsi="Calibri" w:cs="Calibri"/>
                <w:szCs w:val="21"/>
              </w:rPr>
            </w:pPr>
            <w:r>
              <w:rPr>
                <w:rFonts w:ascii="Calibri" w:hAnsi="Calibri" w:cs="Calibri" w:hint="eastAsia"/>
                <w:szCs w:val="21"/>
              </w:rPr>
              <w:t>5.10</w:t>
            </w:r>
          </w:p>
        </w:tc>
        <w:tc>
          <w:tcPr>
            <w:tcW w:w="3193" w:type="dxa"/>
            <w:tcBorders>
              <w:top w:val="nil"/>
              <w:left w:val="nil"/>
              <w:bottom w:val="nil"/>
              <w:right w:val="nil"/>
            </w:tcBorders>
            <w:vAlign w:val="center"/>
          </w:tcPr>
          <w:p w14:paraId="2981E5FF" w14:textId="77777777" w:rsidR="00E40303" w:rsidRDefault="00000000">
            <w:pPr>
              <w:jc w:val="center"/>
              <w:rPr>
                <w:rFonts w:ascii="Calibri" w:hAnsi="Calibri" w:cs="Calibri"/>
                <w:szCs w:val="21"/>
              </w:rPr>
            </w:pPr>
            <w:r>
              <w:rPr>
                <w:rFonts w:ascii="Calibri" w:hAnsi="Calibri" w:cs="Calibri" w:hint="eastAsia"/>
                <w:szCs w:val="21"/>
              </w:rPr>
              <w:t>35</w:t>
            </w:r>
          </w:p>
        </w:tc>
        <w:tc>
          <w:tcPr>
            <w:tcW w:w="3152" w:type="dxa"/>
            <w:tcBorders>
              <w:top w:val="nil"/>
              <w:left w:val="nil"/>
              <w:bottom w:val="nil"/>
              <w:right w:val="nil"/>
            </w:tcBorders>
            <w:vAlign w:val="center"/>
          </w:tcPr>
          <w:p w14:paraId="77612766" w14:textId="77777777" w:rsidR="00E40303" w:rsidRDefault="00000000">
            <w:pPr>
              <w:jc w:val="center"/>
              <w:rPr>
                <w:rFonts w:ascii="Calibri" w:hAnsi="Calibri" w:cs="Calibri"/>
                <w:szCs w:val="21"/>
              </w:rPr>
            </w:pPr>
            <w:r>
              <w:rPr>
                <w:rFonts w:ascii="Calibri" w:hAnsi="Calibri" w:cs="Calibri" w:hint="eastAsia"/>
                <w:szCs w:val="21"/>
              </w:rPr>
              <w:t>65</w:t>
            </w:r>
          </w:p>
        </w:tc>
      </w:tr>
      <w:tr w:rsidR="00E40303" w14:paraId="64FCD7EA" w14:textId="77777777">
        <w:tc>
          <w:tcPr>
            <w:tcW w:w="2177" w:type="dxa"/>
            <w:tcBorders>
              <w:top w:val="nil"/>
              <w:left w:val="nil"/>
              <w:bottom w:val="single" w:sz="12" w:space="0" w:color="auto"/>
              <w:right w:val="nil"/>
            </w:tcBorders>
            <w:vAlign w:val="center"/>
          </w:tcPr>
          <w:p w14:paraId="32D615DD" w14:textId="77777777" w:rsidR="00E40303" w:rsidRDefault="00000000">
            <w:pPr>
              <w:jc w:val="center"/>
              <w:rPr>
                <w:rFonts w:ascii="Calibri" w:hAnsi="Calibri" w:cs="Calibri"/>
                <w:szCs w:val="21"/>
              </w:rPr>
            </w:pPr>
            <w:r>
              <w:rPr>
                <w:rFonts w:ascii="Calibri" w:hAnsi="Calibri" w:cs="Calibri" w:hint="eastAsia"/>
                <w:szCs w:val="21"/>
              </w:rPr>
              <w:t>6.00</w:t>
            </w:r>
          </w:p>
        </w:tc>
        <w:tc>
          <w:tcPr>
            <w:tcW w:w="3193" w:type="dxa"/>
            <w:tcBorders>
              <w:top w:val="nil"/>
              <w:left w:val="nil"/>
              <w:bottom w:val="single" w:sz="12" w:space="0" w:color="auto"/>
              <w:right w:val="nil"/>
            </w:tcBorders>
            <w:vAlign w:val="center"/>
          </w:tcPr>
          <w:p w14:paraId="5A118C29" w14:textId="77777777" w:rsidR="00E40303" w:rsidRDefault="00000000">
            <w:pPr>
              <w:jc w:val="center"/>
              <w:rPr>
                <w:rFonts w:ascii="Calibri" w:hAnsi="Calibri" w:cs="Calibri"/>
                <w:szCs w:val="21"/>
              </w:rPr>
            </w:pPr>
            <w:r>
              <w:rPr>
                <w:rFonts w:ascii="Calibri" w:hAnsi="Calibri" w:cs="Calibri" w:hint="eastAsia"/>
                <w:szCs w:val="21"/>
              </w:rPr>
              <w:t>35</w:t>
            </w:r>
          </w:p>
        </w:tc>
        <w:tc>
          <w:tcPr>
            <w:tcW w:w="3152" w:type="dxa"/>
            <w:tcBorders>
              <w:top w:val="nil"/>
              <w:left w:val="nil"/>
              <w:bottom w:val="single" w:sz="12" w:space="0" w:color="auto"/>
              <w:right w:val="nil"/>
            </w:tcBorders>
            <w:vAlign w:val="center"/>
          </w:tcPr>
          <w:p w14:paraId="6E3AE8AB" w14:textId="77777777" w:rsidR="00E40303" w:rsidRDefault="00000000">
            <w:pPr>
              <w:jc w:val="center"/>
              <w:rPr>
                <w:rFonts w:ascii="Calibri" w:hAnsi="Calibri" w:cs="Calibri"/>
                <w:szCs w:val="21"/>
              </w:rPr>
            </w:pPr>
            <w:r>
              <w:rPr>
                <w:rFonts w:ascii="Calibri" w:hAnsi="Calibri" w:cs="Calibri" w:hint="eastAsia"/>
                <w:szCs w:val="21"/>
              </w:rPr>
              <w:t>65</w:t>
            </w:r>
          </w:p>
        </w:tc>
      </w:tr>
    </w:tbl>
    <w:p w14:paraId="52F40625" w14:textId="77777777" w:rsidR="00E40303" w:rsidRDefault="00000000">
      <w:pPr>
        <w:spacing w:afterLines="50" w:after="156"/>
        <w:ind w:firstLineChars="200" w:firstLine="480"/>
        <w:rPr>
          <w:rFonts w:eastAsia="MS Mincho"/>
          <w:szCs w:val="21"/>
          <w:lang w:eastAsia="ja-JP"/>
        </w:rPr>
      </w:pPr>
      <w:r>
        <w:rPr>
          <w:rFonts w:ascii="Calibri" w:hAnsi="Calibri" w:cs="Calibri" w:hint="eastAsia"/>
          <w:sz w:val="24"/>
        </w:rPr>
        <w:t xml:space="preserve">The retention time of ATS was 2.28 min compared with 1.08 min of verapamil, which was monitored at 210 nm. A stock solution of ATS (10 mM) was prepared by sonification for 1 h at 37 </w:t>
      </w:r>
      <w:r>
        <w:rPr>
          <w:rFonts w:ascii="Calibri" w:hAnsi="Calibri" w:cs="Calibri"/>
          <w:sz w:val="24"/>
        </w:rPr>
        <w:t>°C</w:t>
      </w:r>
      <w:r>
        <w:rPr>
          <w:rFonts w:ascii="Calibri" w:hAnsi="Calibri" w:cs="Calibri" w:hint="eastAsia"/>
          <w:sz w:val="24"/>
        </w:rPr>
        <w:t xml:space="preserve">. 8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of stock solution was added to 792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PBS buffer (100 mM, pH 7.4), followed by centrifugation at 1,000 rpm at room temperature for 1 h. After that, the mixture was centrifuged at 12,000 rpm at room temperature for another 10 min. Next, 100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of the resulted supernatant was added to 900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MeOH and thus mixed well by vortex mixer. Subsequently, the mixed sample was centrifuged at 12,000 rpm at room temperature for 5 min, resulting in a 10-fold </w:t>
      </w:r>
      <w:r>
        <w:rPr>
          <w:rFonts w:ascii="Calibri" w:hAnsi="Calibri" w:cs="Calibri" w:hint="eastAsia"/>
          <w:sz w:val="24"/>
        </w:rPr>
        <w:lastRenderedPageBreak/>
        <w:t xml:space="preserve">diluted sample. This step was twice repeated to gain a 1,000-fold diluted sample. Afterwards, 50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verapamil working solution and 200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w:t>
      </w:r>
      <w:proofErr w:type="spellStart"/>
      <w:r>
        <w:rPr>
          <w:rFonts w:ascii="Calibri" w:hAnsi="Calibri" w:cs="Calibri" w:hint="eastAsia"/>
          <w:sz w:val="24"/>
        </w:rPr>
        <w:t>MilliQ</w:t>
      </w:r>
      <w:proofErr w:type="spellEnd"/>
      <w:r>
        <w:rPr>
          <w:rFonts w:ascii="Calibri" w:hAnsi="Calibri" w:cs="Calibri" w:hint="eastAsia"/>
          <w:sz w:val="24"/>
        </w:rPr>
        <w:t xml:space="preserve"> water were added to 200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of the 1000-fold diluted sample and mixed well by vortex mixer. 2 </w:t>
      </w:r>
      <w:proofErr w:type="spellStart"/>
      <w:r>
        <w:rPr>
          <w:rFonts w:ascii="Calibri" w:hAnsi="Calibri" w:cs="Calibri"/>
          <w:sz w:val="24"/>
        </w:rPr>
        <w:t>μ</w:t>
      </w:r>
      <w:r>
        <w:rPr>
          <w:rFonts w:ascii="Calibri" w:hAnsi="Calibri" w:cs="Calibri" w:hint="eastAsia"/>
          <w:sz w:val="24"/>
        </w:rPr>
        <w:t>L</w:t>
      </w:r>
      <w:proofErr w:type="spellEnd"/>
      <w:r>
        <w:rPr>
          <w:rFonts w:ascii="Calibri" w:hAnsi="Calibri" w:cs="Calibri" w:hint="eastAsia"/>
          <w:sz w:val="24"/>
        </w:rPr>
        <w:t xml:space="preserve"> of the resulted mixture was analyzed by the UPLC method </w:t>
      </w:r>
      <w:proofErr w:type="gramStart"/>
      <w:r>
        <w:rPr>
          <w:rFonts w:ascii="Calibri" w:hAnsi="Calibri" w:cs="Calibri" w:hint="eastAsia"/>
          <w:sz w:val="24"/>
        </w:rPr>
        <w:t>as aforementioned</w:t>
      </w:r>
      <w:proofErr w:type="gramEnd"/>
      <w:r>
        <w:rPr>
          <w:rFonts w:ascii="Calibri" w:hAnsi="Calibri" w:cs="Calibri" w:hint="eastAsia"/>
          <w:sz w:val="24"/>
        </w:rPr>
        <w:t>.</w:t>
      </w:r>
    </w:p>
    <w:p w14:paraId="769CA6FC" w14:textId="77777777" w:rsidR="00E40303" w:rsidRDefault="00E40303">
      <w:pPr>
        <w:adjustRightInd w:val="0"/>
        <w:snapToGrid w:val="0"/>
        <w:spacing w:afterLines="50" w:after="156"/>
        <w:rPr>
          <w:rFonts w:eastAsia="MS Mincho"/>
          <w:szCs w:val="21"/>
          <w:lang w:eastAsia="ja-JP"/>
        </w:rPr>
      </w:pPr>
    </w:p>
    <w:p w14:paraId="72BF00D0" w14:textId="77777777" w:rsidR="00E40303" w:rsidRDefault="00E40303">
      <w:pPr>
        <w:adjustRightInd w:val="0"/>
        <w:snapToGrid w:val="0"/>
        <w:spacing w:afterLines="50" w:after="156"/>
        <w:rPr>
          <w:rFonts w:eastAsia="MS Mincho"/>
          <w:szCs w:val="21"/>
          <w:lang w:eastAsia="ja-JP"/>
        </w:rPr>
      </w:pPr>
    </w:p>
    <w:p w14:paraId="248F21BA" w14:textId="77777777" w:rsidR="00E40303" w:rsidRDefault="00000000">
      <w:pPr>
        <w:rPr>
          <w:rFonts w:ascii="Calibri" w:eastAsia="MS Mincho" w:hAnsi="Calibri" w:cs="Times New Roman"/>
          <w:sz w:val="18"/>
          <w:szCs w:val="18"/>
          <w:lang w:eastAsia="ja-JP"/>
        </w:rPr>
      </w:pPr>
      <w:r>
        <w:rPr>
          <w:rFonts w:ascii="Calibri" w:eastAsia="MS Mincho" w:hAnsi="Calibri" w:cs="Times New Roman" w:hint="eastAsia"/>
          <w:sz w:val="18"/>
          <w:szCs w:val="18"/>
          <w:lang w:eastAsia="ja-JP"/>
        </w:rPr>
        <w:br w:type="page"/>
      </w:r>
    </w:p>
    <w:p w14:paraId="220DA148" w14:textId="77777777" w:rsidR="00E40303" w:rsidRDefault="00000000">
      <w:pPr>
        <w:pStyle w:val="Heading1"/>
        <w:numPr>
          <w:ilvl w:val="0"/>
          <w:numId w:val="2"/>
        </w:numPr>
        <w:rPr>
          <w:sz w:val="24"/>
          <w:lang w:eastAsia="ja-JP"/>
        </w:rPr>
      </w:pPr>
      <w:bookmarkStart w:id="3" w:name="_Toc169958407"/>
      <w:r>
        <w:rPr>
          <w:rFonts w:hint="eastAsia"/>
          <w:sz w:val="24"/>
          <w:lang w:eastAsia="ja-JP"/>
        </w:rPr>
        <w:lastRenderedPageBreak/>
        <w:t>Supplementary Figures</w:t>
      </w:r>
      <w:bookmarkEnd w:id="3"/>
    </w:p>
    <w:p w14:paraId="7FF11048" w14:textId="77777777" w:rsidR="00E40303" w:rsidRDefault="00000000">
      <w:r>
        <w:object w:dxaOrig="1440" w:dyaOrig="1440" w14:anchorId="0190462C">
          <v:shape id="Object 2" o:spid="_x0000_s2051" type="#_x0000_t75" style="position:absolute;left:0;text-align:left;margin-left:227.9pt;margin-top:9.3pt;width:100.4pt;height:78.2pt;z-index:251659264;mso-width-relative:page;mso-height-relative:page">
            <v:imagedata r:id="rId13" o:title=""/>
          </v:shape>
          <o:OLEObject Type="Embed" ProgID="ChemDraw.Document.6.0" ShapeID="Object 2" DrawAspect="Content" ObjectID="_1781444361" r:id="rId14"/>
        </w:object>
      </w:r>
      <w:r>
        <w:rPr>
          <w:noProof/>
        </w:rPr>
        <w:drawing>
          <wp:inline distT="0" distB="0" distL="0" distR="0" wp14:anchorId="16E0AC33" wp14:editId="443AEC6E">
            <wp:extent cx="5274310" cy="3104515"/>
            <wp:effectExtent l="0" t="0" r="254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4310" cy="3104515"/>
                    </a:xfrm>
                    <a:prstGeom prst="rect">
                      <a:avLst/>
                    </a:prstGeom>
                    <a:noFill/>
                    <a:ln>
                      <a:noFill/>
                    </a:ln>
                  </pic:spPr>
                </pic:pic>
              </a:graphicData>
            </a:graphic>
          </wp:inline>
        </w:drawing>
      </w:r>
    </w:p>
    <w:p w14:paraId="5E0AA526" w14:textId="77777777" w:rsidR="00E40303" w:rsidRDefault="00E40303"/>
    <w:p w14:paraId="596E7A8B" w14:textId="77777777" w:rsidR="00E40303" w:rsidRDefault="00000000">
      <w:pPr>
        <w:adjustRightInd w:val="0"/>
        <w:snapToGrid w:val="0"/>
        <w:spacing w:afterLines="50" w:after="156"/>
        <w:rPr>
          <w:rFonts w:ascii="Calibri" w:eastAsia="SimSun" w:hAnsi="Calibri" w:cs="Calibri"/>
          <w:b/>
          <w:bCs/>
          <w:color w:val="333333"/>
          <w:szCs w:val="21"/>
          <w:shd w:val="clear" w:color="auto" w:fill="FFFFFF"/>
        </w:rPr>
      </w:pPr>
      <w:bookmarkStart w:id="4" w:name="_Toc169958408"/>
      <w:r>
        <w:rPr>
          <w:rStyle w:val="Heading2Char"/>
          <w:rFonts w:ascii="Calibri" w:hAnsi="Calibri" w:cs="Calibri"/>
          <w:sz w:val="21"/>
          <w:szCs w:val="21"/>
        </w:rPr>
        <w:t>Fig</w:t>
      </w:r>
      <w:r>
        <w:rPr>
          <w:rStyle w:val="Heading2Char"/>
          <w:rFonts w:ascii="Calibri" w:hAnsi="Calibri" w:cs="Calibri" w:hint="eastAsia"/>
          <w:sz w:val="21"/>
          <w:szCs w:val="21"/>
        </w:rPr>
        <w:t>ure</w:t>
      </w:r>
      <w:r>
        <w:rPr>
          <w:rStyle w:val="Heading2Char"/>
          <w:rFonts w:ascii="Calibri" w:hAnsi="Calibri" w:cs="Calibri"/>
          <w:sz w:val="21"/>
          <w:szCs w:val="21"/>
        </w:rPr>
        <w:t xml:space="preserve"> S</w:t>
      </w:r>
      <w:r>
        <w:rPr>
          <w:rStyle w:val="Heading2Char"/>
          <w:rFonts w:ascii="Calibri" w:hAnsi="Calibri" w:cs="Calibri"/>
          <w:sz w:val="21"/>
          <w:szCs w:val="21"/>
          <w:lang w:eastAsia="ja-JP"/>
        </w:rPr>
        <w:t>1</w:t>
      </w:r>
      <w:r>
        <w:rPr>
          <w:rStyle w:val="Heading2Char"/>
          <w:rFonts w:ascii="Calibri" w:hAnsi="Calibri" w:cs="Calibri" w:hint="eastAsia"/>
          <w:sz w:val="21"/>
          <w:szCs w:val="21"/>
        </w:rPr>
        <w:t>.</w:t>
      </w:r>
      <w:bookmarkEnd w:id="4"/>
      <w:r>
        <w:rPr>
          <w:rStyle w:val="Heading2Char"/>
          <w:rFonts w:ascii="Calibri" w:hAnsi="Calibri" w:cs="Calibri" w:hint="eastAsia"/>
          <w:sz w:val="21"/>
          <w:szCs w:val="21"/>
        </w:rPr>
        <w:t xml:space="preserve"> </w:t>
      </w:r>
      <w:r>
        <w:rPr>
          <w:rFonts w:ascii="Calibri" w:eastAsia="SimSun" w:hAnsi="Calibri" w:cs="Calibri"/>
          <w:bCs/>
          <w:color w:val="333333"/>
          <w:szCs w:val="21"/>
          <w:shd w:val="clear" w:color="auto" w:fill="FFFFFF"/>
        </w:rPr>
        <w:t>The MS</w:t>
      </w:r>
      <w:r>
        <w:rPr>
          <w:rFonts w:ascii="Calibri" w:eastAsia="SimSun" w:hAnsi="Calibri" w:cs="Calibri"/>
          <w:color w:val="333333"/>
          <w:szCs w:val="21"/>
          <w:shd w:val="clear" w:color="auto" w:fill="FFFFFF"/>
        </w:rPr>
        <w:t xml:space="preserve"> spectrum of artesunate NHS ester.</w:t>
      </w:r>
    </w:p>
    <w:p w14:paraId="7E601B3B" w14:textId="77777777" w:rsidR="00E40303" w:rsidRDefault="00E40303">
      <w:pPr>
        <w:adjustRightInd w:val="0"/>
        <w:snapToGrid w:val="0"/>
        <w:spacing w:afterLines="50" w:after="156"/>
        <w:rPr>
          <w:rFonts w:eastAsia="SimSun" w:hAnsi="Arial" w:cs="Arial"/>
          <w:bCs/>
          <w:color w:val="333333"/>
          <w:sz w:val="18"/>
          <w:szCs w:val="18"/>
          <w:shd w:val="clear" w:color="auto" w:fill="FFFFFF"/>
        </w:rPr>
      </w:pPr>
    </w:p>
    <w:p w14:paraId="4801A67C" w14:textId="77777777" w:rsidR="00E40303" w:rsidRDefault="00000000">
      <w:r>
        <w:object w:dxaOrig="1440" w:dyaOrig="1440" w14:anchorId="238D1D61">
          <v:shape id="_x0000_s2052" type="#_x0000_t75" style="position:absolute;left:0;text-align:left;margin-left:19.35pt;margin-top:49.35pt;width:100.4pt;height:78.2pt;z-index:251660288;mso-width-relative:page;mso-height-relative:page">
            <v:imagedata r:id="rId13" o:title=""/>
          </v:shape>
          <o:OLEObject Type="Embed" ProgID="ChemDraw.Document.6.0" ShapeID="_x0000_s2052" DrawAspect="Content" ObjectID="_1781444362" r:id="rId16"/>
        </w:object>
      </w:r>
      <w:r>
        <w:rPr>
          <w:noProof/>
        </w:rPr>
        <w:drawing>
          <wp:inline distT="0" distB="0" distL="0" distR="0" wp14:anchorId="77ACD320" wp14:editId="13D1EE8C">
            <wp:extent cx="5274310" cy="3677920"/>
            <wp:effectExtent l="0" t="0" r="0" b="0"/>
            <wp:docPr id="3" name="图片 3" descr="C:\Users\Administrator\Desktop\项目相关\核磁\NT-E-20220831-021\QH-001\1\Docu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项目相关\核磁\NT-E-20220831-021\QH-001\1\Document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4310" cy="3677920"/>
                    </a:xfrm>
                    <a:prstGeom prst="rect">
                      <a:avLst/>
                    </a:prstGeom>
                    <a:noFill/>
                    <a:ln>
                      <a:noFill/>
                    </a:ln>
                  </pic:spPr>
                </pic:pic>
              </a:graphicData>
            </a:graphic>
          </wp:inline>
        </w:drawing>
      </w:r>
    </w:p>
    <w:p w14:paraId="025CCD39" w14:textId="77777777" w:rsidR="00E40303" w:rsidRDefault="00000000">
      <w:pPr>
        <w:adjustRightInd w:val="0"/>
        <w:snapToGrid w:val="0"/>
        <w:spacing w:afterLines="50" w:after="156"/>
        <w:rPr>
          <w:rFonts w:ascii="Calibri" w:eastAsia="SimSun" w:hAnsi="Calibri" w:cs="Calibri"/>
          <w:color w:val="333333"/>
          <w:szCs w:val="21"/>
          <w:shd w:val="clear" w:color="auto" w:fill="FFFFFF"/>
        </w:rPr>
      </w:pPr>
      <w:bookmarkStart w:id="5" w:name="_Toc169958409"/>
      <w:r>
        <w:rPr>
          <w:rStyle w:val="Heading2Char"/>
          <w:rFonts w:ascii="Calibri" w:hAnsi="Calibri" w:cs="Calibri"/>
          <w:sz w:val="21"/>
          <w:szCs w:val="21"/>
        </w:rPr>
        <w:t>Fig</w:t>
      </w:r>
      <w:r>
        <w:rPr>
          <w:rStyle w:val="Heading2Char"/>
          <w:rFonts w:ascii="Calibri" w:hAnsi="Calibri" w:cs="Calibri" w:hint="eastAsia"/>
          <w:sz w:val="21"/>
          <w:szCs w:val="21"/>
        </w:rPr>
        <w:t>ure</w:t>
      </w:r>
      <w:r>
        <w:rPr>
          <w:rStyle w:val="Heading2Char"/>
          <w:rFonts w:ascii="Calibri" w:hAnsi="Calibri" w:cs="Calibri"/>
          <w:sz w:val="21"/>
          <w:szCs w:val="21"/>
        </w:rPr>
        <w:t xml:space="preserve"> S</w:t>
      </w:r>
      <w:r>
        <w:rPr>
          <w:rStyle w:val="Heading2Char"/>
          <w:rFonts w:ascii="Calibri" w:hAnsi="Calibri" w:cs="Calibri" w:hint="eastAsia"/>
          <w:sz w:val="21"/>
          <w:szCs w:val="21"/>
        </w:rPr>
        <w:t>2.</w:t>
      </w:r>
      <w:bookmarkEnd w:id="5"/>
      <w:r>
        <w:rPr>
          <w:rStyle w:val="Heading2Char"/>
          <w:rFonts w:ascii="Calibri" w:hAnsi="Calibri" w:cs="Calibri" w:hint="eastAsia"/>
          <w:sz w:val="21"/>
          <w:szCs w:val="21"/>
        </w:rPr>
        <w:t xml:space="preserve"> </w:t>
      </w:r>
      <w:r>
        <w:rPr>
          <w:rFonts w:ascii="Calibri" w:eastAsia="SimSun" w:hAnsi="Calibri" w:cs="Calibri"/>
          <w:bCs/>
          <w:color w:val="333333"/>
          <w:szCs w:val="21"/>
          <w:shd w:val="clear" w:color="auto" w:fill="FFFFFF"/>
        </w:rPr>
        <w:t xml:space="preserve">The </w:t>
      </w:r>
      <w:r>
        <w:rPr>
          <w:rFonts w:ascii="Calibri" w:eastAsia="SimSun" w:hAnsi="Calibri" w:cs="Calibri"/>
          <w:color w:val="333333"/>
          <w:szCs w:val="21"/>
          <w:shd w:val="clear" w:color="auto" w:fill="FFFFFF"/>
          <w:vertAlign w:val="superscript"/>
        </w:rPr>
        <w:t>1</w:t>
      </w:r>
      <w:r>
        <w:rPr>
          <w:rFonts w:ascii="Calibri" w:eastAsia="SimSun" w:hAnsi="Calibri" w:cs="Calibri"/>
          <w:color w:val="333333"/>
          <w:szCs w:val="21"/>
          <w:shd w:val="clear" w:color="auto" w:fill="FFFFFF"/>
        </w:rPr>
        <w:t xml:space="preserve">H NMR spectrum of </w:t>
      </w:r>
      <w:r>
        <w:rPr>
          <w:rFonts w:ascii="Calibri" w:hAnsi="Calibri" w:cs="Calibri"/>
          <w:bCs/>
          <w:szCs w:val="21"/>
        </w:rPr>
        <w:t>artesunate NHS ester</w:t>
      </w:r>
      <w:r>
        <w:rPr>
          <w:rFonts w:ascii="Calibri" w:eastAsia="SimSun" w:hAnsi="Calibri" w:cs="Calibri"/>
          <w:color w:val="333333"/>
          <w:szCs w:val="21"/>
          <w:shd w:val="clear" w:color="auto" w:fill="FFFFFF"/>
        </w:rPr>
        <w:t xml:space="preserve"> (600 MHz, DMSO-</w:t>
      </w:r>
      <w:r>
        <w:rPr>
          <w:rFonts w:ascii="Calibri" w:eastAsia="SimSun" w:hAnsi="Calibri" w:cs="Calibri"/>
          <w:i/>
          <w:color w:val="333333"/>
          <w:szCs w:val="21"/>
          <w:shd w:val="clear" w:color="auto" w:fill="FFFFFF"/>
        </w:rPr>
        <w:t>d</w:t>
      </w:r>
      <w:r>
        <w:rPr>
          <w:rFonts w:ascii="Calibri" w:eastAsia="SimSun" w:hAnsi="Calibri" w:cs="Calibri"/>
          <w:i/>
          <w:color w:val="333333"/>
          <w:szCs w:val="21"/>
          <w:shd w:val="clear" w:color="auto" w:fill="FFFFFF"/>
          <w:vertAlign w:val="subscript"/>
        </w:rPr>
        <w:t>6</w:t>
      </w:r>
      <w:r>
        <w:rPr>
          <w:rFonts w:ascii="Calibri" w:eastAsia="SimSun" w:hAnsi="Calibri" w:cs="Calibri"/>
          <w:color w:val="333333"/>
          <w:szCs w:val="21"/>
          <w:shd w:val="clear" w:color="auto" w:fill="FFFFFF"/>
        </w:rPr>
        <w:t>).</w:t>
      </w:r>
    </w:p>
    <w:p w14:paraId="3D39C5F2" w14:textId="77777777" w:rsidR="00E40303" w:rsidRDefault="00E40303">
      <w:pPr>
        <w:adjustRightInd w:val="0"/>
        <w:snapToGrid w:val="0"/>
        <w:spacing w:afterLines="50" w:after="156"/>
        <w:rPr>
          <w:rFonts w:ascii="Calibri" w:eastAsia="SimSun" w:hAnsi="Calibri" w:cs="Calibri"/>
          <w:color w:val="333333"/>
          <w:szCs w:val="21"/>
          <w:shd w:val="clear" w:color="auto" w:fill="FFFFFF"/>
        </w:rPr>
      </w:pPr>
    </w:p>
    <w:p w14:paraId="6C6B9E45" w14:textId="77777777" w:rsidR="00E40303" w:rsidRDefault="00E40303">
      <w:pPr>
        <w:adjustRightInd w:val="0"/>
        <w:snapToGrid w:val="0"/>
        <w:spacing w:afterLines="50" w:after="156"/>
        <w:rPr>
          <w:rFonts w:ascii="Calibri" w:eastAsia="SimSun" w:hAnsi="Calibri" w:cs="Calibri"/>
          <w:color w:val="333333"/>
          <w:szCs w:val="21"/>
          <w:shd w:val="clear" w:color="auto" w:fill="FFFFFF"/>
        </w:rPr>
      </w:pPr>
    </w:p>
    <w:p w14:paraId="77A3A73D" w14:textId="77777777" w:rsidR="00E40303" w:rsidRDefault="00000000">
      <w:pPr>
        <w:adjustRightInd w:val="0"/>
        <w:snapToGrid w:val="0"/>
        <w:spacing w:afterLines="50" w:after="156"/>
        <w:rPr>
          <w:rFonts w:ascii="Calibri" w:eastAsia="SimSun" w:hAnsi="Calibri" w:cs="Calibri"/>
          <w:color w:val="333333"/>
          <w:szCs w:val="21"/>
          <w:shd w:val="clear" w:color="auto" w:fill="FFFFFF"/>
        </w:rPr>
      </w:pPr>
      <w:r>
        <w:rPr>
          <w:rFonts w:ascii="Calibri" w:eastAsia="SimSun" w:hAnsi="Calibri" w:cs="Calibri" w:hint="eastAsia"/>
          <w:noProof/>
          <w:color w:val="333333"/>
          <w:szCs w:val="21"/>
          <w:shd w:val="clear" w:color="auto" w:fill="FFFFFF"/>
        </w:rPr>
        <w:lastRenderedPageBreak/>
        <w:drawing>
          <wp:inline distT="0" distB="0" distL="114300" distR="114300" wp14:anchorId="0C38EF11" wp14:editId="7F380456">
            <wp:extent cx="5273675" cy="2912110"/>
            <wp:effectExtent l="0" t="0" r="3175" b="2540"/>
            <wp:docPr id="2" name="图片 2" descr="Fig.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S3"/>
                    <pic:cNvPicPr>
                      <a:picLocks noChangeAspect="1"/>
                    </pic:cNvPicPr>
                  </pic:nvPicPr>
                  <pic:blipFill>
                    <a:blip r:embed="rId18"/>
                    <a:stretch>
                      <a:fillRect/>
                    </a:stretch>
                  </pic:blipFill>
                  <pic:spPr>
                    <a:xfrm>
                      <a:off x="0" y="0"/>
                      <a:ext cx="5273675" cy="2912110"/>
                    </a:xfrm>
                    <a:prstGeom prst="rect">
                      <a:avLst/>
                    </a:prstGeom>
                  </pic:spPr>
                </pic:pic>
              </a:graphicData>
            </a:graphic>
          </wp:inline>
        </w:drawing>
      </w:r>
    </w:p>
    <w:p w14:paraId="5C53B7D5" w14:textId="77777777" w:rsidR="00E40303" w:rsidRDefault="00000000">
      <w:pPr>
        <w:adjustRightInd w:val="0"/>
        <w:snapToGrid w:val="0"/>
        <w:spacing w:afterLines="50" w:after="156"/>
        <w:rPr>
          <w:rFonts w:ascii="Calibri" w:hAnsi="Calibri" w:cs="Calibri"/>
          <w:szCs w:val="21"/>
        </w:rPr>
      </w:pPr>
      <w:bookmarkStart w:id="6" w:name="_Toc169958410"/>
      <w:r>
        <w:rPr>
          <w:rStyle w:val="Heading2Char"/>
          <w:rFonts w:ascii="Calibri" w:hAnsi="Calibri" w:cs="Calibri"/>
          <w:sz w:val="21"/>
          <w:szCs w:val="21"/>
        </w:rPr>
        <w:t>Fig</w:t>
      </w:r>
      <w:r>
        <w:rPr>
          <w:rStyle w:val="Heading2Char"/>
          <w:rFonts w:ascii="Calibri" w:hAnsi="Calibri" w:cs="Calibri" w:hint="eastAsia"/>
          <w:sz w:val="21"/>
          <w:szCs w:val="21"/>
        </w:rPr>
        <w:t>ure</w:t>
      </w:r>
      <w:r>
        <w:rPr>
          <w:rStyle w:val="Heading2Char"/>
          <w:rFonts w:ascii="Calibri" w:hAnsi="Calibri" w:cs="Calibri"/>
          <w:sz w:val="21"/>
          <w:szCs w:val="21"/>
        </w:rPr>
        <w:t xml:space="preserve"> S</w:t>
      </w:r>
      <w:r>
        <w:rPr>
          <w:rStyle w:val="Heading2Char"/>
          <w:rFonts w:ascii="Calibri" w:hAnsi="Calibri" w:cs="Calibri" w:hint="eastAsia"/>
          <w:sz w:val="21"/>
          <w:szCs w:val="21"/>
        </w:rPr>
        <w:t>3.</w:t>
      </w:r>
      <w:bookmarkEnd w:id="6"/>
      <w:r>
        <w:rPr>
          <w:rStyle w:val="Heading2Char"/>
          <w:rFonts w:ascii="Calibri" w:hAnsi="Calibri" w:cs="Calibri" w:hint="eastAsia"/>
          <w:sz w:val="21"/>
          <w:szCs w:val="21"/>
        </w:rPr>
        <w:t xml:space="preserve"> </w:t>
      </w:r>
      <w:r>
        <w:rPr>
          <w:rFonts w:ascii="Calibri" w:eastAsia="SimSun" w:hAnsi="Calibri" w:cs="Calibri" w:hint="eastAsia"/>
          <w:color w:val="333333"/>
          <w:szCs w:val="21"/>
          <w:shd w:val="clear" w:color="auto" w:fill="FFFFFF"/>
        </w:rPr>
        <w:t xml:space="preserve">Identification of the exosomes derived from bovine milk </w:t>
      </w:r>
      <w:r>
        <w:rPr>
          <w:rFonts w:ascii="Calibri" w:hAnsi="Calibri" w:cs="Calibri" w:hint="eastAsia"/>
          <w:szCs w:val="21"/>
        </w:rPr>
        <w:t xml:space="preserve">by UPLC-SEC </w:t>
      </w:r>
      <w:proofErr w:type="gramStart"/>
      <w:r>
        <w:rPr>
          <w:rFonts w:ascii="Calibri" w:hAnsi="Calibri" w:cs="Calibri" w:hint="eastAsia"/>
          <w:szCs w:val="21"/>
        </w:rPr>
        <w:t>determination</w:t>
      </w:r>
      <w:proofErr w:type="gramEnd"/>
    </w:p>
    <w:p w14:paraId="12C05D25" w14:textId="77777777" w:rsidR="00E40303" w:rsidRDefault="00E40303">
      <w:pPr>
        <w:adjustRightInd w:val="0"/>
        <w:snapToGrid w:val="0"/>
        <w:spacing w:afterLines="50" w:after="156"/>
        <w:rPr>
          <w:rFonts w:ascii="Calibri" w:hAnsi="Calibri" w:cs="Calibri"/>
          <w:szCs w:val="21"/>
        </w:rPr>
      </w:pPr>
    </w:p>
    <w:p w14:paraId="78C20418" w14:textId="77777777" w:rsidR="00E40303" w:rsidRDefault="00E40303">
      <w:pPr>
        <w:adjustRightInd w:val="0"/>
        <w:snapToGrid w:val="0"/>
        <w:spacing w:afterLines="50" w:after="156"/>
        <w:rPr>
          <w:rFonts w:ascii="Calibri" w:hAnsi="Calibri" w:cs="Calibri"/>
          <w:szCs w:val="21"/>
        </w:rPr>
      </w:pPr>
    </w:p>
    <w:p w14:paraId="4623FAA3" w14:textId="77777777" w:rsidR="00E40303" w:rsidRDefault="00E40303">
      <w:pPr>
        <w:adjustRightInd w:val="0"/>
        <w:snapToGrid w:val="0"/>
        <w:spacing w:afterLines="50" w:after="156"/>
        <w:rPr>
          <w:rFonts w:ascii="Calibri" w:hAnsi="Calibri" w:cs="Calibri"/>
          <w:szCs w:val="21"/>
        </w:rPr>
      </w:pPr>
    </w:p>
    <w:p w14:paraId="6D532B09" w14:textId="77777777" w:rsidR="00E40303" w:rsidRDefault="00000000">
      <w:pPr>
        <w:adjustRightInd w:val="0"/>
        <w:snapToGrid w:val="0"/>
        <w:spacing w:afterLines="50" w:after="156"/>
        <w:rPr>
          <w:rFonts w:ascii="Calibri" w:hAnsi="Calibri" w:cs="Calibri"/>
          <w:szCs w:val="21"/>
          <w:highlight w:val="yellow"/>
        </w:rPr>
      </w:pPr>
      <w:r>
        <w:rPr>
          <w:rFonts w:ascii="Calibri" w:hAnsi="Calibri" w:cs="Calibri" w:hint="eastAsia"/>
          <w:noProof/>
          <w:szCs w:val="21"/>
          <w:highlight w:val="yellow"/>
        </w:rPr>
        <w:drawing>
          <wp:inline distT="0" distB="0" distL="114300" distR="114300" wp14:anchorId="230B5B0B" wp14:editId="05B07BF5">
            <wp:extent cx="5243195" cy="2131695"/>
            <wp:effectExtent l="0" t="0" r="14605" b="1905"/>
            <wp:docPr id="5" name="图片 5" descr="Abb.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bb.S4"/>
                    <pic:cNvPicPr>
                      <a:picLocks noChangeAspect="1"/>
                    </pic:cNvPicPr>
                  </pic:nvPicPr>
                  <pic:blipFill>
                    <a:blip r:embed="rId19"/>
                    <a:stretch>
                      <a:fillRect/>
                    </a:stretch>
                  </pic:blipFill>
                  <pic:spPr>
                    <a:xfrm>
                      <a:off x="0" y="0"/>
                      <a:ext cx="5243195" cy="2131695"/>
                    </a:xfrm>
                    <a:prstGeom prst="rect">
                      <a:avLst/>
                    </a:prstGeom>
                  </pic:spPr>
                </pic:pic>
              </a:graphicData>
            </a:graphic>
          </wp:inline>
        </w:drawing>
      </w:r>
    </w:p>
    <w:p w14:paraId="2AA6E0B9" w14:textId="77777777" w:rsidR="00E40303" w:rsidRDefault="00000000">
      <w:pPr>
        <w:adjustRightInd w:val="0"/>
        <w:snapToGrid w:val="0"/>
        <w:spacing w:afterLines="50" w:after="156"/>
        <w:rPr>
          <w:rFonts w:ascii="Calibri" w:hAnsi="Calibri" w:cs="Calibri"/>
          <w:szCs w:val="21"/>
        </w:rPr>
      </w:pPr>
      <w:bookmarkStart w:id="7" w:name="_Toc169958411"/>
      <w:r>
        <w:rPr>
          <w:rStyle w:val="Heading2Char"/>
          <w:rFonts w:ascii="Calibri" w:hAnsi="Calibri" w:cs="Calibri"/>
          <w:sz w:val="21"/>
          <w:szCs w:val="21"/>
        </w:rPr>
        <w:t>Fig</w:t>
      </w:r>
      <w:r>
        <w:rPr>
          <w:rStyle w:val="Heading2Char"/>
          <w:rFonts w:ascii="Calibri" w:hAnsi="Calibri" w:cs="Calibri" w:hint="eastAsia"/>
          <w:sz w:val="21"/>
          <w:szCs w:val="21"/>
        </w:rPr>
        <w:t>ure</w:t>
      </w:r>
      <w:r>
        <w:rPr>
          <w:rStyle w:val="Heading2Char"/>
          <w:rFonts w:ascii="Calibri" w:hAnsi="Calibri" w:cs="Calibri"/>
          <w:sz w:val="21"/>
          <w:szCs w:val="21"/>
        </w:rPr>
        <w:t xml:space="preserve"> S</w:t>
      </w:r>
      <w:r>
        <w:rPr>
          <w:rStyle w:val="Heading2Char"/>
          <w:rFonts w:ascii="Calibri" w:hAnsi="Calibri" w:cs="Calibri" w:hint="eastAsia"/>
          <w:sz w:val="21"/>
          <w:szCs w:val="21"/>
        </w:rPr>
        <w:t>4.</w:t>
      </w:r>
      <w:bookmarkEnd w:id="7"/>
      <w:r>
        <w:rPr>
          <w:rStyle w:val="Heading2Char"/>
          <w:rFonts w:ascii="Calibri" w:hAnsi="Calibri" w:cs="Calibri" w:hint="eastAsia"/>
          <w:sz w:val="21"/>
          <w:szCs w:val="21"/>
        </w:rPr>
        <w:t xml:space="preserve"> </w:t>
      </w:r>
      <w:r>
        <w:rPr>
          <w:rFonts w:ascii="Calibri" w:eastAsia="SimSun" w:hAnsi="Calibri" w:cs="Calibri" w:hint="eastAsia"/>
          <w:color w:val="333333"/>
          <w:szCs w:val="21"/>
          <w:shd w:val="clear" w:color="auto" w:fill="FFFFFF"/>
        </w:rPr>
        <w:t xml:space="preserve">Physical appearance of the studied Exo-ATS conjugates (EACs, </w:t>
      </w:r>
      <w:r>
        <w:rPr>
          <w:rFonts w:ascii="Calibri" w:hAnsi="Calibri" w:cs="Calibri" w:hint="eastAsia"/>
          <w:szCs w:val="21"/>
        </w:rPr>
        <w:t>equivalent to 1.5 mg/mL ATS</w:t>
      </w:r>
      <w:r>
        <w:rPr>
          <w:rFonts w:ascii="Calibri" w:eastAsia="SimSun" w:hAnsi="Calibri" w:cs="Calibri" w:hint="eastAsia"/>
          <w:color w:val="333333"/>
          <w:szCs w:val="21"/>
          <w:shd w:val="clear" w:color="auto" w:fill="FFFFFF"/>
        </w:rPr>
        <w:t xml:space="preserve">) following the storage at 4 </w:t>
      </w:r>
      <w:r>
        <w:rPr>
          <w:rFonts w:ascii="Calibri" w:hAnsi="Calibri" w:cs="Calibri"/>
          <w:szCs w:val="21"/>
        </w:rPr>
        <w:t>°C</w:t>
      </w:r>
      <w:r>
        <w:rPr>
          <w:rFonts w:ascii="Calibri" w:hAnsi="Calibri" w:cs="Calibri" w:hint="eastAsia"/>
          <w:szCs w:val="21"/>
        </w:rPr>
        <w:t xml:space="preserve"> for up to seven days (Day 0-7)</w:t>
      </w:r>
    </w:p>
    <w:p w14:paraId="5F07D4C6" w14:textId="77777777" w:rsidR="00E40303" w:rsidRDefault="00000000">
      <w:pPr>
        <w:adjustRightInd w:val="0"/>
        <w:snapToGrid w:val="0"/>
        <w:spacing w:afterLines="50" w:after="156"/>
        <w:rPr>
          <w:rFonts w:hAnsi="Arial" w:cs="Arial"/>
          <w:i/>
          <w:iCs/>
          <w:color w:val="333333"/>
          <w:szCs w:val="21"/>
          <w:highlight w:val="yellow"/>
          <w:shd w:val="clear" w:color="auto" w:fill="FFFFFF"/>
        </w:rPr>
      </w:pPr>
      <w:r>
        <w:rPr>
          <w:rFonts w:hAnsi="Arial" w:cs="Arial" w:hint="eastAsia"/>
          <w:i/>
          <w:iCs/>
          <w:noProof/>
          <w:color w:val="333333"/>
          <w:szCs w:val="21"/>
          <w:highlight w:val="yellow"/>
          <w:shd w:val="clear" w:color="auto" w:fill="FFFFFF"/>
        </w:rPr>
        <w:lastRenderedPageBreak/>
        <w:drawing>
          <wp:inline distT="0" distB="0" distL="114300" distR="114300" wp14:anchorId="5E901A01" wp14:editId="59427473">
            <wp:extent cx="5260975" cy="4301490"/>
            <wp:effectExtent l="0" t="0" r="12065" b="11430"/>
            <wp:docPr id="6" name="图片 6" descr="Figure 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igure S5"/>
                    <pic:cNvPicPr>
                      <a:picLocks noChangeAspect="1"/>
                    </pic:cNvPicPr>
                  </pic:nvPicPr>
                  <pic:blipFill>
                    <a:blip r:embed="rId20"/>
                    <a:stretch>
                      <a:fillRect/>
                    </a:stretch>
                  </pic:blipFill>
                  <pic:spPr>
                    <a:xfrm>
                      <a:off x="0" y="0"/>
                      <a:ext cx="5260975" cy="4301490"/>
                    </a:xfrm>
                    <a:prstGeom prst="rect">
                      <a:avLst/>
                    </a:prstGeom>
                  </pic:spPr>
                </pic:pic>
              </a:graphicData>
            </a:graphic>
          </wp:inline>
        </w:drawing>
      </w:r>
    </w:p>
    <w:p w14:paraId="4A7A9947" w14:textId="77777777" w:rsidR="00E40303" w:rsidRDefault="00000000">
      <w:pPr>
        <w:adjustRightInd w:val="0"/>
        <w:snapToGrid w:val="0"/>
        <w:spacing w:afterLines="50" w:after="156"/>
        <w:rPr>
          <w:rFonts w:ascii="Calibri" w:hAnsi="Calibri" w:cs="Calibri"/>
          <w:b/>
          <w:szCs w:val="21"/>
        </w:rPr>
      </w:pPr>
      <w:bookmarkStart w:id="8" w:name="_Toc169958412"/>
      <w:r>
        <w:rPr>
          <w:rStyle w:val="Heading2Char"/>
          <w:rFonts w:ascii="Calibri" w:hAnsi="Calibri" w:cs="Calibri"/>
          <w:sz w:val="21"/>
          <w:szCs w:val="21"/>
        </w:rPr>
        <w:t>Fig</w:t>
      </w:r>
      <w:r>
        <w:rPr>
          <w:rStyle w:val="Heading2Char"/>
          <w:rFonts w:ascii="Calibri" w:hAnsi="Calibri" w:cs="Calibri" w:hint="eastAsia"/>
          <w:sz w:val="21"/>
          <w:szCs w:val="21"/>
        </w:rPr>
        <w:t>ure</w:t>
      </w:r>
      <w:r>
        <w:rPr>
          <w:rStyle w:val="Heading2Char"/>
          <w:rFonts w:ascii="Calibri" w:hAnsi="Calibri" w:cs="Calibri"/>
          <w:sz w:val="21"/>
          <w:szCs w:val="21"/>
        </w:rPr>
        <w:t xml:space="preserve"> S</w:t>
      </w:r>
      <w:r>
        <w:rPr>
          <w:rStyle w:val="Heading2Char"/>
          <w:rFonts w:ascii="Calibri" w:hAnsi="Calibri" w:cs="Calibri" w:hint="eastAsia"/>
          <w:sz w:val="21"/>
          <w:szCs w:val="21"/>
        </w:rPr>
        <w:t>5.</w:t>
      </w:r>
      <w:bookmarkEnd w:id="8"/>
      <w:r>
        <w:rPr>
          <w:rFonts w:ascii="Calibri" w:eastAsia="SimSun" w:hAnsi="Calibri" w:cs="Calibri" w:hint="eastAsia"/>
          <w:color w:val="333333"/>
          <w:szCs w:val="21"/>
          <w:shd w:val="clear" w:color="auto" w:fill="FFFFFF"/>
        </w:rPr>
        <w:t xml:space="preserve"> </w:t>
      </w:r>
      <w:r>
        <w:rPr>
          <w:rFonts w:ascii="Calibri" w:eastAsia="SimSun" w:hAnsi="Calibri" w:cs="Calibri"/>
          <w:szCs w:val="21"/>
          <w:shd w:val="clear" w:color="auto" w:fill="FFFFFF"/>
        </w:rPr>
        <w:t>The long-term</w:t>
      </w:r>
      <w:r>
        <w:rPr>
          <w:rFonts w:ascii="Calibri" w:eastAsia="SimSun" w:hAnsi="Calibri" w:cs="Calibri" w:hint="eastAsia"/>
          <w:szCs w:val="21"/>
          <w:shd w:val="clear" w:color="auto" w:fill="FFFFFF"/>
        </w:rPr>
        <w:t xml:space="preserve"> </w:t>
      </w:r>
      <w:r w:rsidRPr="00E32F24">
        <w:rPr>
          <w:rFonts w:ascii="Calibri" w:eastAsia="SimSun" w:hAnsi="Calibri" w:cs="Calibri"/>
          <w:szCs w:val="21"/>
          <w:shd w:val="clear" w:color="auto" w:fill="FFFFFF"/>
        </w:rPr>
        <w:t>(six-month)</w:t>
      </w:r>
      <w:r>
        <w:rPr>
          <w:rFonts w:ascii="Calibri" w:eastAsia="SimSun" w:hAnsi="Calibri" w:cs="Calibri"/>
          <w:szCs w:val="21"/>
          <w:shd w:val="clear" w:color="auto" w:fill="FFFFFF"/>
        </w:rPr>
        <w:t xml:space="preserve"> stability of EACs</w:t>
      </w:r>
      <w:r>
        <w:rPr>
          <w:rFonts w:ascii="Calibri" w:eastAsia="SimSun" w:hAnsi="Calibri" w:cs="Calibri" w:hint="eastAsia"/>
          <w:szCs w:val="21"/>
          <w:shd w:val="clear" w:color="auto" w:fill="FFFFFF"/>
        </w:rPr>
        <w:t xml:space="preserve"> </w:t>
      </w:r>
      <w:r>
        <w:rPr>
          <w:rFonts w:ascii="Calibri" w:eastAsia="SimSun" w:hAnsi="Calibri" w:cs="Calibri"/>
          <w:szCs w:val="21"/>
          <w:shd w:val="clear" w:color="auto" w:fill="FFFFFF"/>
        </w:rPr>
        <w:t>stor</w:t>
      </w:r>
      <w:r>
        <w:rPr>
          <w:rFonts w:ascii="Calibri" w:eastAsia="SimSun" w:hAnsi="Calibri" w:cs="Calibri" w:hint="eastAsia"/>
          <w:szCs w:val="21"/>
          <w:shd w:val="clear" w:color="auto" w:fill="FFFFFF"/>
        </w:rPr>
        <w:t xml:space="preserve">ed under different conditions. (A) Purity analysis of </w:t>
      </w:r>
      <w:r w:rsidRPr="00E32F24">
        <w:rPr>
          <w:rFonts w:ascii="Calibri" w:eastAsia="SimSun" w:hAnsi="Calibri" w:cs="Calibri" w:hint="eastAsia"/>
          <w:szCs w:val="21"/>
          <w:shd w:val="clear" w:color="auto" w:fill="FFFFFF"/>
        </w:rPr>
        <w:t>EACs by UPLC-SEC.</w:t>
      </w:r>
      <w:r>
        <w:rPr>
          <w:rFonts w:ascii="Calibri" w:eastAsia="SimSun" w:hAnsi="Calibri" w:cs="Calibri" w:hint="eastAsia"/>
          <w:szCs w:val="21"/>
          <w:shd w:val="clear" w:color="auto" w:fill="FFFFFF"/>
        </w:rPr>
        <w:t xml:space="preserve"> (B) Mean size and </w:t>
      </w:r>
      <w:r w:rsidRPr="00E32F24">
        <w:rPr>
          <w:rFonts w:ascii="Calibri" w:eastAsia="SimSun" w:hAnsi="Calibri" w:cs="Calibri" w:hint="eastAsia"/>
          <w:szCs w:val="21"/>
          <w:shd w:val="clear" w:color="auto" w:fill="FFFFFF"/>
        </w:rPr>
        <w:t>(C) particle concentration</w:t>
      </w:r>
      <w:r>
        <w:rPr>
          <w:rFonts w:ascii="Calibri" w:eastAsia="SimSun" w:hAnsi="Calibri" w:cs="Calibri" w:hint="eastAsia"/>
          <w:szCs w:val="21"/>
          <w:shd w:val="clear" w:color="auto" w:fill="FFFFFF"/>
        </w:rPr>
        <w:t xml:space="preserve"> of </w:t>
      </w:r>
      <w:r>
        <w:rPr>
          <w:rFonts w:ascii="Calibri" w:hAnsi="Calibri" w:cs="Calibri" w:hint="eastAsia"/>
          <w:szCs w:val="21"/>
        </w:rPr>
        <w:t xml:space="preserve">EACs by </w:t>
      </w:r>
      <w:proofErr w:type="spellStart"/>
      <w:r>
        <w:rPr>
          <w:rFonts w:ascii="Calibri" w:hAnsi="Calibri" w:cs="Calibri" w:hint="eastAsia"/>
          <w:szCs w:val="21"/>
        </w:rPr>
        <w:t>NanoFCM</w:t>
      </w:r>
      <w:proofErr w:type="spellEnd"/>
      <w:r>
        <w:rPr>
          <w:rFonts w:ascii="Calibri" w:hAnsi="Calibri" w:cs="Calibri" w:hint="eastAsia"/>
          <w:szCs w:val="21"/>
        </w:rPr>
        <w:t xml:space="preserve"> </w:t>
      </w:r>
      <w:r w:rsidRPr="00E32F24">
        <w:rPr>
          <w:rFonts w:ascii="Calibri" w:hAnsi="Calibri" w:cs="Calibri" w:hint="eastAsia"/>
          <w:szCs w:val="21"/>
        </w:rPr>
        <w:t>analysis. (D)</w:t>
      </w:r>
      <w:r>
        <w:rPr>
          <w:rFonts w:ascii="Calibri" w:hAnsi="Calibri" w:cs="Calibri" w:hint="eastAsia"/>
          <w:szCs w:val="21"/>
        </w:rPr>
        <w:t xml:space="preserve"> Zeta-potential of EACs measured by </w:t>
      </w:r>
      <w:proofErr w:type="spellStart"/>
      <w:r>
        <w:rPr>
          <w:rFonts w:ascii="Calibri" w:hAnsi="Calibri" w:cs="Calibri" w:hint="eastAsia"/>
          <w:szCs w:val="21"/>
        </w:rPr>
        <w:t>ZetaPALS</w:t>
      </w:r>
      <w:proofErr w:type="spellEnd"/>
      <w:r>
        <w:rPr>
          <w:rFonts w:ascii="Calibri" w:hAnsi="Calibri" w:cs="Calibri" w:hint="eastAsia"/>
          <w:szCs w:val="21"/>
        </w:rPr>
        <w:t xml:space="preserve">. </w:t>
      </w:r>
      <w:r w:rsidRPr="00E32F24">
        <w:rPr>
          <w:rFonts w:ascii="Calibri" w:hAnsi="Calibri" w:cs="Calibri" w:hint="eastAsia"/>
          <w:szCs w:val="21"/>
        </w:rPr>
        <w:t>(E) ATS loading capacity (LC) of EACs determined by HPLC.</w:t>
      </w:r>
    </w:p>
    <w:p w14:paraId="5C572177" w14:textId="77777777" w:rsidR="00E40303" w:rsidRDefault="00E40303">
      <w:pPr>
        <w:adjustRightInd w:val="0"/>
        <w:snapToGrid w:val="0"/>
        <w:spacing w:afterLines="50" w:after="156"/>
        <w:rPr>
          <w:rFonts w:hAnsi="Arial" w:cs="Arial"/>
          <w:i/>
          <w:iCs/>
          <w:color w:val="333333"/>
          <w:szCs w:val="21"/>
          <w:highlight w:val="yellow"/>
          <w:shd w:val="clear" w:color="auto" w:fill="FFFFFF"/>
        </w:rPr>
      </w:pPr>
    </w:p>
    <w:p w14:paraId="15ABC8EB" w14:textId="77777777" w:rsidR="00E40303" w:rsidRDefault="00000000">
      <w:pPr>
        <w:rPr>
          <w:rFonts w:ascii="Calibri" w:hAnsi="Calibri" w:cs="Calibri"/>
          <w:b/>
          <w:bCs/>
          <w:sz w:val="28"/>
          <w:szCs w:val="28"/>
        </w:rPr>
      </w:pPr>
      <w:r>
        <w:rPr>
          <w:rFonts w:ascii="Calibri" w:hAnsi="Calibri" w:cs="Calibri"/>
          <w:b/>
          <w:bCs/>
          <w:sz w:val="28"/>
          <w:szCs w:val="28"/>
        </w:rPr>
        <w:t>References</w:t>
      </w:r>
    </w:p>
    <w:p w14:paraId="7A47AE6B" w14:textId="77777777" w:rsidR="00E40303" w:rsidRDefault="00000000">
      <w:pPr>
        <w:pStyle w:val="EndNoteBibliography"/>
        <w:ind w:left="720" w:hanging="720"/>
      </w:pPr>
      <w:r>
        <w:t xml:space="preserve">1. Kim M S, Haney M J, Zhao Y, et al. Development of exosome-encapsulated paclitaxel to </w:t>
      </w:r>
      <w:proofErr w:type="spellStart"/>
      <w:r>
        <w:t>overcomeMDR</w:t>
      </w:r>
      <w:proofErr w:type="spellEnd"/>
      <w:r>
        <w:t xml:space="preserve"> in cancer cells[J]. Nanomedicine: Nanotechnology, Biology and Medicine, 2016, </w:t>
      </w:r>
      <w:r>
        <w:rPr>
          <w:b/>
        </w:rPr>
        <w:t>12</w:t>
      </w:r>
      <w:r>
        <w:t>(3): 655-664.</w:t>
      </w:r>
    </w:p>
    <w:sectPr w:rsidR="00E40303">
      <w:foot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72964" w14:textId="77777777" w:rsidR="00D851BD" w:rsidRDefault="00D851BD">
      <w:r>
        <w:separator/>
      </w:r>
    </w:p>
  </w:endnote>
  <w:endnote w:type="continuationSeparator" w:id="0">
    <w:p w14:paraId="789AA656" w14:textId="77777777" w:rsidR="00D851BD" w:rsidRDefault="00D8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no Pro">
    <w:altName w:val="Constantia"/>
    <w:charset w:val="00"/>
    <w:family w:val="auto"/>
    <w:pitch w:val="default"/>
    <w:sig w:usb0="00000000" w:usb1="00000000" w:usb2="00000000" w:usb3="00000000" w:csb0="0000019F" w:csb1="00000000"/>
  </w:font>
  <w:font w:name="Myriad Pro Light">
    <w:altName w:val="Segoe Print"/>
    <w:charset w:val="00"/>
    <w:family w:val="swiss"/>
    <w:pitch w:val="default"/>
    <w:sig w:usb0="00000000" w:usb1="00000000" w:usb2="00000000" w:usb3="00000000" w:csb0="2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2F54" w14:textId="77777777" w:rsidR="00E40303" w:rsidRDefault="00000000">
    <w:pPr>
      <w:pStyle w:val="Footer"/>
    </w:pPr>
    <w:r>
      <w:pict w14:anchorId="1D97199A">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2E5F3EE3" w14:textId="77777777" w:rsidR="00E40303" w:rsidRDefault="00000000">
                <w:pPr>
                  <w:pStyle w:val="Footer"/>
                  <w:rPr>
                    <w:rFonts w:eastAsia="MS Mincho"/>
                    <w:lang w:eastAsia="ja-JP"/>
                  </w:rPr>
                </w:pPr>
                <w:r>
                  <w:rPr>
                    <w:rFonts w:eastAsia="MS Mincho" w:hint="eastAsia"/>
                    <w:lang w:eastAsia="ja-JP"/>
                  </w:rPr>
                  <w:t>S</w:t>
                </w:r>
                <w:r>
                  <w:rPr>
                    <w:rFonts w:eastAsia="MS Mincho" w:hint="eastAsia"/>
                    <w:lang w:eastAsia="ja-JP"/>
                  </w:rPr>
                  <w:fldChar w:fldCharType="begin"/>
                </w:r>
                <w:r>
                  <w:rPr>
                    <w:rFonts w:eastAsia="MS Mincho" w:hint="eastAsia"/>
                    <w:lang w:eastAsia="ja-JP"/>
                  </w:rPr>
                  <w:instrText xml:space="preserve"> PAGE  \* MERGEFORMAT </w:instrText>
                </w:r>
                <w:r>
                  <w:rPr>
                    <w:rFonts w:eastAsia="MS Mincho" w:hint="eastAsia"/>
                    <w:lang w:eastAsia="ja-JP"/>
                  </w:rPr>
                  <w:fldChar w:fldCharType="separate"/>
                </w:r>
                <w:r>
                  <w:rPr>
                    <w:rFonts w:eastAsia="MS Mincho"/>
                    <w:lang w:eastAsia="ja-JP"/>
                  </w:rPr>
                  <w:t>2</w:t>
                </w:r>
                <w:r>
                  <w:rPr>
                    <w:rFonts w:eastAsia="MS Mincho" w:hint="eastAsia"/>
                    <w:lang w:eastAsia="ja-JP"/>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61DB3" w14:textId="77777777" w:rsidR="00D851BD" w:rsidRDefault="00D851BD">
      <w:r>
        <w:separator/>
      </w:r>
    </w:p>
  </w:footnote>
  <w:footnote w:type="continuationSeparator" w:id="0">
    <w:p w14:paraId="521DAA64" w14:textId="77777777" w:rsidR="00D851BD" w:rsidRDefault="00D85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79E905"/>
    <w:multiLevelType w:val="singleLevel"/>
    <w:tmpl w:val="8679E905"/>
    <w:lvl w:ilvl="0">
      <w:start w:val="5"/>
      <w:numFmt w:val="upperLetter"/>
      <w:suff w:val="nothing"/>
      <w:lvlText w:val="%1-"/>
      <w:lvlJc w:val="left"/>
    </w:lvl>
  </w:abstractNum>
  <w:abstractNum w:abstractNumId="1" w15:restartNumberingAfterBreak="0">
    <w:nsid w:val="D4D170EF"/>
    <w:multiLevelType w:val="singleLevel"/>
    <w:tmpl w:val="D4D170EF"/>
    <w:lvl w:ilvl="0">
      <w:start w:val="1"/>
      <w:numFmt w:val="decimal"/>
      <w:suff w:val="space"/>
      <w:lvlText w:val="%1."/>
      <w:lvlJc w:val="left"/>
    </w:lvl>
  </w:abstractNum>
  <w:num w:numId="1" w16cid:durableId="596796183">
    <w:abstractNumId w:val="0"/>
  </w:num>
  <w:num w:numId="2" w16cid:durableId="1659646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jUwZTFlYzFhMGRmNjM5ZjJmM2U1MzQ1ODI2ZmMwMTIifQ=="/>
    <w:docVar w:name="KY.MR.DATA{C599F744-95AE-4CD7-AB34-636448D7BF42}313" w:val="&lt;KyMRNote&gt;&lt;Data&gt;&lt;Field id=&quot;AccessNum&quot;&gt;31901951&lt;/Field&gt;&lt;Field id=&quot;Author&quot;&gt;Li Q;Sun Y;Liu B;Li J;Hao X;Ge W;Zhang X;Bao S;Gong J;Jiang Z;Qiu C;Zhao L;Zhao Y;Chen Y;Yang X;Ding Y;Wu Z&lt;/Field&gt;&lt;Field id=&quot;AuthorTrans&quot;&gt;&lt;/Field&gt;&lt;Field id=&quot;DOI&quot;&gt;10.1007/s00109-019-01839-0&lt;/Field&gt;&lt;Field id=&quot;Editor&quot;&gt;&lt;/Field&gt;&lt;Field id=&quot;FmtTitle&quot;&gt;&lt;/Field&gt;&lt;Field id=&quot;Issue&quot;&gt;2&lt;/Field&gt;&lt;Field id=&quot;LIID&quot;&gt;313&lt;/Field&gt;&lt;Field id=&quot;Magazine&quot;&gt;Journal of molecular medicine : official organ of the &quot;Gesellschaft Deutscher Naturforscher und Ärzte&quot;&lt;/Field&gt;&lt;Field id=&quot;MagazineAB&quot;&gt;J Mol Med (Berl)&lt;/Field&gt;&lt;Field id=&quot;MagazineTrans&quot;&gt;&lt;/Field&gt;&lt;Field id=&quot;PageNum&quot;&gt;263-277&lt;/Field&gt;&lt;Field id=&quot;PubDate&quot;&gt;Feb&lt;/Field&gt;&lt;Field id=&quot;PubPlace&quot;&gt;Germany&lt;/Field&gt;&lt;Field id=&quot;PubPlaceTrans&quot;&gt;&lt;/Field&gt;&lt;Field id=&quot;PubYear&quot;&gt;2020&lt;/Field&gt;&lt;Field id=&quot;Publisher&quot;&gt;&lt;/Field&gt;&lt;Field id=&quot;PublisherTrans&quot;&gt;&lt;/Field&gt;&lt;Field id=&quot;TITrans&quot;&gt;&lt;/Field&gt;&lt;Field id=&quot;Title&quot;&gt;ACT001 modulates the NF-κB/MnSOD/ROS axis by targeting IKKβ to inhibit glioblastoma cell growth.&lt;/Field&gt;&lt;Field id=&quot;Translator&quot;&gt;&lt;/Field&gt;&lt;Field id=&quot;Type&quot;&gt;{041D4F77-279E-4405-0002-4388361B9CFF}&lt;/Field&gt;&lt;Field id=&quot;Version&quot;&gt;&lt;/Field&gt;&lt;Field id=&quot;Vol&quot;&gt;98&lt;/Field&gt;&lt;Field id=&quot;Author2&quot;&gt;Li,Q.;&lt;/Field&gt;&lt;/Data&gt;&lt;Ref&gt;&lt;Display&gt;&lt;Text StringText=&quot;「RefIndex」&quot; StringTextOri=&quot;「RefIndex」&quot; SuperScript=&quot;true&quot;/&gt;&lt;/Display&gt;&lt;/Ref&gt;&lt;Doc&gt;&lt;Display&gt;&lt;Text StringText=&quot;Li, Q.&quot; StringGroup=&quot;Author&quot;/&gt;_x000d__x000a__x0009__x0009__x0009_&lt;Text StringText=&quot; et al.&quot; StringGroup=&quot;Author&quot; Italic=&quot;true&quot;/&gt;_x000d__x000a__x0009__x0009__x0009_&lt;Text StringText=&quot; &quot; StringGroup=&quot;Author&quot;/&gt;_x000d__x000a__x0009__x0009__x0009_&lt;Text StringText=&quot;ACT001 modulates the NF-κB/MnSOD/ROS axis by targeting IKKβ to inhibit glioblastoma cell growth&quot; StringGroup=&quot;Title&quot;/&gt;_x000d__x000a__x0009__x0009__x0009_&lt;Text StringText=&quot;. &quot; StringGroup=&quot;Title&quot;/&gt;_x000d__x000a__x0009__x0009__x0009_&lt;Text StringText=&quot;J. Mol. Med.&quot; StringGroup=&quot;Magazine&quot; Italic=&quot;true&quot;/&gt;_x000d__x000a__x0009__x0009__x0009_&lt;Text StringText=&quot; &quot; StringGroup=&quot;Magazine&quot;/&gt;_x000d__x000a__x0009__x0009__x0009_&lt;Text StringText=&quot;98&quot; StringGroup=&quot;Vol&quot; Border=&quot;true&quot;/&gt;_x000d__x000a__x0009__x0009__x0009_&lt;Text StringText=&quot;,&quot; StringGroup=&quot;none&quot; Border=&quot;true&quot;/&gt;_x000d__x000a__x0009__x0009__x0009_&lt;Text StringText=&quot; &quot; StringGroup=&quot;none&quot;/&gt;_x000d__x000a__x0009__x0009__x0009_&lt;Text StringText=&quot;263-277&quot; StringGroup=&quot;PageNum&quot;/&gt;_x000d__x000a__x0009__x0009__x0009_&lt;Text StringText=&quot; &quot; StringGroup=&quot;none&quot;/&gt;_x000d__x000a__x0009__x0009__x0009_&lt;Text StringText=&quot;(&quot; StringGroup=&quot;PubYear&quot;/&gt;_x000d__x000a__x0009__x0009__x0009_&lt;Text StringText=&quot;2020&quot; StringGroup=&quot;PubYear&quot;/&gt;_x000d__x000a__x0009__x0009__x0009_&lt;Text StringText=&quot;)&quot; StringGroup=&quot;PubYear&quot;/&gt;_x000d__x000a__x0009__x0009__x0009_&lt;Text StringText=&quot;.&quot; StringGroup=&quot;none&quot;/&gt;_x000d__x000a__x0009__x0009_&lt;/Display&gt;&lt;/Doc&gt;&lt;/KyMRNote&gt;"/>
    <w:docVar w:name="KY.MR.DATA{C599F744-95AE-4CD7-AB34-636448D7BF42}339" w:val="&lt;KyMRNote dbid=&quot;{C599F744-95AE-4CD7-AB34-636448D7BF42}&quot; recid=&quot;339&quot;&gt;&lt;Data&gt;&lt;Field id=&quot;AccessNum&quot;&gt;&lt;/Field&gt;&lt;Field id=&quot;Author&quot;&gt;Stetter, H.;Kuhlmann, H.&lt;/Field&gt;&lt;Field id=&quot;AuthorTrans&quot;&gt;&lt;/Field&gt;&lt;Field id=&quot;DOI&quot;&gt;&lt;/Field&gt;&lt;Field id=&quot;Editor&quot;&gt;&lt;/Field&gt;&lt;Field id=&quot;FmtTitle&quot;&gt;&lt;/Field&gt;&lt;Field id=&quot;Issue&quot;&gt;&lt;/Field&gt;&lt;Field id=&quot;LIID&quot;&gt;339&lt;/Field&gt;&lt;Field id=&quot;Magazine&quot;&gt;&lt;/Field&gt;&lt;Field id=&quot;MagazineAB&quot;&gt;&lt;/Field&gt;&lt;Field id=&quot;MagazineTrans&quot;&gt;&lt;/Field&gt;&lt;Field id=&quot;PageNum&quot;&gt;&lt;/Field&gt;&lt;Field id=&quot;PubDate&quot;&gt;&lt;/Field&gt;&lt;Field id=&quot;PubPlace&quot;&gt;&lt;/Field&gt;&lt;Field id=&quot;PubPlaceTrans&quot;&gt;&lt;/Field&gt;&lt;Field id=&quot;PubYear&quot;&gt;2003&lt;/Field&gt;&lt;Field id=&quot;Publisher&quot;&gt;&lt;/Field&gt;&lt;Field id=&quot;PublisherTrans&quot;&gt;&lt;/Field&gt;&lt;Field id=&quot;TITrans&quot;&gt;&lt;/Field&gt;&lt;Field id=&quot;Title&quot;&gt;Acyloin Condensation by Thiazolium Ion Catalysis: Butyroin&lt;/Field&gt;&lt;Field id=&quot;Translator&quot;&gt;&lt;/Field&gt;&lt;Field id=&quot;Type&quot;&gt;{041D4F77-279E-4405-0003-4388361B9CFF}&lt;/Field&gt;&lt;Field id=&quot;Version&quot;&gt;&lt;/Field&gt;&lt;Field id=&quot;Vol&quot;&gt;&lt;/Field&gt;&lt;Field id=&quot;Author2&quot;&gt;Stetter,H.;Kuhlmann,H.;&lt;/Field&gt;&lt;/Data&gt;&lt;Ref&gt;&lt;Display&gt;&lt;Text StringText=&quot;「RefIndex」&quot; StringTextOri=&quot;「RefIndex」&quot; SuperScript=&quot;true&quot;/&gt;&lt;/Display&gt;&lt;/Ref&gt;&lt;Doc&gt;&lt;Display&gt;&lt;Text StringText=&quot;Stetter, H. &amp;amp; Kuhlmann, H.&quot; StringGroup=&quot;Author&quot;/&gt;_x000d__x000a__x0009__x0009__x0009_&lt;Text StringText=&quot; &quot; StringGroup=&quot;Author&quot;/&gt;_x000d__x000a__x0009__x0009__x0009_&lt;Text StringText=&quot;(&quot; StringGroup=&quot;PubYear&quot;/&gt;_x000d__x000a__x0009__x0009__x0009_&lt;Text StringText=&quot;2003&quot; StringGroup=&quot;PubYear&quot;/&gt;_x000d__x000a__x0009__x0009__x0009_&lt;Text StringText=&quot;). &quot; StringGroup=&quot;PubYear&quot;/&gt;_x000d__x000a__x0009__x0009__x0009_&lt;Text StringText=&quot;Acyloin Condensation by Thiazolium Ion Catalysis: Butyroin&quot; StringGroup=&quot;Title&quot;/&gt;_x000d__x000a__x0009__x0009__x0009_&lt;Text StringText=&quot;. &quot; StringGroup=&quot;Title&quot;/&gt;_x000d__x000a__x0009__x0009__x0009_&lt;Text StringText=&quot; &quot; StringGroup=&quot;none&quot;/&gt;_x000d__x000a__x0009__x0009_&lt;/Display&gt;&lt;/Doc&gt;&lt;/KyMRNote&gt;"/>
    <w:docVar w:name="KY.MR.DATA{C599F744-95AE-4CD7-AB34-636448D7BF42}342" w:val="&lt;KyMRNote dbid=&quot;{C599F744-95AE-4CD7-AB34-636448D7BF42}&quot; recid=&quot;342&quot;&gt;&lt;Data&gt;&lt;Field id=&quot;AccessNum&quot;&gt;25415330&lt;/Field&gt;&lt;Field id=&quot;Author&quot;&gt;Drücker P;Grill D;Gerke V;Galla HJ&lt;/Field&gt;&lt;Field id=&quot;AuthorTrans&quot;&gt;&lt;/Field&gt;&lt;Field id=&quot;DOI&quot;&gt;10.1021/la503203a&lt;/Field&gt;&lt;Field id=&quot;Editor&quot;&gt;&lt;/Field&gt;&lt;Field id=&quot;FmtTitle&quot;&gt;&lt;/Field&gt;&lt;Field id=&quot;Issue&quot;&gt;49&lt;/Field&gt;&lt;Field id=&quot;LIID&quot;&gt;342&lt;/Field&gt;&lt;Field id=&quot;Magazine&quot;&gt;Langmuir : the ACS journal of surfaces and colloids&lt;/Field&gt;&lt;Field id=&quot;MagazineAB&quot;&gt;Langmuir&lt;/Field&gt;&lt;Field id=&quot;MagazineTrans&quot;&gt;&lt;/Field&gt;&lt;Field id=&quot;PageNum&quot;&gt;14877-86&lt;/Field&gt;&lt;Field id=&quot;PubDate&quot;&gt;Dec 16&lt;/Field&gt;&lt;Field id=&quot;PubPlace&quot;&gt;United States&lt;/Field&gt;&lt;Field id=&quot;PubPlaceTrans&quot;&gt;&lt;/Field&gt;&lt;Field id=&quot;PubYear&quot;&gt;2014&lt;/Field&gt;&lt;Field id=&quot;Publisher&quot;&gt;&lt;/Field&gt;&lt;Field id=&quot;PublisherTrans&quot;&gt;&lt;/Field&gt;&lt;Field id=&quot;TITrans&quot;&gt;&lt;/Field&gt;&lt;Field id=&quot;Title&quot;&gt;Formation and characterization of supported lipid bilayers containing phosphatidylinositol-4,5-bisphosphate and cholesterol as functional surfaces.&lt;/Field&gt;&lt;Field id=&quot;Translator&quot;&gt;&lt;/Field&gt;&lt;Field id=&quot;Type&quot;&gt;{041D4F77-279E-4405-0002-4388361B9CFF}&lt;/Field&gt;&lt;Field id=&quot;Version&quot;&gt;&lt;/Field&gt;&lt;Field id=&quot;Vol&quot;&gt;30&lt;/Field&gt;&lt;Field id=&quot;Author2&quot;&gt;Drücker,P.;Grill,D.;Gerke,V.;Galla,H.J.;&lt;/Field&gt;&lt;/Data&gt;&lt;Ref&gt;&lt;Display&gt;&lt;Text StringText=&quot;「RefIndex」&quot; StringTextOri=&quot;「RefIndex」&quot;/&gt;&lt;/Display&gt;&lt;/Ref&gt;&lt;Doc&gt;&lt;Display&gt;&lt;Text StringText=&quot;P. Drücker, D. Grill, V. Gerke, H.J. Galla&quot; StringGroup=&quot;Author&quot;/&gt;_x000d__x000a__x0009__x0009__x0009_&lt;Text StringText=&quot;, &quot; StringGroup=&quot;Author&quot;/&gt;_x000d__x000a__x0009__x0009__x0009_&lt;Text StringText=&quot;Formation and characterization of supported lipid bilayers containing phosphatidylinositol-4,5-bisphosphate and cholesterol as functional surfaces&quot; StringGroup=&quot;Title&quot;/&gt;_x000d__x000a__x0009__x0009__x0009_&lt;Text StringText=&quot;, &quot; StringGroup=&quot;Title&quot;/&gt;_x000d__x000a__x0009__x0009__x0009_&lt;Text StringText=&quot;Langmuir&quot; StringGroup=&quot;Magazine&quot;/&gt;_x000d__x000a__x0009__x0009__x0009_&lt;Text StringText=&quot; &quot; StringGroup=&quot;Magazine&quot;/&gt;_x000d__x000a__x0009__x0009__x0009_&lt;Text StringText=&quot;30&quot; StringGroup=&quot;Vol&quot;/&gt;_x000d__x000a__x0009__x0009__x0009_&lt;Text StringText=&quot; &quot; StringGroup=&quot;Vol&quot;/&gt;_x000d__x000a__x0009__x0009__x0009_&lt;Text StringText=&quot;(&quot; StringGroup=&quot;PubYear&quot;/&gt;_x000d__x000a__x0009__x0009__x0009_&lt;Text StringText=&quot;2014&quot; StringGroup=&quot;PubYear&quot;/&gt;_x000d__x000a__x0009__x0009__x0009_&lt;Text StringText=&quot;) &quot; StringGroup=&quot;PubYear&quot;/&gt;_x000d__x000a__x0009__x0009__x0009_&lt;Text StringText=&quot;14877-14886&quot; StringGroup=&quot;PageNum&quot;/&gt;_x000d__x000a__x0009__x0009__x0009_&lt;Text StringText=&quot;.&quot; StringGroup=&quot;PageNum&quot;/&gt;_x000d__x000a__x0009__x0009_&lt;/Display&gt;&lt;/Doc&gt;&lt;/KyMRNote&gt;"/>
    <w:docVar w:name="KY.MR.DATA{C599F744-95AE-4CD7-AB34-636448D7BF42}343" w:val="&lt;KyMRNote&gt;&lt;Data&gt;&lt;Field id=&quot;AccessNum&quot;&gt;27392291&lt;/Field&gt;&lt;Field id=&quot;Author&quot;&gt;Aparicio-Blanco J;Martín-Sabroso C;Torres-Suárez AI&lt;/Field&gt;&lt;Field id=&quot;AuthorTrans&quot;&gt;&lt;/Field&gt;&lt;Field id=&quot;DOI&quot;&gt;10.1016/j.biomaterials.2016.06.051&lt;/Field&gt;&lt;Field id=&quot;Editor&quot;&gt;&lt;/Field&gt;&lt;Field id=&quot;FmtTitle&quot;&gt;&lt;/Field&gt;&lt;Field id=&quot;Issue&quot;&gt;&lt;/Field&gt;&lt;Field id=&quot;LIID&quot;&gt;343&lt;/Field&gt;&lt;Field id=&quot;Magazine&quot;&gt;Biomaterials&lt;/Field&gt;&lt;Field id=&quot;MagazineAB&quot;&gt;Biomaterials&lt;/Field&gt;&lt;Field id=&quot;MagazineTrans&quot;&gt;&lt;/Field&gt;&lt;Field id=&quot;PageNum&quot;&gt;229-255&lt;/Field&gt;&lt;Field id=&quot;PubDate&quot;&gt;10&lt;/Field&gt;&lt;Field id=&quot;PubPlace&quot;&gt;Netherlands&lt;/Field&gt;&lt;Field id=&quot;PubPlaceTrans&quot;&gt;&lt;/Field&gt;&lt;Field id=&quot;PubYear&quot;&gt;2016&lt;/Field&gt;&lt;Field id=&quot;Publisher&quot;&gt;&lt;/Field&gt;&lt;Field id=&quot;PublisherTrans&quot;&gt;&lt;/Field&gt;&lt;Field id=&quot;TITrans&quot;&gt;&lt;/Field&gt;&lt;Field id=&quot;Title&quot;&gt;In vitro screening of nanomedicines through the blood brain barrier: A critical review.&lt;/Field&gt;&lt;Field id=&quot;Translator&quot;&gt;&lt;/Field&gt;&lt;Field id=&quot;Type&quot;&gt;{041D4F77-279E-4405-0002-4388361B9CFF}&lt;/Field&gt;&lt;Field id=&quot;Version&quot;&gt;&lt;/Field&gt;&lt;Field id=&quot;Vol&quot;&gt;103&lt;/Field&gt;&lt;Field id=&quot;Author2&quot;&gt;Aparicio-Blanco,J.;Martín-Sabroso,C.;Torres-Suárez,A. I.;&lt;/Field&gt;&lt;/Data&gt;&lt;Ref&gt;&lt;Display&gt;&lt;Text StringText=&quot;「RefIndex」&quot; StringTextOri=&quot;「RefIndex」&quot; SuperScript=&quot;true&quot;/&gt;&lt;/Display&gt;&lt;/Ref&gt;&lt;Doc&gt;&lt;Display&gt;&lt;Text StringText=&quot;Aparicio-Blanco, J., Martín-Sabroso, C. &amp;amp; Torres-Suárez, A. I.&quot; StringGroup=&quot;Author&quot;/&gt;_x000d__x000a__x0009__x0009__x0009_&lt;Text StringText=&quot; &quot; StringGroup=&quot;Author&quot;/&gt;_x000d__x000a__x0009__x0009__x0009_&lt;Text StringText=&quot;In vitro screening of nanomedicines through the blood brain barrier: A critical review&quot; StringGroup=&quot;Title&quot;/&gt;_x000d__x000a__x0009__x0009__x0009_&lt;Text StringText=&quot;. &quot; StringGroup=&quot;Title&quot;/&gt;_x000d__x000a__x0009__x0009__x0009_&lt;Text StringText=&quot;Biomaterials&quot; StringGroup=&quot;Magazine&quot; Italic=&quot;true&quot;/&gt;_x000d__x000a__x0009__x0009__x0009_&lt;Text StringText=&quot; &quot; StringGroup=&quot;Magazine&quot;/&gt;_x000d__x000a__x0009__x0009__x0009_&lt;Text StringText=&quot;103&quot; StringGroup=&quot;Vol&quot; Border=&quot;true&quot;/&gt;_x000d__x000a__x0009__x0009__x0009_&lt;Text StringText=&quot;,&quot; StringGroup=&quot;none&quot; Border=&quot;true&quot;/&gt;_x000d__x000a__x0009__x0009__x0009_&lt;Text StringText=&quot; &quot; StringGroup=&quot;none&quot;/&gt;_x000d__x000a__x0009__x0009__x0009_&lt;Text StringText=&quot;229-255&quot; StringGroup=&quot;PageNum&quot;/&gt;_x000d__x000a__x0009__x0009__x0009_&lt;Text StringText=&quot; &quot; StringGroup=&quot;none&quot;/&gt;_x000d__x000a__x0009__x0009__x0009_&lt;Text StringText=&quot;(&quot; StringGroup=&quot;PubYear&quot;/&gt;_x000d__x000a__x0009__x0009__x0009_&lt;Text StringText=&quot;2016&quot; StringGroup=&quot;PubYear&quot;/&gt;_x000d__x000a__x0009__x0009__x0009_&lt;Text StringText=&quot;)&quot; StringGroup=&quot;PubYear&quot;/&gt;_x000d__x000a__x0009__x0009__x0009_&lt;Text StringText=&quot;.&quot; StringGroup=&quot;none&quot;/&gt;_x000d__x000a__x0009__x0009_&lt;/Display&gt;&lt;/Doc&gt;&lt;/KyMRNote&gt;"/>
    <w:docVar w:name="KY.MR.DATA{C599F744-95AE-4CD7-AB34-636448D7BF42}344" w:val="&lt;KyMRNote dbid=&quot;{C599F744-95AE-4CD7-AB34-636448D7BF42}&quot; recid=&quot;344&quot;&gt;&lt;Data&gt;&lt;Field id=&quot;AccessNum&quot;&gt;30865462&lt;/Field&gt;&lt;Field id=&quot;Author&quot;&gt;Aparicio-Blanco J;Romero IA;Male DK;Slowing K;García-García L;Torres-Suárez AI&lt;/Field&gt;&lt;Field id=&quot;AuthorTrans&quot;&gt;&lt;/Field&gt;&lt;Field id=&quot;DOI&quot;&gt;10.1021/acs.molpharmaceut.8b01344&lt;/Field&gt;&lt;Field id=&quot;Editor&quot;&gt;&lt;/Field&gt;&lt;Field id=&quot;FmtTitle&quot;&gt;&lt;/Field&gt;&lt;Field id=&quot;Issue&quot;&gt;5&lt;/Field&gt;&lt;Field id=&quot;LIID&quot;&gt;344&lt;/Field&gt;&lt;Field id=&quot;Magazine&quot;&gt;Molecular pharmaceutics&lt;/Field&gt;&lt;Field id=&quot;MagazineAB&quot;&gt;Mol Pharm&lt;/Field&gt;&lt;Field id=&quot;MagazineTrans&quot;&gt;&lt;/Field&gt;&lt;Field id=&quot;PageNum&quot;&gt;1999-2010&lt;/Field&gt;&lt;Field id=&quot;PubDate&quot;&gt;05 06&lt;/Field&gt;&lt;Field id=&quot;PubPlace&quot;&gt;United States&lt;/Field&gt;&lt;Field id=&quot;PubPlaceTrans&quot;&gt;&lt;/Field&gt;&lt;Field id=&quot;PubYear&quot;&gt;2019&lt;/Field&gt;&lt;Field id=&quot;Publisher&quot;&gt;&lt;/Field&gt;&lt;Field id=&quot;PublisherTrans&quot;&gt;&lt;/Field&gt;&lt;Field id=&quot;TITrans&quot;&gt;&lt;/Field&gt;&lt;Field id=&quot;Title&quot;&gt;Cannabidiol Enhances the Passage of Lipid Nanocapsules across the Blood-Brain Barrier Both in Vitro and in Vivo.&lt;/Field&gt;&lt;Field id=&quot;Translator&quot;&gt;&lt;/Field&gt;&lt;Field id=&quot;Type&quot;&gt;{041D4F77-279E-4405-0002-4388361B9CFF}&lt;/Field&gt;&lt;Field id=&quot;Version&quot;&gt;&lt;/Field&gt;&lt;Field id=&quot;Vol&quot;&gt;16&lt;/Field&gt;&lt;Field id=&quot;Author2&quot;&gt;Aparicio-Blanco,J.;Romero,I.A.;Male,D.K.;Slowing,K.;García-García,L.;Torres-Suárez,A.I.;&lt;/Field&gt;&lt;/Data&gt;&lt;Ref&gt;&lt;Display&gt;&lt;Text StringText=&quot;「RefIndex」&quot; StringTextOri=&quot;「RefIndex」&quot;/&gt;&lt;/Display&gt;&lt;/Ref&gt;&lt;Doc&gt;&lt;Display&gt;&lt;Text StringText=&quot;J. Aparicio-Blanco, I.A. Romero, D.K. Male, K. Slowing, L. García-García, A.I. Torres-Suárez&quot; StringGroup=&quot;Author&quot;/&gt;_x000d__x000a__x0009__x0009__x0009_&lt;Text StringText=&quot;, &quot; StringGroup=&quot;Author&quot;/&gt;_x000d__x000a__x0009__x0009__x0009_&lt;Text StringText=&quot;Cannabidiol Enhances the Passage of Lipid Nanocapsules across the Blood-Brain Barrier Both in Vitro and in Vivo&quot; StringGroup=&quot;Title&quot;/&gt;_x000d__x000a__x0009__x0009__x0009_&lt;Text StringText=&quot;, &quot; StringGroup=&quot;Title&quot;/&gt;_x000d__x000a__x0009__x0009__x0009_&lt;Text StringText=&quot;Mol. Pharm.&quot; StringGroup=&quot;Magazine&quot;/&gt;_x000d__x000a__x0009__x0009__x0009_&lt;Text StringText=&quot; &quot; StringGroup=&quot;Magazine&quot;/&gt;_x000d__x000a__x0009__x0009__x0009_&lt;Text StringText=&quot;16&quot; StringGroup=&quot;Vol&quot;/&gt;_x000d__x000a__x0009__x0009__x0009_&lt;Text StringText=&quot; &quot; StringGroup=&quot;Vol&quot;/&gt;_x000d__x000a__x0009__x0009__x0009_&lt;Text StringText=&quot;(&quot; StringGroup=&quot;PubYear&quot;/&gt;_x000d__x000a__x0009__x0009__x0009_&lt;Text StringText=&quot;2019&quot; StringGroup=&quot;PubYear&quot;/&gt;_x000d__x000a__x0009__x0009__x0009_&lt;Text StringText=&quot;) &quot; StringGroup=&quot;PubYear&quot;/&gt;_x000d__x000a__x0009__x0009__x0009_&lt;Text StringText=&quot;1999-2010&quot; StringGroup=&quot;PageNum&quot;/&gt;_x000d__x000a__x0009__x0009__x0009_&lt;Text StringText=&quot;.&quot; StringGroup=&quot;PageNum&quot;/&gt;_x000d__x000a__x0009__x0009_&lt;/Display&gt;&lt;/Doc&gt;&lt;/KyMRNote&gt;"/>
    <w:docVar w:name="KY.MR.DATA{C599F744-95AE-4CD7-AB34-636448D7BF42}347" w:val="&lt;KyMRNote&gt;&lt;Data&gt;&lt;Field id=&quot;AccessNum&quot;&gt;26868179&lt;/Field&gt;&lt;Field id=&quot;Author&quot;&gt;Helms HC;Abbott NJ;Burek M;Cecchelli R;Couraud PO;Deli MA;Förster C;Galla HJ;Romero IA;Shusta EV;Stebbins MJ;Vandenhaute E;Weksler B;Brodin B&lt;/Field&gt;&lt;Field id=&quot;AuthorTrans&quot;&gt;&lt;/Field&gt;&lt;Field id=&quot;DOI&quot;&gt;10.1177/0271678X16630991&lt;/Field&gt;&lt;Field id=&quot;Editor&quot;&gt;&lt;/Field&gt;&lt;Field id=&quot;FmtTitle&quot;&gt;&lt;/Field&gt;&lt;Field id=&quot;Issue&quot;&gt;5&lt;/Field&gt;&lt;Field id=&quot;LIID&quot;&gt;347&lt;/Field&gt;&lt;Field id=&quot;Magazine&quot;&gt;Journal of cerebral blood flow and metabolism : official journal of the International Society of Cerebral Blood Flow and Metabolism&lt;/Field&gt;&lt;Field id=&quot;MagazineAB&quot;&gt;J Cereb Blood Flow Metab&lt;/Field&gt;&lt;Field id=&quot;MagazineTrans&quot;&gt;&lt;/Field&gt;&lt;Field id=&quot;PageNum&quot;&gt;862-90&lt;/Field&gt;&lt;Field id=&quot;PubDate&quot;&gt;05&lt;/Field&gt;&lt;Field id=&quot;PubPlace&quot;&gt;United States&lt;/Field&gt;&lt;Field id=&quot;PubPlaceTrans&quot;&gt;&lt;/Field&gt;&lt;Field id=&quot;PubYear&quot;&gt;2016&lt;/Field&gt;&lt;Field id=&quot;Publisher&quot;&gt;&lt;/Field&gt;&lt;Field id=&quot;PublisherTrans&quot;&gt;&lt;/Field&gt;&lt;Field id=&quot;TITrans&quot;&gt;&lt;/Field&gt;&lt;Field id=&quot;Title&quot;&gt;In vitro models of the blood-brain barrier: An overview of commonly used brain endothelial cell culture models and guidelines for their use.&lt;/Field&gt;&lt;Field id=&quot;Translator&quot;&gt;&lt;/Field&gt;&lt;Field id=&quot;Type&quot;&gt;{041D4F77-279E-4405-0002-4388361B9CFF}&lt;/Field&gt;&lt;Field id=&quot;Version&quot;&gt;&lt;/Field&gt;&lt;Field id=&quot;Vol&quot;&gt;36&lt;/Field&gt;&lt;Field id=&quot;Author2&quot;&gt;Helms,H. C.;&lt;/Field&gt;&lt;/Data&gt;&lt;Ref&gt;&lt;Display&gt;&lt;Text StringText=&quot;「RefIndex」&quot; StringTextOri=&quot;「RefIndex」&quot; SuperScript=&quot;true&quot;/&gt;&lt;/Display&gt;&lt;/Ref&gt;&lt;Doc&gt;&lt;Display&gt;&lt;Text StringText=&quot;Helms, H. C.&quot; StringGroup=&quot;Author&quot;/&gt;_x000d__x000a__x0009__x0009__x0009_&lt;Text StringText=&quot; et al.&quot; StringGroup=&quot;Author&quot; Italic=&quot;true&quot;/&gt;_x000d__x000a__x0009__x0009__x0009_&lt;Text StringText=&quot; &quot; StringGroup=&quot;Author&quot;/&gt;_x000d__x000a__x0009__x0009__x0009_&lt;Text StringText=&quot;In vitro models of the blood-brain barrier: An overview of commonly used brain endothelial cell culture models and guidelines for their use&quot; StringGroup=&quot;Title&quot;/&gt;_x000d__x000a__x0009__x0009__x0009_&lt;Text StringText=&quot;. &quot; StringGroup=&quot;Title&quot;/&gt;_x000d__x000a__x0009__x0009__x0009_&lt;Text StringText=&quot;J. Cereb. Blood Flow Metab.&quot; StringGroup=&quot;Magazine&quot; Italic=&quot;true&quot;/&gt;_x000d__x000a__x0009__x0009__x0009_&lt;Text StringText=&quot; &quot; StringGroup=&quot;Magazine&quot;/&gt;_x000d__x000a__x0009__x0009__x0009_&lt;Text StringText=&quot;36&quot; StringGroup=&quot;Vol&quot; Border=&quot;true&quot;/&gt;_x000d__x000a__x0009__x0009__x0009_&lt;Text StringText=&quot;,&quot; StringGroup=&quot;none&quot; Border=&quot;true&quot;/&gt;_x000d__x000a__x0009__x0009__x0009_&lt;Text StringText=&quot; &quot; StringGroup=&quot;none&quot;/&gt;_x000d__x000a__x0009__x0009__x0009_&lt;Text StringText=&quot;862-890&quot; StringGroup=&quot;PageNum&quot;/&gt;_x000d__x000a__x0009__x0009__x0009_&lt;Text StringText=&quot; &quot; StringGroup=&quot;none&quot;/&gt;_x000d__x000a__x0009__x0009__x0009_&lt;Text StringText=&quot;(&quot; StringGroup=&quot;PubYear&quot;/&gt;_x000d__x000a__x0009__x0009__x0009_&lt;Text StringText=&quot;2016&quot; StringGroup=&quot;PubYear&quot;/&gt;_x000d__x000a__x0009__x0009__x0009_&lt;Text StringText=&quot;)&quot; StringGroup=&quot;PubYear&quot;/&gt;_x000d__x000a__x0009__x0009__x0009_&lt;Text StringText=&quot;.&quot; StringGroup=&quot;none&quot;/&gt;_x000d__x000a__x0009__x0009_&lt;/Display&gt;&lt;/Doc&gt;&lt;/KyMRNote&gt;"/>
    <w:docVar w:name="KY.MR.DATA{C599F744-95AE-4CD7-AB34-636448D7BF42}348" w:val="&lt;KyMRNote&gt;&lt;Data&gt;&lt;Field id=&quot;AccessNum&quot;&gt;22906709&lt;/Field&gt;&lt;Field id=&quot;Author&quot;&gt;Hellinger E;Veszelka S;Tóth AE;Walter F;Kittel A;Bakk ML;Tihanyi K;Háda V;Nakagawa S;Duy TD;Niwa M;Deli MA;Vastag M&lt;/Field&gt;&lt;Field id=&quot;AuthorTrans&quot;&gt;&lt;/Field&gt;&lt;Field id=&quot;DOI&quot;&gt;10.1016/j.ejpb.2012.07.020&lt;/Field&gt;&lt;Field id=&quot;Editor&quot;&gt;&lt;/Field&gt;&lt;Field id=&quot;FmtTitle&quot;&gt;&lt;/Field&gt;&lt;Field id=&quot;Issue&quot;&gt;2&lt;/Field&gt;&lt;Field id=&quot;LIID&quot;&gt;348&lt;/Field&gt;&lt;Field id=&quot;Magazine&quot;&gt;European journal of pharmaceutics and biopharmaceutics : official journal of Arbeitsgemeinschaft für Pharmazeutische Verfahrenstechnik e.V&lt;/Field&gt;&lt;Field id=&quot;MagazineAB&quot;&gt;Eur J Pharm Biopharm&lt;/Field&gt;&lt;Field id=&quot;MagazineTrans&quot;&gt;&lt;/Field&gt;&lt;Field id=&quot;PageNum&quot;&gt;340-51&lt;/Field&gt;&lt;Field id=&quot;PubDate&quot;&gt;Oct&lt;/Field&gt;&lt;Field id=&quot;PubPlace&quot;&gt;Netherlands&lt;/Field&gt;&lt;Field id=&quot;PubPlaceTrans&quot;&gt;&lt;/Field&gt;&lt;Field id=&quot;PubYear&quot;&gt;2012&lt;/Field&gt;&lt;Field id=&quot;Publisher&quot;&gt;&lt;/Field&gt;&lt;Field id=&quot;PublisherTrans&quot;&gt;&lt;/Field&gt;&lt;Field id=&quot;TITrans&quot;&gt;&lt;/Field&gt;&lt;Field id=&quot;Title&quot;&gt;Comparison of brain capillary endothelial cell-based and epithelial (MDCK-MDR1, Caco-2, and VB-Caco-2) cell-based surrogate blood-brain barrier penetration models.&lt;/Field&gt;&lt;Field id=&quot;Translator&quot;&gt;&lt;/Field&gt;&lt;Field id=&quot;Type&quot;&gt;{041D4F77-279E-4405-0002-4388361B9CFF}&lt;/Field&gt;&lt;Field id=&quot;Version&quot;&gt;&lt;/Field&gt;&lt;Field id=&quot;Vol&quot;&gt;82&lt;/Field&gt;&lt;Field id=&quot;Author2&quot;&gt;Hellinger,E.;&lt;/Field&gt;&lt;/Data&gt;&lt;Ref&gt;&lt;Display&gt;&lt;Text StringText=&quot;「RefIndex」&quot; StringTextOri=&quot;「RefIndex」&quot; SuperScript=&quot;true&quot;/&gt;&lt;/Display&gt;&lt;/Ref&gt;&lt;Doc&gt;&lt;Display&gt;&lt;Text StringText=&quot;Hellinger, E.&quot; StringGroup=&quot;Author&quot;/&gt;_x000d__x000a__x0009__x0009__x0009_&lt;Text StringText=&quot; et al.&quot; StringGroup=&quot;Author&quot; Italic=&quot;true&quot;/&gt;_x000d__x000a__x0009__x0009__x0009_&lt;Text StringText=&quot; &quot; StringGroup=&quot;Author&quot;/&gt;_x000d__x000a__x0009__x0009__x0009_&lt;Text StringText=&quot;Comparison of brain capillary endothelial cell-based and epithelial (MDCK-MDR1, Caco-2, and VB-Caco-2) cell-based surrogate blood-brain barrier penetration models&quot; StringGroup=&quot;Title&quot;/&gt;_x000d__x000a__x0009__x0009__x0009_&lt;Text StringText=&quot;. &quot; StringGroup=&quot;Title&quot;/&gt;_x000d__x000a__x0009__x0009__x0009_&lt;Text StringText=&quot;Eur J Pharm Biopharm&quot; StringGroup=&quot;Magazine&quot; Italic=&quot;true&quot;/&gt;_x000d__x000a__x0009__x0009__x0009_&lt;Text StringText=&quot; &quot; StringGroup=&quot;Magazine&quot;/&gt;_x000d__x000a__x0009__x0009__x0009_&lt;Text StringText=&quot;82&quot; StringGroup=&quot;Vol&quot; Border=&quot;true&quot;/&gt;_x000d__x000a__x0009__x0009__x0009_&lt;Text StringText=&quot;,&quot; StringGroup=&quot;none&quot; Border=&quot;true&quot;/&gt;_x000d__x000a__x0009__x0009__x0009_&lt;Text StringText=&quot; &quot; StringGroup=&quot;none&quot;/&gt;_x000d__x000a__x0009__x0009__x0009_&lt;Text StringText=&quot;340-351&quot; StringGroup=&quot;PageNum&quot;/&gt;_x000d__x000a__x0009__x0009__x0009_&lt;Text StringText=&quot; &quot; StringGroup=&quot;none&quot;/&gt;_x000d__x000a__x0009__x0009__x0009_&lt;Text StringText=&quot;(&quot; StringGroup=&quot;PubYear&quot;/&gt;_x000d__x000a__x0009__x0009__x0009_&lt;Text StringText=&quot;2012&quot; StringGroup=&quot;PubYear&quot;/&gt;_x000d__x000a__x0009__x0009__x0009_&lt;Text StringText=&quot;)&quot; StringGroup=&quot;PubYear&quot;/&gt;_x000d__x000a__x0009__x0009__x0009_&lt;Text StringText=&quot;.&quot; StringGroup=&quot;none&quot;/&gt;_x000d__x000a__x0009__x0009_&lt;/Display&gt;&lt;/Doc&gt;&lt;/KyMRNote&gt;"/>
    <w:docVar w:name="KY.MR.DATA{C599F744-95AE-4CD7-AB34-636448D7BF42}349" w:val="&lt;KyMRNote&gt;&lt;Data&gt;&lt;Field id=&quot;AccessNum&quot;&gt;24686194&lt;/Field&gt;&lt;Field id=&quot;Author&quot;&gt;Bicker J;Alves G;Fortuna A;Falcão A&lt;/Field&gt;&lt;Field id=&quot;AuthorTrans&quot;&gt;&lt;/Field&gt;&lt;Field id=&quot;DOI&quot;&gt;10.1016/j.ejpb.2014.03.012&lt;/Field&gt;&lt;Field id=&quot;Editor&quot;&gt;&lt;/Field&gt;&lt;Field id=&quot;FmtTitle&quot;&gt;&lt;/Field&gt;&lt;Field id=&quot;Issue&quot;&gt;3&lt;/Field&gt;&lt;Field id=&quot;LIID&quot;&gt;349&lt;/Field&gt;&lt;Field id=&quot;Magazine&quot;&gt;European journal of pharmaceutics and biopharmaceutics : official journal of Arbeitsgemeinschaft für Pharmazeutische Verfahrenstechnik e.V&lt;/Field&gt;&lt;Field id=&quot;MagazineAB&quot;&gt;Eur J Pharm Biopharm&lt;/Field&gt;&lt;Field id=&quot;MagazineTrans&quot;&gt;&lt;/Field&gt;&lt;Field id=&quot;PageNum&quot;&gt;409-32&lt;/Field&gt;&lt;Field id=&quot;PubDate&quot;&gt;Aug&lt;/Field&gt;&lt;Field id=&quot;PubPlace&quot;&gt;Netherlands&lt;/Field&gt;&lt;Field id=&quot;PubPlaceTrans&quot;&gt;&lt;/Field&gt;&lt;Field id=&quot;PubYear&quot;&gt;2014&lt;/Field&gt;&lt;Field id=&quot;Publisher&quot;&gt;&lt;/Field&gt;&lt;Field id=&quot;PublisherTrans&quot;&gt;&lt;/Field&gt;&lt;Field id=&quot;TITrans&quot;&gt;&lt;/Field&gt;&lt;Field id=&quot;Title&quot;&gt;Blood-brain barrier models and their relevance for a successful development of CNS drug delivery systems: a review.&lt;/Field&gt;&lt;Field id=&quot;Translator&quot;&gt;&lt;/Field&gt;&lt;Field id=&quot;Type&quot;&gt;{041D4F77-279E-4405-0002-4388361B9CFF}&lt;/Field&gt;&lt;Field id=&quot;Version&quot;&gt;&lt;/Field&gt;&lt;Field id=&quot;Vol&quot;&gt;87&lt;/Field&gt;&lt;Field id=&quot;Author2&quot;&gt;Bicker,J.;Alves,G.;Fortuna,A.;Falcão,A.;&lt;/Field&gt;&lt;/Data&gt;&lt;Ref&gt;&lt;Display&gt;&lt;Text StringText=&quot;「RefIndex」&quot; StringTextOri=&quot;「RefIndex」&quot; SuperScript=&quot;true&quot;/&gt;&lt;/Display&gt;&lt;/Ref&gt;&lt;Doc&gt;&lt;Display&gt;&lt;Text StringText=&quot;Bicker, J., Alves, G., Fortuna, A. &amp;amp; Falcão, A.&quot; StringGroup=&quot;Author&quot;/&gt;_x000d__x000a__x0009__x0009__x0009_&lt;Text StringText=&quot; &quot; StringGroup=&quot;Author&quot;/&gt;_x000d__x000a__x0009__x0009__x0009_&lt;Text StringText=&quot;Blood-brain barrier models and their relevance for a successful development of CNS drug delivery systems: a review&quot; StringGroup=&quot;Title&quot;/&gt;_x000d__x000a__x0009__x0009__x0009_&lt;Text StringText=&quot;. &quot; StringGroup=&quot;Title&quot;/&gt;_x000d__x000a__x0009__x0009__x0009_&lt;Text StringText=&quot;Eur J Pharm Biopharm&quot; StringGroup=&quot;Magazine&quot; Italic=&quot;true&quot;/&gt;_x000d__x000a__x0009__x0009__x0009_&lt;Text StringText=&quot; &quot; StringGroup=&quot;Magazine&quot;/&gt;_x000d__x000a__x0009__x0009__x0009_&lt;Text StringText=&quot;87&quot; StringGroup=&quot;Vol&quot; Border=&quot;true&quot;/&gt;_x000d__x000a__x0009__x0009__x0009_&lt;Text StringText=&quot;,&quot; StringGroup=&quot;none&quot; Border=&quot;true&quot;/&gt;_x000d__x000a__x0009__x0009__x0009_&lt;Text StringText=&quot; &quot; StringGroup=&quot;none&quot;/&gt;_x000d__x000a__x0009__x0009__x0009_&lt;Text StringText=&quot;409-432&quot; StringGroup=&quot;PageNum&quot;/&gt;_x000d__x000a__x0009__x0009__x0009_&lt;Text StringText=&quot; &quot; StringGroup=&quot;none&quot;/&gt;_x000d__x000a__x0009__x0009__x0009_&lt;Text StringText=&quot;(&quot; StringGroup=&quot;PubYear&quot;/&gt;_x000d__x000a__x0009__x0009__x0009_&lt;Text StringText=&quot;2014&quot; StringGroup=&quot;PubYear&quot;/&gt;_x000d__x000a__x0009__x0009__x0009_&lt;Text StringText=&quot;)&quot; StringGroup=&quot;PubYear&quot;/&gt;_x000d__x000a__x0009__x0009__x0009_&lt;Text StringText=&quot;.&quot; StringGroup=&quot;none&quot;/&gt;_x000d__x000a__x0009__x0009_&lt;/Display&gt;&lt;/Doc&gt;&lt;/KyMRNote&gt;"/>
    <w:docVar w:name="KY.MR.DATA{C599F744-95AE-4CD7-AB34-636448D7BF42}350" w:val="&lt;KyMRNote&gt;&lt;Data&gt;&lt;Field id=&quot;AccessNum&quot;&gt;15620875&lt;/Field&gt;&lt;Field id=&quot;Author&quot;&gt;Wang Q;Rager JD;Weinstein K;Kardos PS;Dobson GL;Li J;Hidalgo IJ&lt;/Field&gt;&lt;Field id=&quot;AuthorTrans&quot;&gt;&lt;/Field&gt;&lt;Field id=&quot;DOI&quot;&gt;10.1016/j.ijpharm.2004.10.007&lt;/Field&gt;&lt;Field id=&quot;Editor&quot;&gt;&lt;/Field&gt;&lt;Field id=&quot;FmtTitle&quot;&gt;&lt;/Field&gt;&lt;Field id=&quot;Issue&quot;&gt;2&lt;/Field&gt;&lt;Field id=&quot;LIID&quot;&gt;350&lt;/Field&gt;&lt;Field id=&quot;Magazine&quot;&gt;International journal of pharmaceutics&lt;/Field&gt;&lt;Field id=&quot;MagazineAB&quot;&gt;Int J Pharm&lt;/Field&gt;&lt;Field id=&quot;MagazineTrans&quot;&gt;&lt;/Field&gt;&lt;Field id=&quot;PageNum&quot;&gt;349-59&lt;/Field&gt;&lt;Field id=&quot;PubDate&quot;&gt;Jan 20&lt;/Field&gt;&lt;Field id=&quot;PubPlace&quot;&gt;Netherlands&lt;/Field&gt;&lt;Field id=&quot;PubPlaceTrans&quot;&gt;&lt;/Field&gt;&lt;Field id=&quot;PubYear&quot;&gt;2005&lt;/Field&gt;&lt;Field id=&quot;Publisher&quot;&gt;&lt;/Field&gt;&lt;Field id=&quot;PublisherTrans&quot;&gt;&lt;/Field&gt;&lt;Field id=&quot;TITrans&quot;&gt;&lt;/Field&gt;&lt;Field id=&quot;Title&quot;&gt;Evaluation of the MDR-MDCK cell line as a permeability screen for the blood-brain barrier.&lt;/Field&gt;&lt;Field id=&quot;Translator&quot;&gt;&lt;/Field&gt;&lt;Field id=&quot;Type&quot;&gt;{041D4F77-279E-4405-0002-4388361B9CFF}&lt;/Field&gt;&lt;Field id=&quot;Version&quot;&gt;&lt;/Field&gt;&lt;Field id=&quot;Vol&quot;&gt;288&lt;/Field&gt;&lt;Field id=&quot;Author2&quot;&gt;Wang,Q.;&lt;/Field&gt;&lt;/Data&gt;&lt;Ref&gt;&lt;Display&gt;&lt;Text StringText=&quot;「RefIndex」&quot; StringTextOri=&quot;「RefIndex」&quot; SuperScript=&quot;true&quot;/&gt;&lt;/Display&gt;&lt;/Ref&gt;&lt;Doc&gt;&lt;Display&gt;&lt;Text StringText=&quot;Wang, Q.&quot; StringGroup=&quot;Author&quot;/&gt;_x000d__x000a__x0009__x0009__x0009_&lt;Text StringText=&quot; et al.&quot; StringGroup=&quot;Author&quot; Italic=&quot;true&quot;/&gt;_x000d__x000a__x0009__x0009__x0009_&lt;Text StringText=&quot; &quot; StringGroup=&quot;Author&quot;/&gt;_x000d__x000a__x0009__x0009__x0009_&lt;Text StringText=&quot;Evaluation of the MDR-MDCK cell line as a permeability screen for the blood-brain barrier&quot; StringGroup=&quot;Title&quot;/&gt;_x000d__x000a__x0009__x0009__x0009_&lt;Text StringText=&quot;. &quot; StringGroup=&quot;Title&quot;/&gt;_x000d__x000a__x0009__x0009__x0009_&lt;Text StringText=&quot;Int J Pharm&quot; StringGroup=&quot;Magazine&quot; Italic=&quot;true&quot;/&gt;_x000d__x000a__x0009__x0009__x0009_&lt;Text StringText=&quot; &quot; StringGroup=&quot;Magazine&quot;/&gt;_x000d__x000a__x0009__x0009__x0009_&lt;Text StringText=&quot;288&quot; StringGroup=&quot;Vol&quot; Border=&quot;true&quot;/&gt;_x000d__x000a__x0009__x0009__x0009_&lt;Text StringText=&quot;,&quot; StringGroup=&quot;none&quot; Border=&quot;true&quot;/&gt;_x000d__x000a__x0009__x0009__x0009_&lt;Text StringText=&quot; &quot; StringGroup=&quot;none&quot;/&gt;_x000d__x000a__x0009__x0009__x0009_&lt;Text StringText=&quot;349-359&quot; StringGroup=&quot;PageNum&quot;/&gt;_x000d__x000a__x0009__x0009__x0009_&lt;Text StringText=&quot; &quot; StringGroup=&quot;none&quot;/&gt;_x000d__x000a__x0009__x0009__x0009_&lt;Text StringText=&quot;(&quot; StringGroup=&quot;PubYear&quot;/&gt;_x000d__x000a__x0009__x0009__x0009_&lt;Text StringText=&quot;2005&quot; StringGroup=&quot;PubYear&quot;/&gt;_x000d__x000a__x0009__x0009__x0009_&lt;Text StringText=&quot;)&quot; StringGroup=&quot;PubYear&quot;/&gt;_x000d__x000a__x0009__x0009__x0009_&lt;Text StringText=&quot;.&quot; StringGroup=&quot;none&quot;/&gt;_x000d__x000a__x0009__x0009_&lt;/Display&gt;&lt;/Doc&gt;&lt;/KyMRNote&gt;"/>
    <w:docVar w:name="KY_MEDREF_CITTEMPLATE" w:val="{582E04C7-02D9-4F5E-B475-2590EA98BD16}"/>
    <w:docVar w:name="KY_MEDREF_DOCUID" w:val="{9E39C7B5-3FF6-47E6-8EB4-6A8E2ED2890B}"/>
    <w:docVar w:name="KY_MEDREF_VERSION" w:val="3"/>
  </w:docVars>
  <w:rsids>
    <w:rsidRoot w:val="3DE65F24"/>
    <w:rsid w:val="000B5D7A"/>
    <w:rsid w:val="001356C1"/>
    <w:rsid w:val="001A40F2"/>
    <w:rsid w:val="00221BC4"/>
    <w:rsid w:val="00351C25"/>
    <w:rsid w:val="003817F1"/>
    <w:rsid w:val="003B4894"/>
    <w:rsid w:val="003D3EB1"/>
    <w:rsid w:val="003F056D"/>
    <w:rsid w:val="00414FBC"/>
    <w:rsid w:val="00417B6C"/>
    <w:rsid w:val="005538D2"/>
    <w:rsid w:val="005E5CFF"/>
    <w:rsid w:val="0060115A"/>
    <w:rsid w:val="006768C7"/>
    <w:rsid w:val="006D2AB8"/>
    <w:rsid w:val="006E2AD7"/>
    <w:rsid w:val="008122E5"/>
    <w:rsid w:val="00837E6E"/>
    <w:rsid w:val="0084577A"/>
    <w:rsid w:val="008D4F5E"/>
    <w:rsid w:val="0095357A"/>
    <w:rsid w:val="00983B9B"/>
    <w:rsid w:val="00A60051"/>
    <w:rsid w:val="00AE02EC"/>
    <w:rsid w:val="00B445AE"/>
    <w:rsid w:val="00C4566E"/>
    <w:rsid w:val="00C759EF"/>
    <w:rsid w:val="00D75C6F"/>
    <w:rsid w:val="00D851BD"/>
    <w:rsid w:val="00DF4EF4"/>
    <w:rsid w:val="00E06AF2"/>
    <w:rsid w:val="00E32F24"/>
    <w:rsid w:val="00E40303"/>
    <w:rsid w:val="00E87BDB"/>
    <w:rsid w:val="00EF7141"/>
    <w:rsid w:val="00F64670"/>
    <w:rsid w:val="00FA0B56"/>
    <w:rsid w:val="00FB5F6B"/>
    <w:rsid w:val="00FC0748"/>
    <w:rsid w:val="02AD48E2"/>
    <w:rsid w:val="04596589"/>
    <w:rsid w:val="04996AF4"/>
    <w:rsid w:val="06E52F2E"/>
    <w:rsid w:val="078546E1"/>
    <w:rsid w:val="09314F50"/>
    <w:rsid w:val="0D664457"/>
    <w:rsid w:val="0DDA1AE9"/>
    <w:rsid w:val="0EFB514E"/>
    <w:rsid w:val="0F0F29CD"/>
    <w:rsid w:val="10E66AA2"/>
    <w:rsid w:val="13BE517D"/>
    <w:rsid w:val="141E52B5"/>
    <w:rsid w:val="142972A6"/>
    <w:rsid w:val="16485874"/>
    <w:rsid w:val="1A1B3321"/>
    <w:rsid w:val="211934E0"/>
    <w:rsid w:val="21357EA2"/>
    <w:rsid w:val="2160718F"/>
    <w:rsid w:val="27373A23"/>
    <w:rsid w:val="2D836636"/>
    <w:rsid w:val="2E033B70"/>
    <w:rsid w:val="300560C7"/>
    <w:rsid w:val="308C3352"/>
    <w:rsid w:val="339B56AE"/>
    <w:rsid w:val="35775243"/>
    <w:rsid w:val="36312E99"/>
    <w:rsid w:val="3B5D3BA3"/>
    <w:rsid w:val="3C3E7DA5"/>
    <w:rsid w:val="3D4176C9"/>
    <w:rsid w:val="3DE65F24"/>
    <w:rsid w:val="3E2241BA"/>
    <w:rsid w:val="3FCE597F"/>
    <w:rsid w:val="40BE1FB8"/>
    <w:rsid w:val="413D0636"/>
    <w:rsid w:val="422A20DC"/>
    <w:rsid w:val="42E23143"/>
    <w:rsid w:val="437553AC"/>
    <w:rsid w:val="45CE669E"/>
    <w:rsid w:val="47F976F2"/>
    <w:rsid w:val="4A6803F0"/>
    <w:rsid w:val="4CA2324C"/>
    <w:rsid w:val="4F1C54A3"/>
    <w:rsid w:val="50300A5A"/>
    <w:rsid w:val="506D3D77"/>
    <w:rsid w:val="532C54A6"/>
    <w:rsid w:val="54745318"/>
    <w:rsid w:val="54D61990"/>
    <w:rsid w:val="58855184"/>
    <w:rsid w:val="602779FD"/>
    <w:rsid w:val="62C06596"/>
    <w:rsid w:val="650A2B5B"/>
    <w:rsid w:val="65605444"/>
    <w:rsid w:val="65672391"/>
    <w:rsid w:val="699C3D21"/>
    <w:rsid w:val="6A1F1169"/>
    <w:rsid w:val="6A295998"/>
    <w:rsid w:val="6A8722FE"/>
    <w:rsid w:val="6ABE5A8C"/>
    <w:rsid w:val="6B215BB2"/>
    <w:rsid w:val="6C2C2725"/>
    <w:rsid w:val="702A0ABA"/>
    <w:rsid w:val="7194192D"/>
    <w:rsid w:val="75140094"/>
    <w:rsid w:val="75B62C99"/>
    <w:rsid w:val="783269ED"/>
    <w:rsid w:val="788D2966"/>
    <w:rsid w:val="79743FBE"/>
    <w:rsid w:val="7ADD3689"/>
    <w:rsid w:val="7B8728DB"/>
    <w:rsid w:val="7DEF0280"/>
    <w:rsid w:val="7FAA7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14:docId w14:val="03333CBE"/>
  <w15:docId w15:val="{BE5F1170-637F-4AB1-912E-A7D38D81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link w:val="Heading1Char"/>
    <w:qFormat/>
    <w:pPr>
      <w:keepNext/>
      <w:keepLines/>
      <w:spacing w:line="576" w:lineRule="auto"/>
      <w:outlineLvl w:val="0"/>
    </w:pPr>
    <w:rPr>
      <w:b/>
      <w:kern w:val="44"/>
      <w:sz w:val="44"/>
    </w:rPr>
  </w:style>
  <w:style w:type="paragraph" w:styleId="Heading2">
    <w:name w:val="heading 2"/>
    <w:basedOn w:val="Normal"/>
    <w:next w:val="Normal"/>
    <w:link w:val="Heading2Char"/>
    <w:semiHidden/>
    <w:unhideWhenUsed/>
    <w:qFormat/>
    <w:pPr>
      <w:keepNext/>
      <w:keepLines/>
      <w:spacing w:before="260" w:after="260" w:line="413" w:lineRule="auto"/>
      <w:outlineLvl w:val="1"/>
    </w:pPr>
    <w:rPr>
      <w:rFonts w:ascii="Arial" w:eastAsia="SimHei"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qFormat/>
  </w:style>
  <w:style w:type="paragraph" w:styleId="TOC2">
    <w:name w:val="toc 2"/>
    <w:basedOn w:val="Normal"/>
    <w:next w:val="Normal"/>
    <w:uiPriority w:val="39"/>
    <w:qFormat/>
    <w:pPr>
      <w:ind w:leftChars="200" w:left="4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Emphasis">
    <w:name w:val="Emphasis"/>
    <w:basedOn w:val="DefaultParagraphFont"/>
    <w:qFormat/>
    <w:rPr>
      <w:i/>
    </w:rPr>
  </w:style>
  <w:style w:type="character" w:styleId="Hyperlink">
    <w:name w:val="Hyperlink"/>
    <w:basedOn w:val="DefaultParagraphFont"/>
    <w:uiPriority w:val="99"/>
    <w:qFormat/>
    <w:rPr>
      <w:color w:val="0000FF"/>
      <w:u w:val="single"/>
    </w:rPr>
  </w:style>
  <w:style w:type="character" w:customStyle="1" w:styleId="Heading1Char">
    <w:name w:val="Heading 1 Char"/>
    <w:link w:val="Heading1"/>
    <w:qFormat/>
    <w:rPr>
      <w:b/>
      <w:kern w:val="44"/>
      <w:sz w:val="44"/>
    </w:rPr>
  </w:style>
  <w:style w:type="paragraph" w:customStyle="1" w:styleId="WPSOffice1">
    <w:name w:val="WPSOffice手动目录 1"/>
    <w:qFormat/>
    <w:rPr>
      <w:lang w:val="en-US" w:eastAsia="zh-CN"/>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rPr>
  </w:style>
  <w:style w:type="paragraph" w:styleId="ListParagraph">
    <w:name w:val="List Paragraph"/>
    <w:basedOn w:val="Normal"/>
    <w:uiPriority w:val="99"/>
    <w:unhideWhenUsed/>
    <w:qFormat/>
    <w:pPr>
      <w:ind w:firstLineChars="200" w:firstLine="420"/>
    </w:pPr>
  </w:style>
  <w:style w:type="character" w:customStyle="1" w:styleId="Heading2Char">
    <w:name w:val="Heading 2 Char"/>
    <w:link w:val="Heading2"/>
    <w:qFormat/>
    <w:rPr>
      <w:rFonts w:ascii="Arial" w:eastAsia="SimHei" w:hAnsi="Arial"/>
      <w:b/>
      <w:sz w:val="32"/>
    </w:rPr>
  </w:style>
  <w:style w:type="paragraph" w:customStyle="1" w:styleId="BCAuthorAddress">
    <w:name w:val="BC_Author_Address"/>
    <w:basedOn w:val="Normal"/>
    <w:next w:val="BIEmailAddress"/>
    <w:qFormat/>
    <w:pPr>
      <w:spacing w:after="60"/>
      <w:jc w:val="left"/>
    </w:pPr>
    <w:rPr>
      <w:rFonts w:ascii="Arno Pro" w:hAnsi="Arno Pro"/>
      <w:kern w:val="22"/>
      <w:sz w:val="20"/>
    </w:rPr>
  </w:style>
  <w:style w:type="paragraph" w:customStyle="1" w:styleId="BIEmailAddress">
    <w:name w:val="BI_Email_Address"/>
    <w:basedOn w:val="Normal"/>
    <w:next w:val="AIReceivedDate"/>
    <w:qFormat/>
    <w:pPr>
      <w:spacing w:after="100"/>
      <w:jc w:val="left"/>
    </w:pPr>
    <w:rPr>
      <w:rFonts w:ascii="Arno Pro" w:hAnsi="Arno Pro"/>
      <w:sz w:val="18"/>
    </w:rPr>
  </w:style>
  <w:style w:type="paragraph" w:customStyle="1" w:styleId="AIReceivedDate">
    <w:name w:val="AI_Received_Date"/>
    <w:basedOn w:val="Normal"/>
    <w:next w:val="Normal"/>
    <w:qFormat/>
    <w:pPr>
      <w:spacing w:after="100"/>
      <w:jc w:val="left"/>
    </w:pPr>
    <w:rPr>
      <w:rFonts w:ascii="Arno Pro" w:hAnsi="Arno Pro"/>
      <w:sz w:val="18"/>
    </w:rPr>
  </w:style>
  <w:style w:type="paragraph" w:customStyle="1" w:styleId="SectionSubtitle">
    <w:name w:val="Section_Subtitle"/>
    <w:basedOn w:val="Normal"/>
    <w:qFormat/>
    <w:pPr>
      <w:spacing w:before="120" w:after="60"/>
    </w:pPr>
    <w:rPr>
      <w:rFonts w:ascii="Myriad Pro Light" w:hAnsi="Myriad Pro Light"/>
      <w:b/>
      <w:kern w:val="21"/>
      <w:sz w:val="19"/>
      <w:szCs w:val="14"/>
    </w:rPr>
  </w:style>
  <w:style w:type="paragraph" w:customStyle="1" w:styleId="SectionContent">
    <w:name w:val="Section_Content"/>
    <w:basedOn w:val="StyleFACorrespondingAuthorFootnote"/>
    <w:next w:val="Normal"/>
    <w:qFormat/>
    <w:pPr>
      <w:jc w:val="both"/>
    </w:pPr>
  </w:style>
  <w:style w:type="paragraph" w:customStyle="1" w:styleId="StyleFACorrespondingAuthorFootnote">
    <w:name w:val="Style FA_Corresponding_Author_Footnote"/>
    <w:basedOn w:val="Normal"/>
    <w:next w:val="BGKeywords"/>
    <w:qFormat/>
    <w:pPr>
      <w:jc w:val="left"/>
    </w:pPr>
    <w:rPr>
      <w:rFonts w:ascii="Arno Pro" w:hAnsi="Arno Pro"/>
      <w:kern w:val="20"/>
      <w:sz w:val="18"/>
    </w:rPr>
  </w:style>
  <w:style w:type="paragraph" w:customStyle="1" w:styleId="BGKeywords">
    <w:name w:val="BG_Keywords"/>
    <w:basedOn w:val="Normal"/>
    <w:next w:val="BHBriefs"/>
    <w:qFormat/>
    <w:pPr>
      <w:spacing w:after="220"/>
      <w:jc w:val="left"/>
    </w:pPr>
    <w:rPr>
      <w:rFonts w:ascii="Arno Pro" w:hAnsi="Arno Pro"/>
      <w:i/>
      <w:kern w:val="22"/>
      <w:sz w:val="20"/>
    </w:rPr>
  </w:style>
  <w:style w:type="paragraph" w:customStyle="1" w:styleId="BHBriefs">
    <w:name w:val="BH_Briefs"/>
    <w:basedOn w:val="Normal"/>
    <w:next w:val="BDAbstract"/>
    <w:qFormat/>
    <w:pPr>
      <w:spacing w:before="180" w:after="60"/>
      <w:jc w:val="left"/>
    </w:pPr>
    <w:rPr>
      <w:rFonts w:ascii="Arno Pro" w:hAnsi="Arno Pro"/>
      <w:kern w:val="22"/>
      <w:sz w:val="20"/>
    </w:rPr>
  </w:style>
  <w:style w:type="paragraph" w:customStyle="1" w:styleId="BDAbstract">
    <w:name w:val="BD_Abstract"/>
    <w:basedOn w:val="Normal"/>
    <w:next w:val="TAMainText"/>
    <w:qFormat/>
    <w:pPr>
      <w:pBdr>
        <w:top w:val="single" w:sz="4" w:space="1" w:color="auto"/>
        <w:bottom w:val="single" w:sz="4" w:space="1" w:color="auto"/>
      </w:pBdr>
      <w:spacing w:before="100" w:after="600"/>
    </w:pPr>
    <w:rPr>
      <w:rFonts w:ascii="Arno Pro" w:hAnsi="Arno Pro"/>
      <w:kern w:val="21"/>
      <w:sz w:val="18"/>
    </w:rPr>
  </w:style>
  <w:style w:type="paragraph" w:customStyle="1" w:styleId="TAMainText">
    <w:name w:val="TA_Main_Text"/>
    <w:basedOn w:val="Normal"/>
    <w:qFormat/>
    <w:pPr>
      <w:spacing w:after="60"/>
      <w:ind w:firstLine="180"/>
    </w:pPr>
    <w:rPr>
      <w:rFonts w:ascii="Arno Pro" w:hAnsi="Arno Pro"/>
      <w:kern w:val="21"/>
      <w:sz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ndNoteBibliography">
    <w:name w:val="EndNote Bibliography"/>
    <w:basedOn w:val="Normal"/>
    <w:link w:val="EndNoteBibliography0"/>
    <w:qFormat/>
    <w:rPr>
      <w:rFonts w:ascii="Calibri" w:hAnsi="Calibri" w:cs="Calibri"/>
      <w:sz w:val="20"/>
    </w:rPr>
  </w:style>
  <w:style w:type="character" w:customStyle="1" w:styleId="EndNoteBibliography0">
    <w:name w:val="EndNote Bibliography 字符"/>
    <w:basedOn w:val="DefaultParagraphFont"/>
    <w:link w:val="EndNoteBibliography"/>
    <w:qFormat/>
    <w:rPr>
      <w:rFonts w:ascii="Calibri" w:eastAsiaTheme="minorEastAsia" w:hAnsi="Calibri" w:cs="Calibri"/>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exiaohu@tingocell.com"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hyperlink" Target="mailto:zhanglitao@medmail.com.cn"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2050"/>
    <customShpInfo spid="_x0000_s1027"/>
    <customShpInfo spid="_x0000_s1028"/>
  </customShpExts>
</s:customData>
</file>

<file path=customXml/itemProps1.xml><?xml version="1.0" encoding="utf-8"?>
<ds:datastoreItem xmlns:ds="http://schemas.openxmlformats.org/officeDocument/2006/customXml" ds:itemID="{74A8F1BE-0A1D-4D6E-8097-AE6A3FBF4B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1224</Words>
  <Characters>6981</Characters>
  <Application>Microsoft Office Word</Application>
  <DocSecurity>0</DocSecurity>
  <Lines>58</Lines>
  <Paragraphs>16</Paragraphs>
  <ScaleCrop>false</ScaleCrop>
  <Company>Frontiers Media</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世襲 靖远侯</dc:creator>
  <cp:lastModifiedBy>Laura Niven</cp:lastModifiedBy>
  <cp:revision>12</cp:revision>
  <dcterms:created xsi:type="dcterms:W3CDTF">2020-04-22T15:57:00Z</dcterms:created>
  <dcterms:modified xsi:type="dcterms:W3CDTF">2024-07-02T15:53:00Z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9A32A8E95A304609B79D656DC04DBED4</vt:lpwstr>
  </property>
</Properties>
</file>