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EB23A" w14:textId="77777777" w:rsidR="00AC40F5" w:rsidRPr="00DE2EC3" w:rsidRDefault="00AC40F5" w:rsidP="00AC40F5">
      <w:pPr>
        <w:rPr>
          <w:rFonts w:ascii="Times New Roman" w:hAnsi="Times New Roman" w:cs="Times New Roman"/>
          <w:b/>
          <w:bCs/>
          <w:sz w:val="28"/>
          <w:szCs w:val="28"/>
        </w:rPr>
      </w:pPr>
      <w:r w:rsidRPr="00DE2EC3">
        <w:rPr>
          <w:rFonts w:ascii="Times New Roman" w:hAnsi="Times New Roman" w:cs="Times New Roman"/>
          <w:b/>
          <w:bCs/>
          <w:sz w:val="28"/>
          <w:szCs w:val="28"/>
        </w:rPr>
        <w:t>Supplementary Materials</w:t>
      </w:r>
    </w:p>
    <w:p w14:paraId="21184ACA" w14:textId="77777777" w:rsidR="00AC40F5" w:rsidRPr="00F173B2" w:rsidRDefault="00AC40F5" w:rsidP="00AC40F5">
      <w:pPr>
        <w:jc w:val="both"/>
        <w:rPr>
          <w:rFonts w:ascii="Times New Roman" w:hAnsi="Times New Roman" w:cs="Times New Roman"/>
          <w:sz w:val="24"/>
          <w:szCs w:val="24"/>
        </w:rPr>
      </w:pPr>
      <w:r w:rsidRPr="00F173B2">
        <w:rPr>
          <w:rFonts w:ascii="Times New Roman" w:hAnsi="Times New Roman" w:cs="Times New Roman"/>
          <w:b/>
          <w:bCs/>
          <w:sz w:val="24"/>
          <w:szCs w:val="24"/>
        </w:rPr>
        <w:t>Table S1:</w:t>
      </w:r>
      <w:r w:rsidRPr="00F173B2">
        <w:rPr>
          <w:rFonts w:ascii="Times New Roman" w:hAnsi="Times New Roman" w:cs="Times New Roman"/>
          <w:sz w:val="24"/>
          <w:szCs w:val="24"/>
        </w:rPr>
        <w:t xml:space="preserve"> Distribution of fibrin, platelet, and RBCs for clots on different surfaces at 30 minutes and 3-hour incubation. Asterisks denote statistical significance between 30 minutes and 3-hour clots (p &lt; 0.05).</w:t>
      </w:r>
    </w:p>
    <w:tbl>
      <w:tblPr>
        <w:tblStyle w:val="TableGrid"/>
        <w:tblW w:w="0" w:type="auto"/>
        <w:tblLook w:val="04A0" w:firstRow="1" w:lastRow="0" w:firstColumn="1" w:lastColumn="0" w:noHBand="0" w:noVBand="1"/>
      </w:tblPr>
      <w:tblGrid>
        <w:gridCol w:w="1435"/>
        <w:gridCol w:w="1440"/>
        <w:gridCol w:w="1530"/>
        <w:gridCol w:w="1605"/>
        <w:gridCol w:w="1503"/>
        <w:gridCol w:w="1503"/>
      </w:tblGrid>
      <w:tr w:rsidR="00AC40F5" w:rsidRPr="00F173B2" w14:paraId="0010C4C4" w14:textId="77777777" w:rsidTr="005E641F">
        <w:tc>
          <w:tcPr>
            <w:tcW w:w="9016" w:type="dxa"/>
            <w:gridSpan w:val="6"/>
          </w:tcPr>
          <w:p w14:paraId="3BF9FAA1"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Fibrin</w:t>
            </w:r>
          </w:p>
        </w:tc>
      </w:tr>
      <w:tr w:rsidR="00AC40F5" w:rsidRPr="00F173B2" w14:paraId="44FB3884" w14:textId="77777777" w:rsidTr="005E641F">
        <w:tc>
          <w:tcPr>
            <w:tcW w:w="1435" w:type="dxa"/>
          </w:tcPr>
          <w:p w14:paraId="1E593140" w14:textId="77777777" w:rsidR="00AC40F5" w:rsidRPr="00F173B2" w:rsidRDefault="00AC40F5" w:rsidP="005E641F">
            <w:pPr>
              <w:spacing w:after="160" w:line="259" w:lineRule="auto"/>
              <w:rPr>
                <w:rFonts w:ascii="Times New Roman" w:hAnsi="Times New Roman" w:cs="Times New Roman"/>
                <w:b/>
                <w:bCs/>
                <w:sz w:val="24"/>
                <w:szCs w:val="24"/>
              </w:rPr>
            </w:pPr>
          </w:p>
        </w:tc>
        <w:tc>
          <w:tcPr>
            <w:tcW w:w="1440" w:type="dxa"/>
          </w:tcPr>
          <w:p w14:paraId="5EC337DF"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PEEK</w:t>
            </w:r>
          </w:p>
        </w:tc>
        <w:tc>
          <w:tcPr>
            <w:tcW w:w="1530" w:type="dxa"/>
          </w:tcPr>
          <w:p w14:paraId="02434267"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PTFE</w:t>
            </w:r>
          </w:p>
        </w:tc>
        <w:tc>
          <w:tcPr>
            <w:tcW w:w="1605" w:type="dxa"/>
          </w:tcPr>
          <w:p w14:paraId="69571B78"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PU</w:t>
            </w:r>
          </w:p>
        </w:tc>
        <w:tc>
          <w:tcPr>
            <w:tcW w:w="1503" w:type="dxa"/>
          </w:tcPr>
          <w:p w14:paraId="4DC5B152"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Nitinol</w:t>
            </w:r>
          </w:p>
        </w:tc>
        <w:tc>
          <w:tcPr>
            <w:tcW w:w="1503" w:type="dxa"/>
          </w:tcPr>
          <w:p w14:paraId="343088C2"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Titanium*</w:t>
            </w:r>
          </w:p>
        </w:tc>
      </w:tr>
      <w:tr w:rsidR="00AC40F5" w:rsidRPr="00F173B2" w14:paraId="789D2B50" w14:textId="77777777" w:rsidTr="005E641F">
        <w:tc>
          <w:tcPr>
            <w:tcW w:w="1435" w:type="dxa"/>
          </w:tcPr>
          <w:p w14:paraId="74B40913"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30 Minutes</w:t>
            </w:r>
          </w:p>
        </w:tc>
        <w:tc>
          <w:tcPr>
            <w:tcW w:w="1440" w:type="dxa"/>
          </w:tcPr>
          <w:p w14:paraId="39CD1809"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7.07 ± 3.25</w:t>
            </w:r>
          </w:p>
        </w:tc>
        <w:tc>
          <w:tcPr>
            <w:tcW w:w="1530" w:type="dxa"/>
          </w:tcPr>
          <w:p w14:paraId="0C1FEE1C"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12.54 ± 7.76</w:t>
            </w:r>
          </w:p>
        </w:tc>
        <w:tc>
          <w:tcPr>
            <w:tcW w:w="1605" w:type="dxa"/>
          </w:tcPr>
          <w:p w14:paraId="3FFE5DAC"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20.98 ± 13.89</w:t>
            </w:r>
          </w:p>
        </w:tc>
        <w:tc>
          <w:tcPr>
            <w:tcW w:w="1503" w:type="dxa"/>
          </w:tcPr>
          <w:p w14:paraId="1C5C5D7D"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11.74 ± 4.51</w:t>
            </w:r>
          </w:p>
        </w:tc>
        <w:tc>
          <w:tcPr>
            <w:tcW w:w="1503" w:type="dxa"/>
          </w:tcPr>
          <w:p w14:paraId="1E7B3B43"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10.23 ± 4.47</w:t>
            </w:r>
          </w:p>
        </w:tc>
      </w:tr>
      <w:tr w:rsidR="00AC40F5" w:rsidRPr="00F173B2" w14:paraId="499B6732" w14:textId="77777777" w:rsidTr="005E641F">
        <w:tc>
          <w:tcPr>
            <w:tcW w:w="1435" w:type="dxa"/>
          </w:tcPr>
          <w:p w14:paraId="4093A22F"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3 Hour</w:t>
            </w:r>
          </w:p>
        </w:tc>
        <w:tc>
          <w:tcPr>
            <w:tcW w:w="1440" w:type="dxa"/>
          </w:tcPr>
          <w:p w14:paraId="7AC1C44E"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7.87 ± 3.39</w:t>
            </w:r>
          </w:p>
        </w:tc>
        <w:tc>
          <w:tcPr>
            <w:tcW w:w="1530" w:type="dxa"/>
          </w:tcPr>
          <w:p w14:paraId="7694DF5D"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6.10 ± 6.77</w:t>
            </w:r>
          </w:p>
        </w:tc>
        <w:tc>
          <w:tcPr>
            <w:tcW w:w="1605" w:type="dxa"/>
          </w:tcPr>
          <w:p w14:paraId="4849FCE1"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17.84 ± 3.97</w:t>
            </w:r>
          </w:p>
        </w:tc>
        <w:tc>
          <w:tcPr>
            <w:tcW w:w="1503" w:type="dxa"/>
          </w:tcPr>
          <w:p w14:paraId="59771496"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6.47 ± 1.49</w:t>
            </w:r>
          </w:p>
        </w:tc>
        <w:tc>
          <w:tcPr>
            <w:tcW w:w="1503" w:type="dxa"/>
          </w:tcPr>
          <w:p w14:paraId="485D97F5"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5.94 ± 1.82</w:t>
            </w:r>
          </w:p>
        </w:tc>
      </w:tr>
      <w:tr w:rsidR="00AC40F5" w:rsidRPr="00F173B2" w14:paraId="58950C3F" w14:textId="77777777" w:rsidTr="005E641F">
        <w:tc>
          <w:tcPr>
            <w:tcW w:w="9016" w:type="dxa"/>
            <w:gridSpan w:val="6"/>
          </w:tcPr>
          <w:p w14:paraId="69D2D728"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Platelets</w:t>
            </w:r>
          </w:p>
        </w:tc>
      </w:tr>
      <w:tr w:rsidR="00AC40F5" w:rsidRPr="00F173B2" w14:paraId="541C7769" w14:textId="77777777" w:rsidTr="005E641F">
        <w:tc>
          <w:tcPr>
            <w:tcW w:w="1435" w:type="dxa"/>
          </w:tcPr>
          <w:p w14:paraId="6903AA3F" w14:textId="77777777" w:rsidR="00AC40F5" w:rsidRPr="00F173B2" w:rsidRDefault="00AC40F5" w:rsidP="005E641F">
            <w:pPr>
              <w:spacing w:after="160" w:line="259" w:lineRule="auto"/>
              <w:rPr>
                <w:rFonts w:ascii="Times New Roman" w:hAnsi="Times New Roman" w:cs="Times New Roman"/>
                <w:sz w:val="24"/>
                <w:szCs w:val="24"/>
              </w:rPr>
            </w:pPr>
          </w:p>
        </w:tc>
        <w:tc>
          <w:tcPr>
            <w:tcW w:w="1440" w:type="dxa"/>
          </w:tcPr>
          <w:p w14:paraId="4CA7192A"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PEEK</w:t>
            </w:r>
          </w:p>
        </w:tc>
        <w:tc>
          <w:tcPr>
            <w:tcW w:w="1530" w:type="dxa"/>
          </w:tcPr>
          <w:p w14:paraId="417D37C6"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PTFE</w:t>
            </w:r>
          </w:p>
        </w:tc>
        <w:tc>
          <w:tcPr>
            <w:tcW w:w="1605" w:type="dxa"/>
          </w:tcPr>
          <w:p w14:paraId="7BD186C2"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PU</w:t>
            </w:r>
          </w:p>
        </w:tc>
        <w:tc>
          <w:tcPr>
            <w:tcW w:w="1503" w:type="dxa"/>
          </w:tcPr>
          <w:p w14:paraId="302BCCE5"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Nitinol</w:t>
            </w:r>
          </w:p>
        </w:tc>
        <w:tc>
          <w:tcPr>
            <w:tcW w:w="1503" w:type="dxa"/>
          </w:tcPr>
          <w:p w14:paraId="1B602FF4"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Titanium</w:t>
            </w:r>
          </w:p>
        </w:tc>
      </w:tr>
      <w:tr w:rsidR="00AC40F5" w:rsidRPr="00F173B2" w14:paraId="3B89B6BA" w14:textId="77777777" w:rsidTr="005E641F">
        <w:tc>
          <w:tcPr>
            <w:tcW w:w="1435" w:type="dxa"/>
          </w:tcPr>
          <w:p w14:paraId="631DD3D4"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30 Minutes</w:t>
            </w:r>
          </w:p>
        </w:tc>
        <w:tc>
          <w:tcPr>
            <w:tcW w:w="1440" w:type="dxa"/>
          </w:tcPr>
          <w:p w14:paraId="0A54604F"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0.65 ± 0.26</w:t>
            </w:r>
          </w:p>
        </w:tc>
        <w:tc>
          <w:tcPr>
            <w:tcW w:w="1530" w:type="dxa"/>
          </w:tcPr>
          <w:p w14:paraId="61FF6694"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0.76 ± 0.29</w:t>
            </w:r>
          </w:p>
        </w:tc>
        <w:tc>
          <w:tcPr>
            <w:tcW w:w="1605" w:type="dxa"/>
          </w:tcPr>
          <w:p w14:paraId="1E0F183B"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0.78 ± 0.40</w:t>
            </w:r>
          </w:p>
        </w:tc>
        <w:tc>
          <w:tcPr>
            <w:tcW w:w="1503" w:type="dxa"/>
          </w:tcPr>
          <w:p w14:paraId="44214874"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0.26 ± 0.06</w:t>
            </w:r>
          </w:p>
        </w:tc>
        <w:tc>
          <w:tcPr>
            <w:tcW w:w="1503" w:type="dxa"/>
          </w:tcPr>
          <w:p w14:paraId="4BE56CBF"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0.82 ± 0.81</w:t>
            </w:r>
          </w:p>
        </w:tc>
      </w:tr>
      <w:tr w:rsidR="00AC40F5" w:rsidRPr="00F173B2" w14:paraId="6DA8DD84" w14:textId="77777777" w:rsidTr="005E641F">
        <w:tc>
          <w:tcPr>
            <w:tcW w:w="1435" w:type="dxa"/>
          </w:tcPr>
          <w:p w14:paraId="2D33C128"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3 Hour</w:t>
            </w:r>
          </w:p>
        </w:tc>
        <w:tc>
          <w:tcPr>
            <w:tcW w:w="1440" w:type="dxa"/>
          </w:tcPr>
          <w:p w14:paraId="3585EF3A"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0.64 ± 0.68</w:t>
            </w:r>
          </w:p>
        </w:tc>
        <w:tc>
          <w:tcPr>
            <w:tcW w:w="1530" w:type="dxa"/>
          </w:tcPr>
          <w:p w14:paraId="6E3759C9"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1.20 ± 1.53</w:t>
            </w:r>
          </w:p>
        </w:tc>
        <w:tc>
          <w:tcPr>
            <w:tcW w:w="1605" w:type="dxa"/>
          </w:tcPr>
          <w:p w14:paraId="5C7C6C6E"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2.39 ± 3.27</w:t>
            </w:r>
          </w:p>
        </w:tc>
        <w:tc>
          <w:tcPr>
            <w:tcW w:w="1503" w:type="dxa"/>
          </w:tcPr>
          <w:p w14:paraId="2C588DE8"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0.61 ± 0.30</w:t>
            </w:r>
          </w:p>
        </w:tc>
        <w:tc>
          <w:tcPr>
            <w:tcW w:w="1503" w:type="dxa"/>
          </w:tcPr>
          <w:p w14:paraId="5C48BDDE"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0.74 ± 0.20</w:t>
            </w:r>
          </w:p>
        </w:tc>
      </w:tr>
      <w:tr w:rsidR="00AC40F5" w:rsidRPr="00F173B2" w14:paraId="76C112DF" w14:textId="77777777" w:rsidTr="005E641F">
        <w:tc>
          <w:tcPr>
            <w:tcW w:w="9016" w:type="dxa"/>
            <w:gridSpan w:val="6"/>
          </w:tcPr>
          <w:p w14:paraId="0246F210"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Red Blood Cells</w:t>
            </w:r>
          </w:p>
        </w:tc>
      </w:tr>
      <w:tr w:rsidR="00AC40F5" w:rsidRPr="00F173B2" w14:paraId="3E8E47AA" w14:textId="77777777" w:rsidTr="005E641F">
        <w:tc>
          <w:tcPr>
            <w:tcW w:w="1435" w:type="dxa"/>
          </w:tcPr>
          <w:p w14:paraId="67FDE4A8" w14:textId="77777777" w:rsidR="00AC40F5" w:rsidRPr="00F173B2" w:rsidRDefault="00AC40F5" w:rsidP="005E641F">
            <w:pPr>
              <w:spacing w:after="160" w:line="259" w:lineRule="auto"/>
              <w:rPr>
                <w:rFonts w:ascii="Times New Roman" w:hAnsi="Times New Roman" w:cs="Times New Roman"/>
                <w:sz w:val="24"/>
                <w:szCs w:val="24"/>
              </w:rPr>
            </w:pPr>
          </w:p>
        </w:tc>
        <w:tc>
          <w:tcPr>
            <w:tcW w:w="1440" w:type="dxa"/>
          </w:tcPr>
          <w:p w14:paraId="1239E450"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PEEK</w:t>
            </w:r>
          </w:p>
        </w:tc>
        <w:tc>
          <w:tcPr>
            <w:tcW w:w="1530" w:type="dxa"/>
          </w:tcPr>
          <w:p w14:paraId="51F89E63"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PTFE</w:t>
            </w:r>
          </w:p>
        </w:tc>
        <w:tc>
          <w:tcPr>
            <w:tcW w:w="1605" w:type="dxa"/>
          </w:tcPr>
          <w:p w14:paraId="49E12730"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PU</w:t>
            </w:r>
          </w:p>
        </w:tc>
        <w:tc>
          <w:tcPr>
            <w:tcW w:w="1503" w:type="dxa"/>
          </w:tcPr>
          <w:p w14:paraId="5DA93381"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Nitinol</w:t>
            </w:r>
          </w:p>
        </w:tc>
        <w:tc>
          <w:tcPr>
            <w:tcW w:w="1503" w:type="dxa"/>
          </w:tcPr>
          <w:p w14:paraId="3F29B840"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Titanium*</w:t>
            </w:r>
          </w:p>
        </w:tc>
      </w:tr>
      <w:tr w:rsidR="00AC40F5" w:rsidRPr="00F173B2" w14:paraId="19C21E7F" w14:textId="77777777" w:rsidTr="005E641F">
        <w:tc>
          <w:tcPr>
            <w:tcW w:w="1435" w:type="dxa"/>
          </w:tcPr>
          <w:p w14:paraId="73602B7B"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30 Minutes</w:t>
            </w:r>
          </w:p>
        </w:tc>
        <w:tc>
          <w:tcPr>
            <w:tcW w:w="1440" w:type="dxa"/>
          </w:tcPr>
          <w:p w14:paraId="4B710F02"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92.27 ± 3.58</w:t>
            </w:r>
          </w:p>
        </w:tc>
        <w:tc>
          <w:tcPr>
            <w:tcW w:w="1530" w:type="dxa"/>
          </w:tcPr>
          <w:p w14:paraId="4B59AD59"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86.71 ± 7.89</w:t>
            </w:r>
          </w:p>
        </w:tc>
        <w:tc>
          <w:tcPr>
            <w:tcW w:w="1605" w:type="dxa"/>
          </w:tcPr>
          <w:p w14:paraId="4A5BFF35"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78.25 ± 14.18</w:t>
            </w:r>
          </w:p>
        </w:tc>
        <w:tc>
          <w:tcPr>
            <w:tcW w:w="1503" w:type="dxa"/>
          </w:tcPr>
          <w:p w14:paraId="465A5FDB"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88.06 ± 4.50</w:t>
            </w:r>
          </w:p>
        </w:tc>
        <w:tc>
          <w:tcPr>
            <w:tcW w:w="1503" w:type="dxa"/>
          </w:tcPr>
          <w:p w14:paraId="141C38F7"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88.62 ± 5.20</w:t>
            </w:r>
          </w:p>
        </w:tc>
      </w:tr>
      <w:tr w:rsidR="00AC40F5" w:rsidRPr="00F173B2" w14:paraId="419053CF" w14:textId="77777777" w:rsidTr="005E641F">
        <w:tc>
          <w:tcPr>
            <w:tcW w:w="1435" w:type="dxa"/>
          </w:tcPr>
          <w:p w14:paraId="47189B8B" w14:textId="77777777" w:rsidR="00AC40F5" w:rsidRPr="00F173B2" w:rsidRDefault="00AC40F5" w:rsidP="005E641F">
            <w:pPr>
              <w:spacing w:after="160" w:line="259" w:lineRule="auto"/>
              <w:rPr>
                <w:rFonts w:ascii="Times New Roman" w:hAnsi="Times New Roman" w:cs="Times New Roman"/>
                <w:b/>
                <w:bCs/>
                <w:sz w:val="24"/>
                <w:szCs w:val="24"/>
              </w:rPr>
            </w:pPr>
            <w:r w:rsidRPr="00F173B2">
              <w:rPr>
                <w:rFonts w:ascii="Times New Roman" w:hAnsi="Times New Roman" w:cs="Times New Roman"/>
                <w:b/>
                <w:bCs/>
                <w:sz w:val="24"/>
                <w:szCs w:val="24"/>
              </w:rPr>
              <w:t>3 Hour</w:t>
            </w:r>
          </w:p>
        </w:tc>
        <w:tc>
          <w:tcPr>
            <w:tcW w:w="1440" w:type="dxa"/>
          </w:tcPr>
          <w:p w14:paraId="1614002F"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91.77 ± 4.08</w:t>
            </w:r>
          </w:p>
        </w:tc>
        <w:tc>
          <w:tcPr>
            <w:tcW w:w="1530" w:type="dxa"/>
          </w:tcPr>
          <w:p w14:paraId="1857D901"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92.69 ± 8.42</w:t>
            </w:r>
          </w:p>
        </w:tc>
        <w:tc>
          <w:tcPr>
            <w:tcW w:w="1605" w:type="dxa"/>
          </w:tcPr>
          <w:p w14:paraId="7D2CAB3D"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79.75 ± 3.44</w:t>
            </w:r>
          </w:p>
        </w:tc>
        <w:tc>
          <w:tcPr>
            <w:tcW w:w="1503" w:type="dxa"/>
          </w:tcPr>
          <w:p w14:paraId="35B245FC"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92.99 ± 1.75</w:t>
            </w:r>
          </w:p>
        </w:tc>
        <w:tc>
          <w:tcPr>
            <w:tcW w:w="1503" w:type="dxa"/>
          </w:tcPr>
          <w:p w14:paraId="1333B415" w14:textId="77777777" w:rsidR="00AC40F5" w:rsidRPr="00F173B2" w:rsidRDefault="00AC40F5" w:rsidP="005E641F">
            <w:pPr>
              <w:spacing w:after="160" w:line="259" w:lineRule="auto"/>
              <w:rPr>
                <w:rFonts w:ascii="Times New Roman" w:hAnsi="Times New Roman" w:cs="Times New Roman"/>
                <w:sz w:val="24"/>
                <w:szCs w:val="24"/>
              </w:rPr>
            </w:pPr>
            <w:r w:rsidRPr="00F173B2">
              <w:rPr>
                <w:rFonts w:ascii="Times New Roman" w:hAnsi="Times New Roman" w:cs="Times New Roman"/>
                <w:sz w:val="24"/>
                <w:szCs w:val="24"/>
              </w:rPr>
              <w:t>94.24 ± 2.49</w:t>
            </w:r>
          </w:p>
        </w:tc>
      </w:tr>
    </w:tbl>
    <w:p w14:paraId="58EBFF4B" w14:textId="77777777" w:rsidR="00AC40F5" w:rsidRPr="00F173B2" w:rsidRDefault="00AC40F5" w:rsidP="00AC40F5">
      <w:pPr>
        <w:rPr>
          <w:rFonts w:ascii="Times New Roman" w:hAnsi="Times New Roman" w:cs="Times New Roman"/>
          <w:sz w:val="24"/>
          <w:szCs w:val="24"/>
        </w:rPr>
      </w:pPr>
    </w:p>
    <w:p w14:paraId="183848FF" w14:textId="77777777" w:rsidR="005129CC" w:rsidRDefault="005129CC"/>
    <w:p w14:paraId="74BAD231" w14:textId="77777777" w:rsidR="00AC40F5" w:rsidRDefault="00AC40F5"/>
    <w:p w14:paraId="06CA79E5" w14:textId="531EB81C" w:rsidR="00AC40F5" w:rsidRDefault="00AC40F5">
      <w:r>
        <w:rPr>
          <w:noProof/>
        </w:rPr>
        <w:lastRenderedPageBreak/>
        <w:drawing>
          <wp:inline distT="0" distB="0" distL="0" distR="0" wp14:anchorId="4261F03E" wp14:editId="124F6B06">
            <wp:extent cx="6142068" cy="2987040"/>
            <wp:effectExtent l="0" t="0" r="0" b="3810"/>
            <wp:docPr id="2097173583" name="Picture 1" descr="A chart of different colore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3583" name="Picture 1" descr="A chart of different colored boxe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43976" cy="2987968"/>
                    </a:xfrm>
                    <a:prstGeom prst="rect">
                      <a:avLst/>
                    </a:prstGeom>
                    <a:noFill/>
                    <a:ln>
                      <a:noFill/>
                    </a:ln>
                  </pic:spPr>
                </pic:pic>
              </a:graphicData>
            </a:graphic>
          </wp:inline>
        </w:drawing>
      </w:r>
    </w:p>
    <w:p w14:paraId="5C100A3F" w14:textId="07595FB8" w:rsidR="00AC40F5" w:rsidRDefault="00AC40F5" w:rsidP="002D27EF">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Figure S1: </w:t>
      </w:r>
      <w:r w:rsidRPr="00F173B2">
        <w:rPr>
          <w:rFonts w:ascii="Times New Roman" w:eastAsia="Calibri" w:hAnsi="Times New Roman" w:cs="Times New Roman"/>
          <w:sz w:val="24"/>
          <w:szCs w:val="24"/>
        </w:rPr>
        <w:t>Quantification of platelets coverage on the surface of biocompatible materials at the remnant regions at different incubation times. Asterisks denote statistical significance between</w:t>
      </w:r>
      <w:r w:rsidR="002D27EF">
        <w:rPr>
          <w:rFonts w:ascii="Times New Roman" w:eastAsia="Calibri" w:hAnsi="Times New Roman" w:cs="Times New Roman"/>
          <w:sz w:val="24"/>
          <w:szCs w:val="24"/>
        </w:rPr>
        <w:t xml:space="preserve"> </w:t>
      </w:r>
      <w:r w:rsidRPr="00F173B2">
        <w:rPr>
          <w:rFonts w:ascii="Times New Roman" w:eastAsia="Calibri" w:hAnsi="Times New Roman" w:cs="Times New Roman"/>
          <w:sz w:val="24"/>
          <w:szCs w:val="24"/>
        </w:rPr>
        <w:t>two-time intervals (p &lt; 0.05 = *, p &lt; 0.01 = **, and p &lt; 0.001 = ***).</w:t>
      </w:r>
    </w:p>
    <w:p w14:paraId="20FA6C32" w14:textId="77777777" w:rsidR="00AC40F5" w:rsidRDefault="00AC40F5">
      <w:pPr>
        <w:rPr>
          <w:rFonts w:ascii="Times New Roman" w:eastAsia="Calibri" w:hAnsi="Times New Roman" w:cs="Times New Roman"/>
          <w:sz w:val="24"/>
          <w:szCs w:val="24"/>
        </w:rPr>
      </w:pPr>
    </w:p>
    <w:p w14:paraId="4F746C33" w14:textId="66853C38" w:rsidR="00AC40F5" w:rsidRDefault="00AC40F5">
      <w:r>
        <w:rPr>
          <w:noProof/>
        </w:rPr>
        <w:drawing>
          <wp:inline distT="0" distB="0" distL="0" distR="0" wp14:anchorId="1E956164" wp14:editId="266D73A0">
            <wp:extent cx="5943600" cy="3350260"/>
            <wp:effectExtent l="0" t="0" r="0" b="2540"/>
            <wp:docPr id="471644630" name="Picture 2" descr="A graph of different colore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4630" name="Picture 2" descr="A graph of different colored boxe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50260"/>
                    </a:xfrm>
                    <a:prstGeom prst="rect">
                      <a:avLst/>
                    </a:prstGeom>
                    <a:noFill/>
                    <a:ln>
                      <a:noFill/>
                    </a:ln>
                  </pic:spPr>
                </pic:pic>
              </a:graphicData>
            </a:graphic>
          </wp:inline>
        </w:drawing>
      </w:r>
    </w:p>
    <w:p w14:paraId="59762E41" w14:textId="1AF75929" w:rsidR="00AC40F5" w:rsidRPr="00F173B2" w:rsidRDefault="00AC40F5" w:rsidP="00AC40F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Figure S2: </w:t>
      </w:r>
      <w:r w:rsidRPr="00F173B2">
        <w:rPr>
          <w:rFonts w:ascii="Times New Roman" w:eastAsia="Calibri" w:hAnsi="Times New Roman" w:cs="Times New Roman"/>
          <w:sz w:val="24"/>
          <w:szCs w:val="24"/>
        </w:rPr>
        <w:t>Quantification of fibrin coverage on the surface of biocompatible materials at the remnant regions at different incubation times. Asterisks denote statistical significance between two-time intervals (p &lt; 0.05 = *, and p &lt; 0.01 = **).</w:t>
      </w:r>
    </w:p>
    <w:p w14:paraId="5077554A" w14:textId="21C74862" w:rsidR="00AC40F5" w:rsidRDefault="00AC40F5">
      <w:pPr>
        <w:rPr>
          <w:b/>
          <w:bCs/>
        </w:rPr>
      </w:pPr>
      <w:r>
        <w:rPr>
          <w:noProof/>
        </w:rPr>
        <w:lastRenderedPageBreak/>
        <w:drawing>
          <wp:inline distT="0" distB="0" distL="0" distR="0" wp14:anchorId="1A525577" wp14:editId="18FC69A4">
            <wp:extent cx="5943600" cy="2479040"/>
            <wp:effectExtent l="0" t="0" r="0" b="0"/>
            <wp:docPr id="279968964" name="Picture 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68964" name="Picture 3" descr="A diagram of a graph&#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479040"/>
                    </a:xfrm>
                    <a:prstGeom prst="rect">
                      <a:avLst/>
                    </a:prstGeom>
                    <a:noFill/>
                    <a:ln>
                      <a:noFill/>
                    </a:ln>
                  </pic:spPr>
                </pic:pic>
              </a:graphicData>
            </a:graphic>
          </wp:inline>
        </w:drawing>
      </w:r>
    </w:p>
    <w:p w14:paraId="43F9F9CE" w14:textId="2A407F17" w:rsidR="00AC40F5" w:rsidRDefault="00AC40F5" w:rsidP="00AC40F5">
      <w:pPr>
        <w:jc w:val="both"/>
        <w:rPr>
          <w:rFonts w:ascii="Times New Roman" w:eastAsia="Calibri" w:hAnsi="Times New Roman" w:cs="Times New Roman"/>
          <w:sz w:val="24"/>
          <w:szCs w:val="24"/>
        </w:rPr>
      </w:pPr>
      <w:bookmarkStart w:id="0" w:name="_Hlk171017640"/>
      <w:r>
        <w:rPr>
          <w:rFonts w:ascii="Times New Roman" w:eastAsia="Calibri" w:hAnsi="Times New Roman" w:cs="Times New Roman"/>
          <w:sz w:val="24"/>
          <w:szCs w:val="24"/>
        </w:rPr>
        <w:t xml:space="preserve">Figure S3: </w:t>
      </w:r>
      <w:r w:rsidRPr="00F173B2">
        <w:rPr>
          <w:rFonts w:ascii="Times New Roman" w:eastAsia="Calibri" w:hAnsi="Times New Roman" w:cs="Times New Roman"/>
          <w:sz w:val="24"/>
          <w:szCs w:val="24"/>
        </w:rPr>
        <w:t>Data depicting the influence of incubation time on clot moduli for different surfaces. Significance levels are denoted on the plot by asterisks (*), indicating p-values where p &lt; 0.05 = *, p &lt; 0.01 = **, and p &lt; 0.001 = ***. The symbol '•' denotes outliers.</w:t>
      </w:r>
      <w:bookmarkEnd w:id="0"/>
    </w:p>
    <w:p w14:paraId="0E24BD7B" w14:textId="77777777" w:rsidR="00AC40F5" w:rsidRDefault="00AC40F5">
      <w:pPr>
        <w:rPr>
          <w:rFonts w:ascii="Times New Roman" w:eastAsia="Calibri" w:hAnsi="Times New Roman" w:cs="Times New Roman"/>
          <w:sz w:val="24"/>
          <w:szCs w:val="24"/>
        </w:rPr>
      </w:pPr>
    </w:p>
    <w:p w14:paraId="174E60E4" w14:textId="09080D77" w:rsidR="00AC40F5" w:rsidRDefault="00AC40F5">
      <w:pPr>
        <w:rPr>
          <w:b/>
          <w:bCs/>
        </w:rPr>
      </w:pPr>
      <w:r>
        <w:rPr>
          <w:noProof/>
        </w:rPr>
        <w:drawing>
          <wp:inline distT="0" distB="0" distL="0" distR="0" wp14:anchorId="5FE72D89" wp14:editId="341B5E46">
            <wp:extent cx="5943600" cy="2708275"/>
            <wp:effectExtent l="0" t="0" r="0" b="0"/>
            <wp:docPr id="1121426691" name="Picture 4"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26691" name="Picture 4" descr="A graph of different colored squar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08275"/>
                    </a:xfrm>
                    <a:prstGeom prst="rect">
                      <a:avLst/>
                    </a:prstGeom>
                    <a:noFill/>
                    <a:ln>
                      <a:noFill/>
                    </a:ln>
                  </pic:spPr>
                </pic:pic>
              </a:graphicData>
            </a:graphic>
          </wp:inline>
        </w:drawing>
      </w:r>
    </w:p>
    <w:p w14:paraId="0B0EBFAB" w14:textId="051465CF" w:rsidR="00AC40F5" w:rsidRDefault="00AC40F5" w:rsidP="00AC40F5">
      <w:pPr>
        <w:jc w:val="both"/>
        <w:rPr>
          <w:rFonts w:ascii="Times New Roman" w:eastAsia="Calibri" w:hAnsi="Times New Roman" w:cs="Times New Roman"/>
          <w:sz w:val="24"/>
          <w:szCs w:val="24"/>
        </w:rPr>
      </w:pPr>
      <w:bookmarkStart w:id="1" w:name="_Hlk171017670"/>
      <w:r>
        <w:rPr>
          <w:rFonts w:ascii="Times New Roman" w:eastAsia="Calibri" w:hAnsi="Times New Roman" w:cs="Times New Roman"/>
          <w:sz w:val="24"/>
          <w:szCs w:val="24"/>
        </w:rPr>
        <w:t xml:space="preserve">Figure S4: </w:t>
      </w:r>
      <w:r w:rsidRPr="00F173B2">
        <w:rPr>
          <w:rFonts w:ascii="Times New Roman" w:eastAsia="Calibri" w:hAnsi="Times New Roman" w:cs="Times New Roman"/>
          <w:sz w:val="24"/>
          <w:szCs w:val="24"/>
        </w:rPr>
        <w:t>Data illustrating the influence of incubation time on Poisson ratio across different surfaces. Significance levels are indicated on the plot using asterisks (*), with p-values represented as p &lt; 0.05 = *, p &lt; 0.01 = **, and p &lt; 0.001 = ***.</w:t>
      </w:r>
      <w:bookmarkEnd w:id="1"/>
    </w:p>
    <w:p w14:paraId="184A964A" w14:textId="77777777" w:rsidR="00AC40F5" w:rsidRDefault="00AC40F5">
      <w:pPr>
        <w:rPr>
          <w:rFonts w:ascii="Times New Roman" w:eastAsia="Calibri" w:hAnsi="Times New Roman" w:cs="Times New Roman"/>
          <w:sz w:val="24"/>
          <w:szCs w:val="24"/>
        </w:rPr>
      </w:pPr>
    </w:p>
    <w:p w14:paraId="7533BE68" w14:textId="2A512AD5" w:rsidR="00AC40F5" w:rsidRDefault="00AC40F5" w:rsidP="002D27EF">
      <w:pPr>
        <w:spacing w:after="0"/>
        <w:jc w:val="center"/>
        <w:rPr>
          <w:b/>
          <w:bCs/>
        </w:rPr>
      </w:pPr>
      <w:r>
        <w:rPr>
          <w:noProof/>
        </w:rPr>
        <w:lastRenderedPageBreak/>
        <w:drawing>
          <wp:inline distT="0" distB="0" distL="0" distR="0" wp14:anchorId="5D7AF19A" wp14:editId="096567E5">
            <wp:extent cx="5608108" cy="3389431"/>
            <wp:effectExtent l="0" t="0" r="0" b="1905"/>
            <wp:docPr id="187219493" name="Picture 5" descr="A graph of different colore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9493" name="Picture 5" descr="A graph of different colored boxe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77"/>
                    <a:stretch/>
                  </pic:blipFill>
                  <pic:spPr bwMode="auto">
                    <a:xfrm>
                      <a:off x="0" y="0"/>
                      <a:ext cx="5623658" cy="3398829"/>
                    </a:xfrm>
                    <a:prstGeom prst="rect">
                      <a:avLst/>
                    </a:prstGeom>
                    <a:noFill/>
                    <a:ln>
                      <a:noFill/>
                    </a:ln>
                    <a:extLst>
                      <a:ext uri="{53640926-AAD7-44D8-BBD7-CCE9431645EC}">
                        <a14:shadowObscured xmlns:a14="http://schemas.microsoft.com/office/drawing/2010/main"/>
                      </a:ext>
                    </a:extLst>
                  </pic:spPr>
                </pic:pic>
              </a:graphicData>
            </a:graphic>
          </wp:inline>
        </w:drawing>
      </w:r>
    </w:p>
    <w:p w14:paraId="3B987222" w14:textId="4A811514" w:rsidR="00AC40F5" w:rsidRDefault="00AC40F5" w:rsidP="00AC40F5">
      <w:pPr>
        <w:jc w:val="both"/>
        <w:rPr>
          <w:rFonts w:ascii="Times New Roman" w:eastAsia="Calibri" w:hAnsi="Times New Roman" w:cs="Times New Roman"/>
          <w:sz w:val="24"/>
          <w:szCs w:val="24"/>
        </w:rPr>
      </w:pPr>
      <w:r w:rsidRPr="00AC40F5">
        <w:rPr>
          <w:rFonts w:ascii="Times New Roman" w:eastAsia="Calibri" w:hAnsi="Times New Roman" w:cs="Times New Roman"/>
          <w:sz w:val="24"/>
          <w:szCs w:val="24"/>
        </w:rPr>
        <w:t>Figure S5: Data showing variations in clot volume over incubation time. Significant changes in clot volume were observed with increasing incubation periods. Furthermore, significant differences were identified among clots formed on PEEK and PU at 30 minutes of incubation (shown by blue lines on the plot), indicating distinct coagulation behavior of blood on different surfaces. Significance levels are indicated using asterisks (*): p &lt; 0.05 = *, p &lt; 0.01 = **, and p &lt; 0.001 = ***. Symbol “•” represents the outlier.</w:t>
      </w:r>
    </w:p>
    <w:p w14:paraId="194BBFC8" w14:textId="77777777" w:rsidR="00AC40F5" w:rsidRPr="002D27EF" w:rsidRDefault="00AC40F5" w:rsidP="00AC40F5">
      <w:pPr>
        <w:jc w:val="both"/>
        <w:rPr>
          <w:rFonts w:ascii="Times New Roman" w:eastAsia="Calibri" w:hAnsi="Times New Roman" w:cs="Times New Roman"/>
          <w:sz w:val="12"/>
          <w:szCs w:val="12"/>
        </w:rPr>
      </w:pPr>
    </w:p>
    <w:p w14:paraId="1B64FCB2" w14:textId="3B04CEDF" w:rsidR="00AC40F5" w:rsidRDefault="00441B67" w:rsidP="00AC40F5">
      <w:pPr>
        <w:jc w:val="both"/>
        <w:rPr>
          <w:rFonts w:ascii="Times New Roman" w:eastAsia="Calibri" w:hAnsi="Times New Roman" w:cs="Times New Roman"/>
          <w:sz w:val="24"/>
          <w:szCs w:val="24"/>
        </w:rPr>
      </w:pPr>
      <w:r>
        <w:rPr>
          <w:noProof/>
        </w:rPr>
        <w:drawing>
          <wp:inline distT="0" distB="0" distL="0" distR="0" wp14:anchorId="247AD988" wp14:editId="4889136A">
            <wp:extent cx="5943600" cy="2250440"/>
            <wp:effectExtent l="0" t="0" r="0" b="0"/>
            <wp:docPr id="1996757221" name="Picture 8" descr="A diagram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57221" name="Picture 8" descr="A diagram of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50440"/>
                    </a:xfrm>
                    <a:prstGeom prst="rect">
                      <a:avLst/>
                    </a:prstGeom>
                    <a:noFill/>
                    <a:ln>
                      <a:noFill/>
                    </a:ln>
                  </pic:spPr>
                </pic:pic>
              </a:graphicData>
            </a:graphic>
          </wp:inline>
        </w:drawing>
      </w:r>
    </w:p>
    <w:p w14:paraId="5B93EEE0" w14:textId="17FEF86A" w:rsidR="00AC40F5" w:rsidRPr="00F173B2" w:rsidRDefault="00AC40F5" w:rsidP="00AC40F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Figure S6: </w:t>
      </w:r>
      <w:r w:rsidR="00D813B9" w:rsidRPr="00D813B9">
        <w:rPr>
          <w:rFonts w:ascii="Times New Roman" w:eastAsia="Calibri" w:hAnsi="Times New Roman" w:cs="Times New Roman"/>
          <w:sz w:val="24"/>
          <w:szCs w:val="24"/>
        </w:rPr>
        <w:t xml:space="preserve">Quantification of </w:t>
      </w:r>
      <w:r w:rsidRPr="00F173B2">
        <w:rPr>
          <w:rFonts w:ascii="Times New Roman" w:eastAsia="Calibri" w:hAnsi="Times New Roman" w:cs="Times New Roman"/>
          <w:sz w:val="24"/>
          <w:szCs w:val="24"/>
        </w:rPr>
        <w:t xml:space="preserve">platelet and fibrin </w:t>
      </w:r>
      <w:r w:rsidR="00D813B9">
        <w:rPr>
          <w:rFonts w:ascii="Times New Roman" w:eastAsia="Calibri" w:hAnsi="Times New Roman" w:cs="Times New Roman"/>
          <w:sz w:val="24"/>
          <w:szCs w:val="24"/>
        </w:rPr>
        <w:t xml:space="preserve">coverage </w:t>
      </w:r>
      <w:r w:rsidRPr="00F173B2">
        <w:rPr>
          <w:rFonts w:ascii="Times New Roman" w:eastAsia="Calibri" w:hAnsi="Times New Roman" w:cs="Times New Roman"/>
          <w:sz w:val="24"/>
          <w:szCs w:val="24"/>
        </w:rPr>
        <w:t>on the PTFE remnant regions at different incubation times. Asterisks denote statistical significance between two-time intervals (p &lt; 0.05 = *, and p &lt; 0.001 = ***).</w:t>
      </w:r>
    </w:p>
    <w:p w14:paraId="538D626E" w14:textId="77777777" w:rsidR="00AC40F5" w:rsidRPr="00AC40F5" w:rsidRDefault="00AC40F5" w:rsidP="00AC40F5">
      <w:pPr>
        <w:jc w:val="both"/>
        <w:rPr>
          <w:rFonts w:ascii="Times New Roman" w:eastAsia="Calibri" w:hAnsi="Times New Roman" w:cs="Times New Roman"/>
          <w:sz w:val="24"/>
          <w:szCs w:val="24"/>
        </w:rPr>
      </w:pPr>
    </w:p>
    <w:sectPr w:rsidR="00AC40F5" w:rsidRPr="00AC40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0F5"/>
    <w:rsid w:val="00073760"/>
    <w:rsid w:val="0016065E"/>
    <w:rsid w:val="00271D61"/>
    <w:rsid w:val="002D27EF"/>
    <w:rsid w:val="00441B67"/>
    <w:rsid w:val="005129CC"/>
    <w:rsid w:val="005F3B33"/>
    <w:rsid w:val="006028ED"/>
    <w:rsid w:val="00612DD0"/>
    <w:rsid w:val="007233F9"/>
    <w:rsid w:val="009D469C"/>
    <w:rsid w:val="00A10AA6"/>
    <w:rsid w:val="00AA0C8B"/>
    <w:rsid w:val="00AC40F5"/>
    <w:rsid w:val="00D813B9"/>
    <w:rsid w:val="00DE2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C03337"/>
  <w15:chartTrackingRefBased/>
  <w15:docId w15:val="{F4F3AD29-C426-4A4A-8078-F99F65D16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0F5"/>
    <w:rPr>
      <w:kern w:val="0"/>
      <w:lang w:val="en-IN"/>
      <w14:ligatures w14:val="none"/>
    </w:rPr>
  </w:style>
  <w:style w:type="paragraph" w:styleId="Heading1">
    <w:name w:val="heading 1"/>
    <w:basedOn w:val="Normal"/>
    <w:next w:val="Normal"/>
    <w:link w:val="Heading1Char"/>
    <w:uiPriority w:val="9"/>
    <w:qFormat/>
    <w:rsid w:val="00AC40F5"/>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AC40F5"/>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AC40F5"/>
    <w:pPr>
      <w:keepNext/>
      <w:keepLines/>
      <w:spacing w:before="160" w:after="80"/>
      <w:outlineLvl w:val="2"/>
    </w:pPr>
    <w:rPr>
      <w:rFonts w:eastAsiaTheme="majorEastAsia"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AC40F5"/>
    <w:pPr>
      <w:keepNext/>
      <w:keepLines/>
      <w:spacing w:before="80" w:after="40"/>
      <w:outlineLvl w:val="3"/>
    </w:pPr>
    <w:rPr>
      <w:rFonts w:eastAsiaTheme="majorEastAsia" w:cstheme="majorBidi"/>
      <w:i/>
      <w:iCs/>
      <w:color w:val="0F4761" w:themeColor="accent1" w:themeShade="BF"/>
      <w:kern w:val="2"/>
      <w:lang w:val="en-US"/>
      <w14:ligatures w14:val="standardContextual"/>
    </w:rPr>
  </w:style>
  <w:style w:type="paragraph" w:styleId="Heading5">
    <w:name w:val="heading 5"/>
    <w:basedOn w:val="Normal"/>
    <w:next w:val="Normal"/>
    <w:link w:val="Heading5Char"/>
    <w:uiPriority w:val="9"/>
    <w:semiHidden/>
    <w:unhideWhenUsed/>
    <w:qFormat/>
    <w:rsid w:val="00AC40F5"/>
    <w:pPr>
      <w:keepNext/>
      <w:keepLines/>
      <w:spacing w:before="80" w:after="40"/>
      <w:outlineLvl w:val="4"/>
    </w:pPr>
    <w:rPr>
      <w:rFonts w:eastAsiaTheme="majorEastAsia" w:cstheme="majorBidi"/>
      <w:color w:val="0F4761"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AC40F5"/>
    <w:pPr>
      <w:keepNext/>
      <w:keepLines/>
      <w:spacing w:before="40" w:after="0"/>
      <w:outlineLvl w:val="5"/>
    </w:pPr>
    <w:rPr>
      <w:rFonts w:eastAsiaTheme="majorEastAsia"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AC40F5"/>
    <w:pPr>
      <w:keepNext/>
      <w:keepLines/>
      <w:spacing w:before="40" w:after="0"/>
      <w:outlineLvl w:val="6"/>
    </w:pPr>
    <w:rPr>
      <w:rFonts w:eastAsiaTheme="majorEastAsia"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AC40F5"/>
    <w:pPr>
      <w:keepNext/>
      <w:keepLines/>
      <w:spacing w:after="0"/>
      <w:outlineLvl w:val="7"/>
    </w:pPr>
    <w:rPr>
      <w:rFonts w:eastAsiaTheme="majorEastAsia"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AC40F5"/>
    <w:pPr>
      <w:keepNext/>
      <w:keepLines/>
      <w:spacing w:after="0"/>
      <w:outlineLvl w:val="8"/>
    </w:pPr>
    <w:rPr>
      <w:rFonts w:eastAsiaTheme="majorEastAsia" w:cstheme="majorBidi"/>
      <w:color w:val="272727" w:themeColor="text1" w:themeTint="D8"/>
      <w:kern w:val="2"/>
      <w:lang w:val="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0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40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40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40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40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40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40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40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40F5"/>
    <w:rPr>
      <w:rFonts w:eastAsiaTheme="majorEastAsia" w:cstheme="majorBidi"/>
      <w:color w:val="272727" w:themeColor="text1" w:themeTint="D8"/>
    </w:rPr>
  </w:style>
  <w:style w:type="paragraph" w:styleId="Title">
    <w:name w:val="Title"/>
    <w:basedOn w:val="Normal"/>
    <w:next w:val="Normal"/>
    <w:link w:val="TitleChar"/>
    <w:uiPriority w:val="10"/>
    <w:qFormat/>
    <w:rsid w:val="00AC40F5"/>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AC40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40F5"/>
    <w:pPr>
      <w:numPr>
        <w:ilvl w:val="1"/>
      </w:numPr>
    </w:pPr>
    <w:rPr>
      <w:rFonts w:eastAsiaTheme="majorEastAsia"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AC40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40F5"/>
    <w:pPr>
      <w:spacing w:before="160"/>
      <w:jc w:val="center"/>
    </w:pPr>
    <w:rPr>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AC40F5"/>
    <w:rPr>
      <w:i/>
      <w:iCs/>
      <w:color w:val="404040" w:themeColor="text1" w:themeTint="BF"/>
    </w:rPr>
  </w:style>
  <w:style w:type="paragraph" w:styleId="ListParagraph">
    <w:name w:val="List Paragraph"/>
    <w:basedOn w:val="Normal"/>
    <w:uiPriority w:val="34"/>
    <w:qFormat/>
    <w:rsid w:val="00AC40F5"/>
    <w:pPr>
      <w:ind w:left="720"/>
      <w:contextualSpacing/>
    </w:pPr>
    <w:rPr>
      <w:kern w:val="2"/>
      <w:lang w:val="en-US"/>
      <w14:ligatures w14:val="standardContextual"/>
    </w:rPr>
  </w:style>
  <w:style w:type="character" w:styleId="IntenseEmphasis">
    <w:name w:val="Intense Emphasis"/>
    <w:basedOn w:val="DefaultParagraphFont"/>
    <w:uiPriority w:val="21"/>
    <w:qFormat/>
    <w:rsid w:val="00AC40F5"/>
    <w:rPr>
      <w:i/>
      <w:iCs/>
      <w:color w:val="0F4761" w:themeColor="accent1" w:themeShade="BF"/>
    </w:rPr>
  </w:style>
  <w:style w:type="paragraph" w:styleId="IntenseQuote">
    <w:name w:val="Intense Quote"/>
    <w:basedOn w:val="Normal"/>
    <w:next w:val="Normal"/>
    <w:link w:val="IntenseQuoteChar"/>
    <w:uiPriority w:val="30"/>
    <w:qFormat/>
    <w:rsid w:val="00AC40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AC40F5"/>
    <w:rPr>
      <w:i/>
      <w:iCs/>
      <w:color w:val="0F4761" w:themeColor="accent1" w:themeShade="BF"/>
    </w:rPr>
  </w:style>
  <w:style w:type="character" w:styleId="IntenseReference">
    <w:name w:val="Intense Reference"/>
    <w:basedOn w:val="DefaultParagraphFont"/>
    <w:uiPriority w:val="32"/>
    <w:qFormat/>
    <w:rsid w:val="00AC40F5"/>
    <w:rPr>
      <w:b/>
      <w:bCs/>
      <w:smallCaps/>
      <w:color w:val="0F4761" w:themeColor="accent1" w:themeShade="BF"/>
      <w:spacing w:val="5"/>
    </w:rPr>
  </w:style>
  <w:style w:type="table" w:styleId="TableGrid">
    <w:name w:val="Table Grid"/>
    <w:basedOn w:val="TableNormal"/>
    <w:uiPriority w:val="39"/>
    <w:rsid w:val="00AC40F5"/>
    <w:pPr>
      <w:spacing w:after="0" w:line="240" w:lineRule="auto"/>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C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451</Words>
  <Characters>2117</Characters>
  <Application>Microsoft Office Word</Application>
  <DocSecurity>0</DocSecurity>
  <Lines>95</Lines>
  <Paragraphs>62</Paragraphs>
  <ScaleCrop>false</ScaleCrop>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Kannojiya, Vikas</dc:creator>
  <cp:keywords/>
  <dc:description/>
  <cp:lastModifiedBy>Kannojiya, Vikas</cp:lastModifiedBy>
  <cp:revision>13</cp:revision>
  <dcterms:created xsi:type="dcterms:W3CDTF">2024-08-03T01:39:00Z</dcterms:created>
  <dcterms:modified xsi:type="dcterms:W3CDTF">2024-08-03T03:10:00Z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801465df-ccdc-4c87-9513-c3ee2b41a34d</vt:lpwstr>
  </property>
</Properties>
</file>