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76" w:rsidRPr="00FA760C" w:rsidRDefault="005E3C76">
      <w:pPr>
        <w:spacing w:after="0" w:line="240" w:lineRule="auto"/>
        <w:rPr>
          <w:rFonts w:ascii="Arial" w:eastAsia="Arial" w:hAnsi="Arial" w:cs="Arial"/>
          <w:u w:val="single"/>
        </w:rPr>
      </w:pPr>
      <w:r w:rsidRPr="00FA760C">
        <w:rPr>
          <w:rFonts w:ascii="Arial" w:hAnsi="Arial" w:cs="Arial"/>
        </w:rPr>
        <w:object w:dxaOrig="6215" w:dyaOrig="1275">
          <v:rect id="rectole0000000000" o:spid="_x0000_i1025" style="width:310.2pt;height:63.6pt" o:ole="" o:preferrelative="t" stroked="f">
            <v:imagedata r:id="rId4" o:title=""/>
          </v:rect>
          <o:OLEObject Type="Embed" ProgID="StaticMetafile" ShapeID="rectole0000000000" DrawAspect="Content" ObjectID="_1784375360" r:id="rId5"/>
        </w:object>
      </w:r>
    </w:p>
    <w:p w:rsidR="005E3C76" w:rsidRPr="00FA760C" w:rsidRDefault="005E3C76">
      <w:pPr>
        <w:spacing w:after="0" w:line="240" w:lineRule="auto"/>
        <w:rPr>
          <w:rFonts w:ascii="Arial" w:eastAsia="Arial" w:hAnsi="Arial" w:cs="Arial"/>
          <w:u w:val="single"/>
        </w:rPr>
      </w:pPr>
    </w:p>
    <w:p w:rsidR="005E3C76" w:rsidRPr="00FA760C" w:rsidRDefault="005E3C76">
      <w:pPr>
        <w:spacing w:after="0" w:line="240" w:lineRule="auto"/>
        <w:rPr>
          <w:rFonts w:ascii="Arial" w:eastAsia="Arial" w:hAnsi="Arial" w:cs="Arial"/>
          <w:u w:val="single"/>
        </w:rPr>
      </w:pPr>
    </w:p>
    <w:p w:rsidR="005E3C76" w:rsidRPr="00FA760C" w:rsidRDefault="005E3C76">
      <w:pPr>
        <w:spacing w:after="0" w:line="240" w:lineRule="auto"/>
        <w:rPr>
          <w:rFonts w:ascii="Arial" w:eastAsia="Arial" w:hAnsi="Arial" w:cs="Arial"/>
          <w:u w:val="single"/>
        </w:rPr>
      </w:pPr>
      <w:bookmarkStart w:id="0" w:name="_GoBack"/>
      <w:bookmarkEnd w:id="0"/>
    </w:p>
    <w:p w:rsidR="005E3C76" w:rsidRPr="00AB6D50" w:rsidRDefault="00CC5F0E">
      <w:pPr>
        <w:spacing w:after="0" w:line="240" w:lineRule="auto"/>
        <w:rPr>
          <w:rFonts w:ascii="Arial" w:eastAsia="Arial" w:hAnsi="Arial" w:cs="Arial"/>
          <w:u w:val="single"/>
          <w:lang w:val="en-US"/>
        </w:rPr>
      </w:pPr>
      <w:r w:rsidRPr="00AB6D50">
        <w:rPr>
          <w:rFonts w:ascii="Arial" w:eastAsia="Arial" w:hAnsi="Arial" w:cs="Arial"/>
          <w:u w:val="single"/>
          <w:lang w:val="en-US"/>
        </w:rPr>
        <w:t>SPIRIT 2013 Checklist: Recommended items to address in a clinical trial protocol and related documents*</w:t>
      </w: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858"/>
        <w:gridCol w:w="5725"/>
        <w:gridCol w:w="1234"/>
      </w:tblGrid>
      <w:tr w:rsidR="00901123" w:rsidRPr="00FA760C">
        <w:trPr>
          <w:trHeight w:val="259"/>
        </w:trPr>
        <w:tc>
          <w:tcPr>
            <w:tcW w:w="11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>Section/item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>ItemNo</w:t>
            </w:r>
            <w:proofErr w:type="spellEnd"/>
          </w:p>
        </w:tc>
        <w:tc>
          <w:tcPr>
            <w:tcW w:w="67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>Description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</w:rPr>
              <w:t>protocol</w:t>
            </w:r>
            <w:proofErr w:type="spellEnd"/>
            <w:r w:rsidRPr="00FA760C"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</w:rPr>
              <w:t>pages</w:t>
            </w:r>
            <w:proofErr w:type="spellEnd"/>
          </w:p>
        </w:tc>
      </w:tr>
      <w:tr w:rsidR="00901123" w:rsidRPr="00FA760C">
        <w:trPr>
          <w:trHeight w:val="259"/>
        </w:trPr>
        <w:tc>
          <w:tcPr>
            <w:tcW w:w="8235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</w:rPr>
              <w:t>Administrative</w:t>
            </w:r>
            <w:proofErr w:type="spellEnd"/>
            <w:r w:rsidRPr="00FA760C">
              <w:rPr>
                <w:rFonts w:ascii="Arial" w:eastAsia="Arial" w:hAnsi="Arial" w:cs="Arial"/>
                <w:b/>
                <w:position w:val="-1"/>
              </w:rPr>
              <w:t xml:space="preserve"> information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/>
              <w:rPr>
                <w:rFonts w:ascii="Arial" w:eastAsia="Calibri" w:hAnsi="Arial" w:cs="Arial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Title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Descriptive title identifying the study design, population, interventions, and, if applicable, trial acronym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</w:t>
            </w:r>
            <w:r w:rsidR="00380327">
              <w:rPr>
                <w:rFonts w:ascii="Arial" w:eastAsia="Arial" w:hAnsi="Arial" w:cs="Arial"/>
                <w:position w:val="-1"/>
              </w:rPr>
              <w:t>,2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 xml:space="preserve">Trial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registration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Trial identifier and registry name. If not yet registered, name of intended registry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</w:t>
            </w:r>
          </w:p>
        </w:tc>
      </w:tr>
      <w:tr w:rsidR="00901123" w:rsidRPr="005614D3">
        <w:trPr>
          <w:trHeight w:val="259"/>
        </w:trPr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All items from the World Health Organization Trial Registration Data Set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Protocol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version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 xml:space="preserve">Date and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version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identifier</w:t>
            </w:r>
            <w:proofErr w:type="spellEnd"/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901123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FA760C">
              <w:rPr>
                <w:rFonts w:ascii="Arial" w:eastAsia="Calibri" w:hAnsi="Arial" w:cs="Arial"/>
              </w:rPr>
              <w:t>2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Funding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4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Sources and types of financial, material, and other support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Roles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and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responsibilities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5a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Names, affiliations, and roles of protocol contributors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901123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FA760C">
              <w:rPr>
                <w:rFonts w:ascii="Arial" w:eastAsia="Calibri" w:hAnsi="Arial" w:cs="Arial"/>
              </w:rPr>
              <w:t>1</w:t>
            </w:r>
          </w:p>
        </w:tc>
      </w:tr>
      <w:tr w:rsidR="00901123" w:rsidRPr="00FA760C">
        <w:trPr>
          <w:trHeight w:val="293"/>
        </w:trPr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5b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Name and contact information for the trial sponsor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</w:t>
            </w:r>
            <w:r w:rsidR="00901123" w:rsidRPr="00FA760C">
              <w:rPr>
                <w:rFonts w:ascii="Arial" w:eastAsia="Arial" w:hAnsi="Arial" w:cs="Arial"/>
                <w:position w:val="-1"/>
              </w:rPr>
              <w:t>,</w:t>
            </w:r>
            <w:r w:rsidR="00380327">
              <w:rPr>
                <w:rFonts w:ascii="Arial" w:eastAsia="Arial" w:hAnsi="Arial" w:cs="Arial"/>
                <w:position w:val="-1"/>
              </w:rPr>
              <w:t>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5c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Role of study sponsor and funders, if any, in study design; collection, management, analysis, and interpretation of data; writing of the report; and the decision to submit the report for publication, including whether they will have ultimate authority over any of these activities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4, 11</w:t>
            </w:r>
          </w:p>
        </w:tc>
      </w:tr>
      <w:tr w:rsidR="00901123" w:rsidRPr="005614D3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5d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Composition, roles, and responsibilities of the coordinating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centre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steering committee, endpoint adjudication committee, data management team, and other individuals or groups overseeing the trial, if applicable (see Item 21a for data monitoring committee)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>Introduction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 xml:space="preserve">Background and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rationale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6a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Description of research question and justification for undertaking the trial, including summary of relevant studies (published and unpublished) examining benefits and harms for each intervention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6b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Explanation for choice of comparators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Objectives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7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Specific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objectives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or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hypotheses</w:t>
            </w:r>
            <w:proofErr w:type="spellEnd"/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01123" w:rsidRPr="00FA760C">
        <w:trPr>
          <w:trHeight w:val="1238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Trial design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8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Description of trial design including type of trial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parallel group, crossover, factorial, single group), allocation ratio, and framework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superiority, equivalence, noninferiority, exploratory)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901123" w:rsidRPr="005614D3">
        <w:trPr>
          <w:trHeight w:val="259"/>
        </w:trPr>
        <w:tc>
          <w:tcPr>
            <w:tcW w:w="82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b/>
                <w:position w:val="-1"/>
                <w:u w:val="single"/>
                <w:lang w:val="en-US"/>
              </w:rPr>
              <w:t>Methods: Participants, interventions, and outcomes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Study setting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9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Description of study settings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community clinic, academic hospital) and list of countries where data will be collected. Reference to where list of study sites can be obtained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901123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Eligibility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criteria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10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Inclusion and exclusion criteria for participants. If applicable, eligibility criteria for study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centres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and </w:t>
            </w:r>
            <w:r w:rsidRPr="00AB6D50">
              <w:rPr>
                <w:rFonts w:ascii="Arial" w:eastAsia="Arial" w:hAnsi="Arial" w:cs="Arial"/>
                <w:position w:val="-1"/>
                <w:lang w:val="en-US"/>
              </w:rPr>
              <w:lastRenderedPageBreak/>
              <w:t>individuals who will perform the interventions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surgeons, psychotherapists)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4,5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Interventions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11a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Interventions for each group with sufficient detail to allow replication, including how and when they will be administered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11b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Criteria for discontinuing or modifying allocated interventions for a given trial participant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drug dose change in response to harms, participant request, or improving/worsening disease)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11c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Strategies to improve adherence to intervention protocols, and any procedures for monitoring adherence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drug tablet return, laboratory tests)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11d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Relevant concomitant care and interventions that are permitted or prohibited during the trial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Outcomes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12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Primary, secondary, and other outcomes, including the specific measurement variable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systolic blood pressure), analysis metric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change from baseline, final value, time to event), method of aggregation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median, proportion), and time point for each outcome. Explanation of the clinical relevance of chosen efficacy and harm outcomes is strongly recommended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5-8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Participant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timeline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13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Time schedule of enrolment, interventions (including any run-ins and washouts), assessments, and visits for participants. </w:t>
            </w:r>
            <w:r w:rsidRPr="00FA760C">
              <w:rPr>
                <w:rFonts w:ascii="Arial" w:eastAsia="Arial" w:hAnsi="Arial" w:cs="Arial"/>
                <w:position w:val="-1"/>
              </w:rPr>
              <w:t xml:space="preserve">A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schematic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diagram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is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highly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recommended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(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see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Figure)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Sample size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14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Estimated number of participants needed to achieve study objectives and how it was determined, including clinical and statistical assumptions supporting any sample size calculations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Recruitment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15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eastAsia="Arial" w:hAnsi="Arial" w:cs="Arial"/>
                <w:position w:val="-1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Strategies for achieving adequate participant enrolment to reach target sample size</w:t>
            </w:r>
          </w:p>
          <w:p w:rsidR="00F903CD" w:rsidRPr="00AB6D50" w:rsidRDefault="00F903CD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380327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901123" w:rsidRPr="005614D3">
        <w:trPr>
          <w:trHeight w:val="259"/>
        </w:trPr>
        <w:tc>
          <w:tcPr>
            <w:tcW w:w="82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b/>
                <w:position w:val="-1"/>
                <w:lang w:val="en-US"/>
              </w:rPr>
              <w:t>Methods: Assignment of interventions (for controlled trials)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Allocation: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tabs>
                <w:tab w:val="left" w:pos="180"/>
              </w:tabs>
              <w:suppressAutoHyphens/>
              <w:spacing w:after="0" w:line="240" w:lineRule="auto"/>
              <w:ind w:left="270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Sequence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generation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16a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Method of generating the allocation sequence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computer-generated random numbers), and list of any factors for stratification. To reduce predictability of a random sequence, details of any planned restriction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, blocking) should be provided in a separate document that is unavailable to those who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enrol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participants or assign interventions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ind w:left="270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 xml:space="preserve">Allocation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concealment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mechanism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16b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Mechanism of implementing the allocation sequence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central telephone; sequentially numbered, opaque, sealed envelopes), describing any steps to conceal the sequence until interventions are assigned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ind w:left="270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Implementation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16c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Who will generate the allocation sequence, who will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enrol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participants, and who will assign participants to interventions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Blinding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(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masking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>)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17a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Who will be blinded after assignment to interventions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trial participants, care providers, outcome assessors, data analysts), and how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17b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If blinded, circumstances under which unblinding is permissible, and procedure for revealing a participant’s allocated intervention during the trial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01123" w:rsidRPr="005614D3">
        <w:trPr>
          <w:trHeight w:val="259"/>
        </w:trPr>
        <w:tc>
          <w:tcPr>
            <w:tcW w:w="82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b/>
                <w:position w:val="-1"/>
                <w:lang w:val="en-US"/>
              </w:rPr>
              <w:t>Methods: Data collection, management, and analysis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 xml:space="preserve">Data collection </w:t>
            </w:r>
            <w:r w:rsidRPr="00FA760C">
              <w:rPr>
                <w:rFonts w:ascii="Arial" w:eastAsia="Arial" w:hAnsi="Arial" w:cs="Arial"/>
                <w:position w:val="-1"/>
              </w:rPr>
              <w:lastRenderedPageBreak/>
              <w:t>methods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lastRenderedPageBreak/>
              <w:t>18a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Plans for assessment and collection of outcome, </w:t>
            </w:r>
            <w:r w:rsidRPr="00AB6D50">
              <w:rPr>
                <w:rFonts w:ascii="Arial" w:eastAsia="Arial" w:hAnsi="Arial" w:cs="Arial"/>
                <w:position w:val="-1"/>
                <w:lang w:val="en-US"/>
              </w:rPr>
              <w:lastRenderedPageBreak/>
              <w:t>baseline, and other trial data, including any related processes to promote data quality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duplicate measurements, training of assessors) and a description of study instruments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questionnaires, laboratory tests) along with their reliability and validity, if known. Reference to where data collection forms can be found, if not in the protocol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5,6,7</w:t>
            </w:r>
          </w:p>
        </w:tc>
      </w:tr>
      <w:tr w:rsidR="00901123" w:rsidRPr="00E45505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18b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to promote participant retention and complete follow-up, including list of any outcome data to be collected for participants who discontinue or deviate from intervention protocols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E45505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Data management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19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for data entry, coding, security, and storage, including any related processes to promote data quality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double data entry; range checks for data values). Reference to where details of data management procedures can be found, if not in the protocol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Statistical methods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20a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Statistical methods for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analysing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primary and secondary outcomes. Reference to where other details of the statistical analysis plan can be found, if not in the protocol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20b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Methods for any additional analyses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subgroup and adjusted analyses)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20c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Definition of analysis population relating to protocol non-adherence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, as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randomised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analysis), and any statistical methods to handle missing data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multiple imputation)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45505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82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b/>
                <w:position w:val="-1"/>
              </w:rPr>
              <w:t>Methods: Monitoring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/>
              <w:rPr>
                <w:rFonts w:ascii="Arial" w:eastAsia="Calibri" w:hAnsi="Arial" w:cs="Arial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Data monitoring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21a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Composition of data monitoring committee (DMC); summary of its role and reporting structure; statement of whether it is independent from the sponsor and competing interests; and reference to where further details about its charter can be found, if not in the protocol. Alternatively, an explanation of why a DMC is not needed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AA379B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hAnsi="Arial" w:cs="Arial"/>
              </w:rPr>
              <w:t>NA</w:t>
            </w:r>
          </w:p>
        </w:tc>
      </w:tr>
      <w:tr w:rsidR="00901123" w:rsidRPr="00FA760C">
        <w:trPr>
          <w:trHeight w:val="491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21b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Description of any interim analyses and stopping guidelines, including who will have access to these interim results and make the final decision to terminate the trial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AA379B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FA760C">
              <w:rPr>
                <w:rFonts w:ascii="Arial" w:eastAsia="Calibri" w:hAnsi="Arial" w:cs="Arial"/>
              </w:rPr>
              <w:t>NA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Harms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22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for collecting, assessing, reporting, and managing solicited and spontaneously reported adverse events and other unintended effects of trial interventions or trial conduct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614D3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Auditing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23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Frequency and procedures for auditing trial conduct, if any, and whether the process will be independent from investigators and the sponsor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AA379B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FA760C">
              <w:rPr>
                <w:rFonts w:ascii="Arial" w:eastAsia="Calibri" w:hAnsi="Arial" w:cs="Arial"/>
              </w:rPr>
              <w:t>NA</w:t>
            </w:r>
          </w:p>
        </w:tc>
      </w:tr>
      <w:tr w:rsidR="00901123" w:rsidRPr="00FA760C">
        <w:trPr>
          <w:trHeight w:val="259"/>
        </w:trPr>
        <w:tc>
          <w:tcPr>
            <w:tcW w:w="82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 xml:space="preserve">Ethics and </w:t>
            </w: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>dissemination</w:t>
            </w:r>
            <w:proofErr w:type="spellEnd"/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/>
              <w:rPr>
                <w:rFonts w:ascii="Arial" w:eastAsia="Calibri" w:hAnsi="Arial" w:cs="Arial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 xml:space="preserve">Research ethics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approval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24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for seeking research ethics committee/institutional review board (REC/IRB) approval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7E4E8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Protocol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amendments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25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for communicating important protocol modifications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changes to eligibility criteria, outcomes, analyses) to relevant parties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investigators, REC/IRBs, trial participants, trial registries, journals, regulators)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7E4E80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Consent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or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assent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26a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Who will obtain informed consent or assent from potential trial participants or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authorised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surrogates, and how (see Item 32)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7E4E80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</w:tr>
      <w:tr w:rsidR="00901123" w:rsidRPr="00FA760C">
        <w:trPr>
          <w:trHeight w:val="570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26b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Additional consent provisions for collection and use of participant data and biological specimens in ancillary studies, if applicable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AA379B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FA760C">
              <w:rPr>
                <w:rFonts w:ascii="Arial" w:eastAsia="Calibri" w:hAnsi="Arial" w:cs="Arial"/>
              </w:rPr>
              <w:t>NA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Confidentiality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27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How personal information about potential and enrolled participants will be collected, shared, and maintained in order to protect confidentiality before, during, and after the trial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7E4E80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Declaration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of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interests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28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Financial and other competing interests for principal investigators for the overall trial and each study site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7E4E80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</w:tr>
      <w:tr w:rsidR="00901123" w:rsidRPr="00E45505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Access to data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29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Statement of who will have access to the final trial dataset, and disclosure of contractual agreements that limit such access for investigators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7E4E80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</w:t>
            </w:r>
          </w:p>
        </w:tc>
      </w:tr>
      <w:tr w:rsidR="00901123" w:rsidRPr="005614D3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Ancillary and post-trial care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30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Provisions, if any, for ancillary and post-trial care, and for compensation to those who suffer harm from trial participation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Dissemination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policy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31a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for investigators and sponsor to communicate trial results to participants, healthcare professionals, the public, and other relevant groups (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eg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, via publication, reporting in results databases, or other data sharing arrangements), including any publication restrictions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56F8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901123" w:rsidRPr="005614D3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31b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Authorship eligibility guidelines and any intended use of professional writers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31c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Plans, if any, for granting public access to the full protocol, participant-level dataset, and statistical code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E56F8E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b/>
                <w:position w:val="-1"/>
                <w:u w:val="single"/>
              </w:rPr>
              <w:t>Appendices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01123" w:rsidRPr="005614D3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Informed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consent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materials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32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Model consent form and other related documentation given to participants and </w:t>
            </w:r>
            <w:proofErr w:type="spellStart"/>
            <w:r w:rsidRPr="00AB6D50">
              <w:rPr>
                <w:rFonts w:ascii="Arial" w:eastAsia="Arial" w:hAnsi="Arial" w:cs="Arial"/>
                <w:position w:val="-1"/>
                <w:lang w:val="en-US"/>
              </w:rPr>
              <w:t>authorised</w:t>
            </w:r>
            <w:proofErr w:type="spellEnd"/>
            <w:r w:rsidRPr="00AB6D50">
              <w:rPr>
                <w:rFonts w:ascii="Arial" w:eastAsia="Arial" w:hAnsi="Arial" w:cs="Arial"/>
                <w:position w:val="-1"/>
                <w:lang w:val="en-US"/>
              </w:rPr>
              <w:t xml:space="preserve"> surrogates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5E3C76">
            <w:pPr>
              <w:suppressAutoHyphens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01123" w:rsidRPr="00FA760C">
        <w:trPr>
          <w:trHeight w:val="259"/>
        </w:trPr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Biological</w:t>
            </w:r>
            <w:proofErr w:type="spellEnd"/>
            <w:r w:rsidRPr="00FA760C"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 w:rsidRPr="00FA760C">
              <w:rPr>
                <w:rFonts w:ascii="Arial" w:eastAsia="Arial" w:hAnsi="Arial" w:cs="Arial"/>
                <w:position w:val="-1"/>
              </w:rPr>
              <w:t>specimens</w:t>
            </w:r>
            <w:proofErr w:type="spellEnd"/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CC5F0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FA760C">
              <w:rPr>
                <w:rFonts w:ascii="Arial" w:eastAsia="Arial" w:hAnsi="Arial" w:cs="Arial"/>
                <w:position w:val="-1"/>
              </w:rPr>
              <w:t>33</w:t>
            </w:r>
          </w:p>
        </w:tc>
        <w:tc>
          <w:tcPr>
            <w:tcW w:w="6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AB6D50" w:rsidRDefault="00CC5F0E">
            <w:pPr>
              <w:suppressAutoHyphens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6D50">
              <w:rPr>
                <w:rFonts w:ascii="Arial" w:eastAsia="Arial" w:hAnsi="Arial" w:cs="Arial"/>
                <w:position w:val="-1"/>
                <w:lang w:val="en-US"/>
              </w:rPr>
              <w:t>Plans for collection, laboratory evaluation, and storage of biological specimens for genetic or molecular analysis in the current trial and for future use in ancillary studies, if applicable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5E3C76" w:rsidRPr="00FA760C" w:rsidRDefault="00FA760C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FA760C">
              <w:rPr>
                <w:rFonts w:ascii="Arial" w:eastAsia="Calibri" w:hAnsi="Arial" w:cs="Arial"/>
              </w:rPr>
              <w:t>NA</w:t>
            </w:r>
          </w:p>
        </w:tc>
      </w:tr>
    </w:tbl>
    <w:p w:rsidR="005E3C76" w:rsidRPr="00AB6D50" w:rsidRDefault="00CC5F0E">
      <w:pPr>
        <w:spacing w:after="0" w:line="240" w:lineRule="auto"/>
        <w:rPr>
          <w:rFonts w:ascii="Arial" w:eastAsia="Arial" w:hAnsi="Arial" w:cs="Arial"/>
          <w:lang w:val="en-US"/>
        </w:rPr>
      </w:pPr>
      <w:r w:rsidRPr="00AB6D50">
        <w:rPr>
          <w:rFonts w:ascii="Arial" w:eastAsia="Arial" w:hAnsi="Arial" w:cs="Arial"/>
          <w:lang w:val="en-US"/>
        </w:rPr>
        <w:t>*It is strongly recommended that this checklist be read in conjunction with the SPIRIT 2013 Explanation &amp; Elaboration for important clarification on the items. Amendments to the protocol should be tracked and dated. The SPIRIT checklist is copyrighted by the SPIRIT Group under the Creative Commons “</w:t>
      </w:r>
      <w:hyperlink r:id="rId6">
        <w:r w:rsidRPr="00AB6D50">
          <w:rPr>
            <w:rFonts w:ascii="Arial" w:eastAsia="Arial" w:hAnsi="Arial" w:cs="Arial"/>
            <w:u w:val="single"/>
            <w:lang w:val="en-US"/>
          </w:rPr>
          <w:t>Attribution-</w:t>
        </w:r>
        <w:proofErr w:type="spellStart"/>
        <w:r w:rsidRPr="00AB6D50">
          <w:rPr>
            <w:rFonts w:ascii="Arial" w:eastAsia="Arial" w:hAnsi="Arial" w:cs="Arial"/>
            <w:u w:val="single"/>
            <w:lang w:val="en-US"/>
          </w:rPr>
          <w:t>NonCommercial</w:t>
        </w:r>
        <w:proofErr w:type="spellEnd"/>
        <w:r w:rsidRPr="00AB6D50">
          <w:rPr>
            <w:rFonts w:ascii="Arial" w:eastAsia="Arial" w:hAnsi="Arial" w:cs="Arial"/>
            <w:u w:val="single"/>
            <w:lang w:val="en-US"/>
          </w:rPr>
          <w:t>-</w:t>
        </w:r>
        <w:proofErr w:type="spellStart"/>
        <w:r w:rsidRPr="00AB6D50">
          <w:rPr>
            <w:rFonts w:ascii="Arial" w:eastAsia="Arial" w:hAnsi="Arial" w:cs="Arial"/>
            <w:u w:val="single"/>
            <w:lang w:val="en-US"/>
          </w:rPr>
          <w:t>NoDerivs</w:t>
        </w:r>
        <w:proofErr w:type="spellEnd"/>
        <w:r w:rsidRPr="00AB6D50">
          <w:rPr>
            <w:rFonts w:ascii="Arial" w:eastAsia="Arial" w:hAnsi="Arial" w:cs="Arial"/>
            <w:u w:val="single"/>
            <w:lang w:val="en-US"/>
          </w:rPr>
          <w:t xml:space="preserve"> 3.0 </w:t>
        </w:r>
        <w:proofErr w:type="spellStart"/>
        <w:r w:rsidRPr="00AB6D50">
          <w:rPr>
            <w:rFonts w:ascii="Arial" w:eastAsia="Arial" w:hAnsi="Arial" w:cs="Arial"/>
            <w:u w:val="single"/>
            <w:lang w:val="en-US"/>
          </w:rPr>
          <w:t>Unported</w:t>
        </w:r>
        <w:proofErr w:type="spellEnd"/>
      </w:hyperlink>
      <w:r w:rsidRPr="00AB6D50">
        <w:rPr>
          <w:rFonts w:ascii="Arial" w:eastAsia="Arial" w:hAnsi="Arial" w:cs="Arial"/>
          <w:lang w:val="en-US"/>
        </w:rPr>
        <w:t>” license.</w:t>
      </w:r>
    </w:p>
    <w:p w:rsidR="005E3C76" w:rsidRPr="00AB6D50" w:rsidRDefault="005E3C76">
      <w:pPr>
        <w:spacing w:after="0" w:line="240" w:lineRule="auto"/>
        <w:rPr>
          <w:rFonts w:ascii="Arial" w:eastAsia="Arial" w:hAnsi="Arial" w:cs="Arial"/>
          <w:shd w:val="clear" w:color="auto" w:fill="FFFFFF"/>
          <w:lang w:val="en-US"/>
        </w:rPr>
      </w:pPr>
    </w:p>
    <w:sectPr w:rsidR="005E3C76" w:rsidRPr="00AB6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6"/>
    <w:rsid w:val="00330CE9"/>
    <w:rsid w:val="00380327"/>
    <w:rsid w:val="004D43A3"/>
    <w:rsid w:val="005614D3"/>
    <w:rsid w:val="00584695"/>
    <w:rsid w:val="005E3C76"/>
    <w:rsid w:val="005E4533"/>
    <w:rsid w:val="006E282C"/>
    <w:rsid w:val="00734EEA"/>
    <w:rsid w:val="007C6FE6"/>
    <w:rsid w:val="007E4E80"/>
    <w:rsid w:val="008B31D5"/>
    <w:rsid w:val="00901123"/>
    <w:rsid w:val="00AA379B"/>
    <w:rsid w:val="00AB6D50"/>
    <w:rsid w:val="00C67568"/>
    <w:rsid w:val="00CC5F0E"/>
    <w:rsid w:val="00E45505"/>
    <w:rsid w:val="00E56F8E"/>
    <w:rsid w:val="00F903CD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530D"/>
  <w15:docId w15:val="{704CD70F-1311-4A31-B291-8CC110C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ativecommons.org/licenses/by-nc-nd/3.0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Viola Oldrati</cp:lastModifiedBy>
  <cp:revision>13</cp:revision>
  <dcterms:created xsi:type="dcterms:W3CDTF">2024-05-09T20:15:00Z</dcterms:created>
  <dcterms:modified xsi:type="dcterms:W3CDTF">2024-08-05T13:03:00Z</dcterms:modified>
</cp:coreProperties>
</file>