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E54AB" w14:textId="77777777" w:rsidR="00654E8F" w:rsidRDefault="00E91381" w:rsidP="0001436A">
      <w:pPr>
        <w:pStyle w:val="SupplementaryMaterial"/>
      </w:pPr>
      <w:r w:rsidRPr="001549D3">
        <w:t>Supplementary Material</w:t>
      </w:r>
    </w:p>
    <w:p w14:paraId="03FADD11" w14:textId="08E34BD9" w:rsidR="00D10E4C" w:rsidRDefault="00E91381" w:rsidP="00D10E4C">
      <w:pPr>
        <w:spacing w:before="240" w:after="0"/>
        <w:jc w:val="center"/>
        <w:rPr>
          <w:rFonts w:cs="Times New Roman"/>
          <w:b/>
          <w:sz w:val="32"/>
          <w:szCs w:val="32"/>
        </w:rPr>
      </w:pPr>
      <w:r w:rsidRPr="00D10E4C">
        <w:rPr>
          <w:rFonts w:cs="Times New Roman"/>
          <w:b/>
          <w:sz w:val="32"/>
          <w:szCs w:val="32"/>
        </w:rPr>
        <w:t>Impact of Dysregulated Microbiota-</w:t>
      </w:r>
      <w:r w:rsidR="00511955">
        <w:rPr>
          <w:rFonts w:cs="Times New Roman"/>
          <w:b/>
          <w:sz w:val="32"/>
          <w:szCs w:val="32"/>
        </w:rPr>
        <w:t>d</w:t>
      </w:r>
      <w:r w:rsidRPr="00D10E4C">
        <w:rPr>
          <w:rFonts w:cs="Times New Roman"/>
          <w:b/>
          <w:sz w:val="32"/>
          <w:szCs w:val="32"/>
        </w:rPr>
        <w:t>erived C18 Polyunsaturated Fatty Acid Metabolites on Arthritis Severity in Mice with Collagen-induced Arthritis</w:t>
      </w:r>
    </w:p>
    <w:p w14:paraId="308E6824" w14:textId="07BD4B35" w:rsidR="00D10E4C" w:rsidRPr="00D10E4C" w:rsidRDefault="00E91381" w:rsidP="00D10E4C">
      <w:pPr>
        <w:spacing w:before="240" w:after="0"/>
        <w:rPr>
          <w:rFonts w:cs="Times New Roman"/>
          <w:b/>
          <w:szCs w:val="24"/>
        </w:rPr>
      </w:pPr>
      <w:r w:rsidRPr="00D10E4C">
        <w:rPr>
          <w:rFonts w:cs="Times New Roman"/>
          <w:b/>
          <w:szCs w:val="24"/>
        </w:rPr>
        <w:t>Katsuhiko Yoneda, Sho Sendo, Takaichi Okano, Hidenori Shimizu, Hirotaka Yamada, Keisuke Nishimura, Yo Ueda</w:t>
      </w:r>
      <w:r>
        <w:rPr>
          <w:rFonts w:cs="Times New Roman"/>
          <w:b/>
          <w:szCs w:val="24"/>
        </w:rPr>
        <w:t xml:space="preserve">, </w:t>
      </w:r>
      <w:r w:rsidRPr="00D10E4C">
        <w:rPr>
          <w:rFonts w:cs="Times New Roman"/>
          <w:b/>
          <w:szCs w:val="24"/>
        </w:rPr>
        <w:t>Jun Saegusa</w:t>
      </w:r>
      <w:r>
        <w:rPr>
          <w:rFonts w:cs="Times New Roman"/>
          <w:b/>
          <w:szCs w:val="24"/>
        </w:rPr>
        <w:t>*</w:t>
      </w:r>
    </w:p>
    <w:p w14:paraId="76AD9112" w14:textId="420212C4" w:rsidR="00D10E4C" w:rsidRPr="009F066E" w:rsidRDefault="00E91381" w:rsidP="00D10E4C">
      <w:pPr>
        <w:spacing w:before="240" w:after="0"/>
        <w:rPr>
          <w:rFonts w:cs="Times New Roman"/>
          <w:b/>
          <w:szCs w:val="24"/>
        </w:rPr>
      </w:pPr>
      <w:r w:rsidRPr="00994A3D">
        <w:rPr>
          <w:rFonts w:cs="Times New Roman"/>
          <w:b/>
        </w:rPr>
        <w:t xml:space="preserve">* Correspondence: </w:t>
      </w:r>
      <w:r w:rsidRPr="009F066E">
        <w:rPr>
          <w:rFonts w:cs="Times New Roman"/>
          <w:szCs w:val="24"/>
        </w:rPr>
        <w:t>Jun Saegusa</w:t>
      </w:r>
      <w:r>
        <w:rPr>
          <w:rFonts w:cs="Times New Roman"/>
          <w:szCs w:val="24"/>
        </w:rPr>
        <w:t xml:space="preserve">: </w:t>
      </w:r>
      <w:r w:rsidRPr="009F066E">
        <w:rPr>
          <w:rFonts w:cs="Times New Roman"/>
          <w:szCs w:val="24"/>
        </w:rPr>
        <w:t>jsaegusa@med.kobe-u.ac.jp</w:t>
      </w:r>
    </w:p>
    <w:p w14:paraId="173057D2" w14:textId="77777777" w:rsidR="00D10E4C" w:rsidRDefault="00D10E4C" w:rsidP="00D10E4C">
      <w:pPr>
        <w:spacing w:before="240" w:after="0"/>
        <w:rPr>
          <w:b/>
          <w:bCs/>
        </w:rPr>
      </w:pPr>
    </w:p>
    <w:p w14:paraId="29026311" w14:textId="0237FECD" w:rsidR="00EA3D3C" w:rsidRPr="00D10E4C" w:rsidRDefault="00E91381" w:rsidP="00D10E4C">
      <w:pPr>
        <w:spacing w:before="240" w:after="0"/>
        <w:rPr>
          <w:b/>
          <w:bCs/>
        </w:rPr>
      </w:pPr>
      <w:r w:rsidRPr="00D10E4C">
        <w:rPr>
          <w:b/>
          <w:bCs/>
        </w:rPr>
        <w:t xml:space="preserve">1 </w:t>
      </w:r>
      <w:r>
        <w:rPr>
          <w:b/>
          <w:bCs/>
        </w:rPr>
        <w:t xml:space="preserve">       </w:t>
      </w:r>
      <w:r w:rsidR="00654E8F" w:rsidRPr="00D10E4C">
        <w:rPr>
          <w:b/>
          <w:bCs/>
        </w:rPr>
        <w:t xml:space="preserve">Supplementary </w:t>
      </w:r>
      <w:r w:rsidRPr="00D10E4C">
        <w:rPr>
          <w:b/>
          <w:bCs/>
        </w:rPr>
        <w:t>Materials</w:t>
      </w:r>
    </w:p>
    <w:p w14:paraId="5E584EE8" w14:textId="1ABAF816" w:rsidR="00994A3D" w:rsidRDefault="00E91381" w:rsidP="00D10E4C">
      <w:pPr>
        <w:pStyle w:val="1"/>
      </w:pPr>
      <w:r w:rsidRPr="00994A3D">
        <w:t>Supplementary Figures and Tables</w:t>
      </w:r>
    </w:p>
    <w:p w14:paraId="6A2EE810" w14:textId="277D3581" w:rsidR="00E91381" w:rsidRPr="00E91381" w:rsidRDefault="00E91381" w:rsidP="00E91381">
      <w:r>
        <w:t>Supplementary tables (.xlsx) are uploaded separately on submission</w:t>
      </w:r>
    </w:p>
    <w:p w14:paraId="11EC8DA1" w14:textId="4D189AD6" w:rsidR="00994A3D" w:rsidRPr="00E77D0D" w:rsidRDefault="00E91381" w:rsidP="00E77D0D">
      <w:pPr>
        <w:pStyle w:val="2"/>
      </w:pPr>
      <w:r w:rsidRPr="0001436A">
        <w:t>Supplementary</w:t>
      </w:r>
      <w:r w:rsidRPr="001549D3">
        <w:t xml:space="preserve"> Figures</w:t>
      </w:r>
      <w:r>
        <w:t xml:space="preserve"> legends</w:t>
      </w:r>
    </w:p>
    <w:p w14:paraId="79A731AE" w14:textId="77777777" w:rsidR="00E91381" w:rsidRDefault="00E77D0D" w:rsidP="00E77D0D">
      <w:pPr>
        <w:spacing w:before="240"/>
        <w:rPr>
          <w:rFonts w:cs="Times New Roman"/>
          <w:b/>
          <w:szCs w:val="24"/>
        </w:rPr>
      </w:pPr>
      <w:r w:rsidRPr="0001436A">
        <w:rPr>
          <w:rFonts w:cs="Times New Roman"/>
          <w:b/>
          <w:szCs w:val="24"/>
        </w:rPr>
        <w:t xml:space="preserve">Supplementary Figure </w:t>
      </w:r>
      <w:r w:rsidRPr="0001436A">
        <w:rPr>
          <w:rFonts w:cs="Times New Roman"/>
          <w:b/>
          <w:szCs w:val="24"/>
        </w:rPr>
        <w:fldChar w:fldCharType="begin"/>
      </w:r>
      <w:r w:rsidRPr="0001436A">
        <w:rPr>
          <w:rFonts w:cs="Times New Roman"/>
          <w:b/>
          <w:szCs w:val="24"/>
        </w:rPr>
        <w:instrText xml:space="preserve"> SEQ Figure \* ARABIC </w:instrText>
      </w:r>
      <w:r w:rsidRPr="0001436A">
        <w:rPr>
          <w:rFonts w:cs="Times New Roman"/>
          <w:b/>
          <w:szCs w:val="24"/>
        </w:rPr>
        <w:fldChar w:fldCharType="separate"/>
      </w:r>
      <w:r>
        <w:rPr>
          <w:rFonts w:cs="Times New Roman"/>
          <w:b/>
          <w:noProof/>
          <w:szCs w:val="24"/>
        </w:rPr>
        <w:t>1</w:t>
      </w:r>
      <w:r w:rsidRPr="0001436A">
        <w:rPr>
          <w:rFonts w:cs="Times New Roman"/>
          <w:b/>
          <w:szCs w:val="24"/>
        </w:rPr>
        <w:fldChar w:fldCharType="end"/>
      </w:r>
      <w:r w:rsidRPr="0001436A">
        <w:rPr>
          <w:rFonts w:cs="Times New Roman"/>
          <w:b/>
          <w:szCs w:val="24"/>
        </w:rPr>
        <w:t>.</w:t>
      </w:r>
      <w:r w:rsidRPr="00E77D0D">
        <w:rPr>
          <w:rFonts w:cs="Times New Roman"/>
          <w:b/>
          <w:szCs w:val="24"/>
        </w:rPr>
        <w:t xml:space="preserve"> Clinical course of CIA mice.</w:t>
      </w:r>
      <w:r>
        <w:rPr>
          <w:rFonts w:cs="Times New Roman" w:hint="eastAsia"/>
          <w:b/>
          <w:szCs w:val="24"/>
        </w:rPr>
        <w:t xml:space="preserve"> </w:t>
      </w:r>
    </w:p>
    <w:p w14:paraId="1642FB1A" w14:textId="24EED67D" w:rsidR="00E77D0D" w:rsidRDefault="00E77D0D" w:rsidP="00E77D0D">
      <w:pPr>
        <w:spacing w:before="240"/>
        <w:rPr>
          <w:rFonts w:cs="Times New Roman"/>
          <w:szCs w:val="24"/>
        </w:rPr>
      </w:pPr>
      <w:r w:rsidRPr="00E77D0D">
        <w:rPr>
          <w:rFonts w:cs="Times New Roman"/>
          <w:szCs w:val="24"/>
        </w:rPr>
        <w:t>DBA/1J mice were immunized with bovine type II collagen emulsified with complete Freund’s adjuvant on day 0. The CIA mice were injected with lipopolysaccharide (LPS) to synchronize their arthritis onset after the 28th day.</w:t>
      </w:r>
    </w:p>
    <w:p w14:paraId="7D70D498" w14:textId="77777777" w:rsidR="00E77D0D" w:rsidRPr="00536586" w:rsidRDefault="00E77D0D" w:rsidP="00E77D0D">
      <w:pPr>
        <w:spacing w:before="240"/>
        <w:rPr>
          <w:rFonts w:cs="Times New Roman"/>
          <w:szCs w:val="24"/>
        </w:rPr>
      </w:pPr>
      <w:r w:rsidRPr="00536586">
        <w:rPr>
          <w:b/>
          <w:bCs/>
        </w:rPr>
        <w:t>(A)</w:t>
      </w:r>
      <w:r w:rsidRPr="00536586">
        <w:rPr>
          <w:rFonts w:cs="Times New Roman"/>
          <w:szCs w:val="24"/>
        </w:rPr>
        <w:tab/>
        <w:t>Changes in the average body weight in the CIA and Ctrl mice.</w:t>
      </w:r>
    </w:p>
    <w:p w14:paraId="28461CD6" w14:textId="77777777" w:rsidR="00E77D0D" w:rsidRPr="00536586" w:rsidRDefault="00E77D0D" w:rsidP="00E77D0D">
      <w:pPr>
        <w:spacing w:before="240"/>
        <w:rPr>
          <w:rFonts w:cs="Times New Roman"/>
          <w:szCs w:val="24"/>
        </w:rPr>
      </w:pPr>
      <w:r w:rsidRPr="00536586">
        <w:rPr>
          <w:b/>
          <w:bCs/>
        </w:rPr>
        <w:t>(B)</w:t>
      </w:r>
      <w:r w:rsidRPr="00536586">
        <w:rPr>
          <w:rFonts w:cs="Times New Roman"/>
          <w:szCs w:val="24"/>
        </w:rPr>
        <w:tab/>
        <w:t xml:space="preserve">Changes in the average four-paw thickness in the CIA and Ctrl mice after day 14. </w:t>
      </w:r>
    </w:p>
    <w:p w14:paraId="04B8ED16" w14:textId="714445F6" w:rsidR="00D35AA6" w:rsidRPr="00536586" w:rsidRDefault="00D35AA6" w:rsidP="00E77D0D">
      <w:pPr>
        <w:spacing w:before="240"/>
        <w:rPr>
          <w:rFonts w:cs="Times New Roman"/>
          <w:szCs w:val="24"/>
        </w:rPr>
      </w:pPr>
      <w:r w:rsidRPr="00536586">
        <w:rPr>
          <w:b/>
          <w:bCs/>
        </w:rPr>
        <w:t>(C)</w:t>
      </w:r>
      <w:r w:rsidRPr="00536586">
        <w:rPr>
          <w:rFonts w:cs="Times New Roman"/>
          <w:szCs w:val="24"/>
        </w:rPr>
        <w:tab/>
        <w:t>Incidence of arthritis in the CIA and Ctrl mice.</w:t>
      </w:r>
    </w:p>
    <w:p w14:paraId="792619BD" w14:textId="04265DF5" w:rsidR="00E77D0D" w:rsidRPr="00536586" w:rsidRDefault="002B7515" w:rsidP="00E77D0D">
      <w:pPr>
        <w:spacing w:before="240"/>
        <w:rPr>
          <w:rFonts w:cs="Times New Roman"/>
          <w:szCs w:val="24"/>
        </w:rPr>
      </w:pPr>
      <w:r w:rsidRPr="00536586">
        <w:rPr>
          <w:rFonts w:cs="Times New Roman"/>
          <w:szCs w:val="24"/>
        </w:rPr>
        <w:t>The d</w:t>
      </w:r>
      <w:r w:rsidR="00E77D0D" w:rsidRPr="00536586">
        <w:rPr>
          <w:rFonts w:cs="Times New Roman"/>
          <w:szCs w:val="24"/>
        </w:rPr>
        <w:t>ata present the means ± SD</w:t>
      </w:r>
      <w:r w:rsidRPr="00536586">
        <w:rPr>
          <w:rFonts w:cs="Times New Roman"/>
          <w:szCs w:val="24"/>
        </w:rPr>
        <w:t xml:space="preserve">. The data in </w:t>
      </w:r>
      <w:r w:rsidR="003A796A" w:rsidRPr="00536586">
        <w:rPr>
          <w:rFonts w:cs="Times New Roman"/>
          <w:szCs w:val="24"/>
        </w:rPr>
        <w:t xml:space="preserve">a and b </w:t>
      </w:r>
      <w:r w:rsidR="00E77D0D" w:rsidRPr="00536586">
        <w:rPr>
          <w:rFonts w:cs="Times New Roman"/>
          <w:szCs w:val="24"/>
        </w:rPr>
        <w:t>were analyzed using two-way repeated-measures ANOVA with Sidak’s multiple comparisons tests. **p &lt; 0.01, ***p &lt; 0.001, ****p &lt; 0.0001</w:t>
      </w:r>
    </w:p>
    <w:p w14:paraId="781B6C5C" w14:textId="437BA2EC" w:rsidR="00E77D0D" w:rsidRPr="00E77D0D" w:rsidRDefault="00E77D0D" w:rsidP="00E77D0D">
      <w:pPr>
        <w:spacing w:before="240"/>
        <w:rPr>
          <w:rFonts w:cs="Times New Roman"/>
          <w:szCs w:val="24"/>
        </w:rPr>
      </w:pPr>
      <w:r w:rsidRPr="0001436A">
        <w:rPr>
          <w:rFonts w:cs="Times New Roman"/>
          <w:b/>
          <w:szCs w:val="24"/>
        </w:rPr>
        <w:t>Supplementary</w:t>
      </w:r>
      <w:r w:rsidRPr="00E77D0D">
        <w:rPr>
          <w:rFonts w:cs="Times New Roman"/>
          <w:b/>
          <w:szCs w:val="24"/>
        </w:rPr>
        <w:t xml:space="preserve"> Figure 2.</w:t>
      </w:r>
      <w:r w:rsidRPr="00E77D0D">
        <w:rPr>
          <w:b/>
        </w:rPr>
        <w:t xml:space="preserve"> Alteration of other microbiota-derived C18 PUFA metabolites in the cecum</w:t>
      </w:r>
    </w:p>
    <w:p w14:paraId="4F18ED59" w14:textId="4E0358F2" w:rsidR="00E77D0D" w:rsidRDefault="00E77D0D" w:rsidP="00E77D0D">
      <w:pPr>
        <w:spacing w:before="240"/>
      </w:pPr>
      <w:r w:rsidRPr="000511CA">
        <w:rPr>
          <w:b/>
          <w:bCs/>
        </w:rPr>
        <w:t>(A)</w:t>
      </w:r>
      <w:r w:rsidRPr="00E77D0D">
        <w:rPr>
          <w:rFonts w:cs="Times New Roman"/>
          <w:szCs w:val="24"/>
        </w:rPr>
        <w:tab/>
      </w:r>
      <w:r>
        <w:t xml:space="preserve">The scatterplot with jitter indicates the values of cecal metabolites quantified using LC/MS/MS in the Ctrl (green dots) and CIA (red dots) groups. The directing dashed or left–right arrows mean a one-way or two-way linkage of metabolites representing microbiota-derived metabolites from C18 dietary PUFAs. The HY or hydroxyl form (-OH) prefix means hydroxy fatty acids (HYA, HYB, HYC, 12-OH, 13-OHLA, 10,13-OHLA, and HYARA). Similarly, the prefix of Keto or carbonyl form (-oxo) means oxo fatty acids (ketoA, ketoB, ketoC, and 13-oxoLA). The C </w:t>
      </w:r>
      <w:r>
        <w:lastRenderedPageBreak/>
        <w:t xml:space="preserve">prefix means conjugated fatty acids (CLA1, CLA2, CLA3). Data could not be obtained for a few metabolites under the measurement limit, resulting in no data. </w:t>
      </w:r>
    </w:p>
    <w:p w14:paraId="0A5646C7" w14:textId="05836366" w:rsidR="00E77D0D" w:rsidRDefault="00E77D0D" w:rsidP="00E77D0D">
      <w:pPr>
        <w:spacing w:before="240"/>
      </w:pPr>
      <w:r w:rsidRPr="000511CA">
        <w:rPr>
          <w:b/>
          <w:bCs/>
        </w:rPr>
        <w:t>(B)</w:t>
      </w:r>
      <w:r w:rsidRPr="00E77D0D">
        <w:rPr>
          <w:rFonts w:cs="Times New Roman"/>
          <w:szCs w:val="24"/>
        </w:rPr>
        <w:tab/>
      </w:r>
      <w:r>
        <w:t xml:space="preserve">The scatterplot with jitter indicates the values of cecal metabolites from α-linoleic acid quantified using LC/MS/MS in the Ctrl (green dots) and CIA (red dots) groups. </w:t>
      </w:r>
    </w:p>
    <w:p w14:paraId="2AE5F2CC" w14:textId="3D154A29" w:rsidR="00E77D0D" w:rsidRDefault="00E77D0D" w:rsidP="00E77D0D">
      <w:pPr>
        <w:spacing w:before="240"/>
      </w:pPr>
      <w:r w:rsidRPr="000511CA">
        <w:rPr>
          <w:b/>
          <w:bCs/>
        </w:rPr>
        <w:t>(C)</w:t>
      </w:r>
      <w:r w:rsidRPr="009F066E">
        <w:tab/>
      </w:r>
      <w:r>
        <w:t xml:space="preserve">The scatterplot with jitter indicates the values of cecal metabolites from γ-linoleic acid quantified using LC/MS/MS in the Ctrl (green dots) and CIA (red dots) groups. </w:t>
      </w:r>
    </w:p>
    <w:p w14:paraId="43F99E70" w14:textId="77777777" w:rsidR="00E77D0D" w:rsidRDefault="00E77D0D" w:rsidP="00E77D0D">
      <w:pPr>
        <w:spacing w:before="240"/>
      </w:pPr>
      <w:r w:rsidRPr="000511CA">
        <w:rPr>
          <w:b/>
          <w:bCs/>
        </w:rPr>
        <w:t>(</w:t>
      </w:r>
      <w:r>
        <w:rPr>
          <w:b/>
          <w:bCs/>
        </w:rPr>
        <w:t>D</w:t>
      </w:r>
      <w:r w:rsidRPr="000511CA">
        <w:rPr>
          <w:b/>
          <w:bCs/>
        </w:rPr>
        <w:t>)</w:t>
      </w:r>
      <w:r w:rsidRPr="009F066E">
        <w:tab/>
      </w:r>
      <w:r>
        <w:t xml:space="preserve">The scatterplot with jitter indicates the values of cecal metabolites from ricinoleic acid and 12-hydroxy octadecanoic acids quantified using LC/MS/MS in the Ctrl (green dots) and CIA (red dots) groups. </w:t>
      </w:r>
    </w:p>
    <w:p w14:paraId="627EC67A" w14:textId="77777777" w:rsidR="00E77D0D" w:rsidRDefault="00E77D0D" w:rsidP="00E77D0D">
      <w:pPr>
        <w:spacing w:before="240"/>
      </w:pPr>
      <w:r>
        <w:t>The data are described as the medians with interquartile ranges and were analyzed using the Mann–Whitney U test. **p &lt; 0.01, ***p &lt; 0.001, ****p &lt; 0.0001</w:t>
      </w:r>
    </w:p>
    <w:p w14:paraId="4431DB1B" w14:textId="77777777" w:rsidR="00E91381" w:rsidRDefault="00E77D0D" w:rsidP="00E77D0D">
      <w:pPr>
        <w:spacing w:before="240"/>
        <w:rPr>
          <w:b/>
        </w:rPr>
      </w:pPr>
      <w:r w:rsidRPr="00E77D0D">
        <w:rPr>
          <w:rFonts w:cs="Times New Roman"/>
          <w:b/>
          <w:szCs w:val="24"/>
        </w:rPr>
        <w:t>Supplementary Figure 3.</w:t>
      </w:r>
      <w:r w:rsidRPr="00E77D0D">
        <w:rPr>
          <w:b/>
        </w:rPr>
        <w:t xml:space="preserve"> CLA2 in plasma and cecum tended to be negatively correlated with arthritis severity. </w:t>
      </w:r>
    </w:p>
    <w:p w14:paraId="0F795C7D" w14:textId="1E29C9DD" w:rsidR="00E77D0D" w:rsidRDefault="00E77D0D" w:rsidP="00E77D0D">
      <w:pPr>
        <w:spacing w:before="240"/>
        <w:rPr>
          <w:b/>
        </w:rPr>
      </w:pPr>
      <w:r>
        <w:t xml:space="preserve">Scatterplots present the relationships between arthritis scores on the x-axis and CLA2 levels (a) in the plasma of CIA mice (n=5) and (b) the cecum of CIA mice (n=29) on the y-axis. Each straight line means the regression line that best fits the points in the scatterplot, which were analyzed using Pearson’s product-moment correlation coefficient. </w:t>
      </w:r>
    </w:p>
    <w:p w14:paraId="32F520A4" w14:textId="77777777" w:rsidR="00E91381" w:rsidRDefault="00E77D0D" w:rsidP="00E77D0D">
      <w:pPr>
        <w:spacing w:before="240"/>
        <w:rPr>
          <w:b/>
          <w:bCs/>
        </w:rPr>
      </w:pPr>
      <w:r w:rsidRPr="00E77D0D">
        <w:rPr>
          <w:rFonts w:cs="Times New Roman"/>
          <w:b/>
          <w:szCs w:val="24"/>
        </w:rPr>
        <w:t xml:space="preserve">Supplementary Figure </w:t>
      </w:r>
      <w:r>
        <w:rPr>
          <w:rFonts w:cs="Times New Roman"/>
          <w:b/>
          <w:szCs w:val="24"/>
        </w:rPr>
        <w:t>4</w:t>
      </w:r>
      <w:r w:rsidRPr="00E77D0D">
        <w:rPr>
          <w:rFonts w:cs="Times New Roman"/>
          <w:b/>
          <w:szCs w:val="24"/>
        </w:rPr>
        <w:t>.</w:t>
      </w:r>
      <w:r w:rsidRPr="00E77D0D">
        <w:rPr>
          <w:b/>
          <w:bCs/>
        </w:rPr>
        <w:t xml:space="preserve"> Random forest model of the cecal microbiomes between CIA and Ctrl mice at the family level.</w:t>
      </w:r>
      <w:r>
        <w:rPr>
          <w:rFonts w:hint="eastAsia"/>
          <w:b/>
          <w:bCs/>
        </w:rPr>
        <w:t xml:space="preserve"> </w:t>
      </w:r>
    </w:p>
    <w:p w14:paraId="0130F1B1" w14:textId="47AF8103" w:rsidR="00E77D0D" w:rsidRPr="00E77D0D" w:rsidRDefault="00E77D0D" w:rsidP="00E77D0D">
      <w:pPr>
        <w:spacing w:before="240"/>
        <w:rPr>
          <w:b/>
        </w:rPr>
      </w:pPr>
      <w:r>
        <w:t>A predictive model was calculated using cecal microbiomes altered (p &lt; 0.05) between CIA and Ctrl mice. Taxa are ranked based on their importance for group classification based on the mean decrease accuracy, displayed on the y-axis. Red and blue boxes indicate high or low abundance in the CIA and Ctrl groups, respectively.</w:t>
      </w:r>
    </w:p>
    <w:p w14:paraId="4DB4C08F" w14:textId="77777777" w:rsidR="00E77D0D" w:rsidRDefault="00E77D0D" w:rsidP="00E77D0D">
      <w:pPr>
        <w:spacing w:before="240"/>
      </w:pPr>
    </w:p>
    <w:p w14:paraId="5CBDE44C" w14:textId="77777777" w:rsidR="00E91381" w:rsidRDefault="00E77D0D" w:rsidP="00E77D0D">
      <w:pPr>
        <w:spacing w:before="240"/>
        <w:rPr>
          <w:b/>
          <w:bCs/>
        </w:rPr>
      </w:pPr>
      <w:r w:rsidRPr="00E77D0D">
        <w:rPr>
          <w:rFonts w:cs="Times New Roman"/>
          <w:b/>
          <w:szCs w:val="24"/>
        </w:rPr>
        <w:t xml:space="preserve">Supplementary Figure </w:t>
      </w:r>
      <w:r>
        <w:rPr>
          <w:rFonts w:cs="Times New Roman"/>
          <w:b/>
          <w:szCs w:val="24"/>
        </w:rPr>
        <w:t>5</w:t>
      </w:r>
      <w:r w:rsidRPr="00E77D0D">
        <w:rPr>
          <w:rFonts w:cs="Times New Roman"/>
          <w:b/>
          <w:szCs w:val="24"/>
        </w:rPr>
        <w:t>.</w:t>
      </w:r>
      <w:r w:rsidRPr="00E77D0D">
        <w:rPr>
          <w:b/>
          <w:bCs/>
        </w:rPr>
        <w:t xml:space="preserve"> Gut dysbiosis is pronounced in CIA mice with severe arthritis.</w:t>
      </w:r>
      <w:r>
        <w:rPr>
          <w:rFonts w:hint="eastAsia"/>
          <w:b/>
          <w:bCs/>
        </w:rPr>
        <w:t xml:space="preserve"> </w:t>
      </w:r>
    </w:p>
    <w:p w14:paraId="402A40A9" w14:textId="00F1F12C" w:rsidR="00E77D0D" w:rsidRPr="00E77D0D" w:rsidRDefault="00E77D0D" w:rsidP="00E77D0D">
      <w:pPr>
        <w:spacing w:before="240"/>
        <w:rPr>
          <w:b/>
          <w:bCs/>
        </w:rPr>
      </w:pPr>
      <w:r>
        <w:t>CIA mice were divided into two groups based on arthritis scores: severe (n=16) and mild (n=13).</w:t>
      </w:r>
    </w:p>
    <w:p w14:paraId="2FFF60DF" w14:textId="50599585" w:rsidR="00E77D0D" w:rsidRDefault="00E77D0D" w:rsidP="00E77D0D">
      <w:pPr>
        <w:spacing w:before="240"/>
      </w:pPr>
      <w:r w:rsidRPr="000511CA">
        <w:rPr>
          <w:b/>
          <w:bCs/>
        </w:rPr>
        <w:t>(A)</w:t>
      </w:r>
      <w:r w:rsidRPr="00E77D0D">
        <w:rPr>
          <w:rFonts w:cs="Times New Roman"/>
          <w:szCs w:val="24"/>
        </w:rPr>
        <w:tab/>
      </w:r>
      <w:r>
        <w:t>Alpha diversity indices (Shannon and Simpson index) among groups of Ctrl, mild CIA, and severe CIA mice. Data are presented as medians with interquartile ranges and were analyzed using the Kruskal–Wallis test and multiple comparison tests by controlling the false discovery rate (FDR) using the Benjamini and Hochberg method. *p &lt; 0.05, **p &lt; 0.01</w:t>
      </w:r>
    </w:p>
    <w:p w14:paraId="75849C35" w14:textId="77777777" w:rsidR="00E77D0D" w:rsidRDefault="00E77D0D" w:rsidP="00E77D0D">
      <w:pPr>
        <w:spacing w:before="240"/>
      </w:pPr>
      <w:r w:rsidRPr="000511CA">
        <w:rPr>
          <w:b/>
          <w:bCs/>
        </w:rPr>
        <w:t>(B)</w:t>
      </w:r>
      <w:r w:rsidRPr="00E77D0D">
        <w:rPr>
          <w:rFonts w:cs="Times New Roman"/>
          <w:szCs w:val="24"/>
        </w:rPr>
        <w:tab/>
      </w:r>
      <w:r>
        <w:t>Nonmetric multidimensional scaling (NMDS) plots are presented for beta diversity using Bray–Curtis index (left) and Jensen–Shannon divergence (right). The dots are colored by control (Ctrl), CIA mild, and CIA severe mice. Stress values are displayed in the figure. ANOSIM and PERMANOVA analyses are available in Supplementary Table 5.</w:t>
      </w:r>
    </w:p>
    <w:p w14:paraId="2D3205B6" w14:textId="77777777" w:rsidR="00E91381" w:rsidRDefault="00E77D0D" w:rsidP="00E77D0D">
      <w:pPr>
        <w:spacing w:before="240"/>
        <w:rPr>
          <w:b/>
          <w:bCs/>
        </w:rPr>
      </w:pPr>
      <w:r w:rsidRPr="00E77D0D">
        <w:rPr>
          <w:rFonts w:cs="Times New Roman"/>
          <w:b/>
          <w:szCs w:val="24"/>
        </w:rPr>
        <w:lastRenderedPageBreak/>
        <w:t xml:space="preserve">Supplementary Figure </w:t>
      </w:r>
      <w:r>
        <w:rPr>
          <w:rFonts w:cs="Times New Roman"/>
          <w:b/>
          <w:szCs w:val="24"/>
        </w:rPr>
        <w:t>6</w:t>
      </w:r>
      <w:r w:rsidRPr="00E77D0D">
        <w:rPr>
          <w:rFonts w:cs="Times New Roman"/>
          <w:b/>
          <w:szCs w:val="24"/>
        </w:rPr>
        <w:t>.</w:t>
      </w:r>
      <w:r w:rsidRPr="00E77D0D">
        <w:rPr>
          <w:b/>
          <w:bCs/>
        </w:rPr>
        <w:t xml:space="preserve"> Prediction of functional profiles and functional redundancy based on 16S rRNA gene sequences.</w:t>
      </w:r>
      <w:r>
        <w:rPr>
          <w:rFonts w:hint="eastAsia"/>
          <w:b/>
          <w:bCs/>
        </w:rPr>
        <w:t xml:space="preserve"> </w:t>
      </w:r>
    </w:p>
    <w:p w14:paraId="58F1AED1" w14:textId="7BEC241A" w:rsidR="00DE23E8" w:rsidRPr="00E77D0D" w:rsidRDefault="00E77D0D" w:rsidP="00E77D0D">
      <w:pPr>
        <w:spacing w:before="240"/>
        <w:rPr>
          <w:b/>
          <w:bCs/>
        </w:rPr>
      </w:pPr>
      <w:r>
        <w:t>Functional predictive analysis by Tax4Fun2 suggests the potential function of bacteria associated with fatty acid metabolism. Scatterplots with jitter show the predictive gene abundance values for Ctrl (green dots) and CIA (red dots) mice. There are three types of enzyme, fatty acid hydratase (CLA-HY, EC 4.2.1.53), hydroxy fatty acid dehydrogenase (CLA-DH, EC 1.1.1.98), and acetoacetate decarboxylase (CLA-DC, EC 4.1.1.4), that are involved in a multi-step reaction consisting of hydration, dehydrogenation, double-bond shift, and dehydration.</w:t>
      </w:r>
      <w:r>
        <w:rPr>
          <w:rFonts w:hint="eastAsia"/>
          <w:b/>
          <w:bCs/>
        </w:rPr>
        <w:t xml:space="preserve"> </w:t>
      </w:r>
      <w:r>
        <w:t>Reaction scheme of linoleic acid isomerization to CLA. Oleate hydratase (CLA-HY) converts linoleic acid (LA) to 10-hydroxy-cis-12-octadecenoic acid (HYA). Acetoacetate decarboxylase (CLA-DC) converts 10-oxo-12(Z)-octadecenoic acid (KetoA) to 10-oxo-11(E)-octadecenoic acid (KetoC). Hydroxy fatty acid dehydrogenase (CLA-DH) could not be predicted.</w:t>
      </w:r>
      <w:r>
        <w:rPr>
          <w:rFonts w:hint="eastAsia"/>
          <w:b/>
          <w:bCs/>
        </w:rPr>
        <w:t xml:space="preserve"> </w:t>
      </w:r>
      <w:r>
        <w:t>Data were analyzed using the Mann–Whitney U test and are described as medians with interquartile ranges. *p &lt; 0.05.</w:t>
      </w:r>
    </w:p>
    <w:sectPr w:rsidR="00DE23E8" w:rsidRPr="00E77D0D" w:rsidSect="0093429D">
      <w:headerReference w:type="even" r:id="rId12"/>
      <w:footerReference w:type="even" r:id="rId13"/>
      <w:footerReference w:type="default" r:id="rId14"/>
      <w:headerReference w:type="first" r:id="rId15"/>
      <w:pgSz w:w="12240" w:h="15840"/>
      <w:pgMar w:top="1138" w:right="1181" w:bottom="1138" w:left="128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3FBA4" w14:textId="77777777" w:rsidR="00463F84" w:rsidRDefault="00463F84">
      <w:pPr>
        <w:spacing w:before="0" w:after="0"/>
      </w:pPr>
      <w:r>
        <w:separator/>
      </w:r>
    </w:p>
  </w:endnote>
  <w:endnote w:type="continuationSeparator" w:id="0">
    <w:p w14:paraId="348178FB" w14:textId="77777777" w:rsidR="00463F84" w:rsidRDefault="00463F8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0000500000000020000"/>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4AB28" w14:textId="77777777" w:rsidR="0081227A" w:rsidRPr="00577C4C" w:rsidRDefault="00E91381">
    <w:pPr>
      <w:rPr>
        <w:color w:val="C00000"/>
        <w:szCs w:val="24"/>
      </w:rPr>
    </w:pPr>
    <w:r>
      <w:rPr>
        <w:noProof/>
        <w:lang w:val="en-GB" w:eastAsia="en-GB"/>
      </w:rPr>
      <mc:AlternateContent>
        <mc:Choice Requires="wps">
          <w:drawing>
            <wp:anchor distT="0" distB="0" distL="114300" distR="114300" simplePos="0" relativeHeight="251660288" behindDoc="0" locked="0" layoutInCell="1" allowOverlap="1" wp14:anchorId="52A4A2F8" wp14:editId="110CF0F8">
              <wp:simplePos x="0" y="0"/>
              <wp:positionH relativeFrom="margin">
                <wp:align>right</wp:align>
              </wp:positionH>
              <wp:positionV relativeFrom="bottomMargin">
                <wp:align>top</wp:align>
              </wp:positionV>
              <wp:extent cx="1508760" cy="395605"/>
              <wp:effectExtent l="0" t="0" r="0" b="0"/>
              <wp:wrapNone/>
              <wp:docPr id="1" name="Text Box 1"/>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6449888" w14:textId="77777777" w:rsidR="0081227A" w:rsidRPr="00577C4C" w:rsidRDefault="00E91381">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2B4A57">
                            <w:rPr>
                              <w:noProof/>
                              <w:color w:val="000000" w:themeColor="text1"/>
                              <w:szCs w:val="40"/>
                            </w:rPr>
                            <w:t>2</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2A4A2F8" id="_x0000_t202" coordsize="21600,21600" o:spt="202" path="m,l,21600r21600,l21600,xe">
              <v:stroke joinstyle="miter"/>
              <v:path gradientshapeok="t" o:connecttype="rect"/>
            </v:shapetype>
            <v:shape id="Text Box 1" o:spid="_x0000_s1026" type="#_x0000_t202" style="position:absolute;margin-left:67.6pt;margin-top:0;width:118.8pt;height:31.15pt;z-index:251660288;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" filled="f" stroked="f" strokeweight=".5pt">
              <v:textbox style="mso-fit-shape-to-text:t">
                <w:txbxContent>
                  <w:p w14:paraId="26449888" w14:textId="77777777" w:rsidR="0081227A" w:rsidRPr="00577C4C" w:rsidRDefault="00E91381">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2B4A57">
                      <w:rPr>
                        <w:noProof/>
                        <w:color w:val="000000" w:themeColor="text1"/>
                        <w:szCs w:val="40"/>
                      </w:rPr>
                      <w:t>2</w:t>
                    </w:r>
                    <w:r w:rsidRPr="00577C4C">
                      <w:rPr>
                        <w:color w:val="000000" w:themeColor="text1"/>
                        <w:szCs w:val="40"/>
                      </w:rPr>
                      <w:fldChar w:fldCharType="end"/>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2FF27" w14:textId="77777777" w:rsidR="0081227A" w:rsidRPr="00577C4C" w:rsidRDefault="00E91381">
    <w:pPr>
      <w:rPr>
        <w:b/>
        <w:sz w:val="20"/>
        <w:szCs w:val="24"/>
      </w:rPr>
    </w:pPr>
    <w:r>
      <w:rPr>
        <w:noProof/>
        <w:lang w:val="en-GB" w:eastAsia="en-GB"/>
      </w:rPr>
      <mc:AlternateContent>
        <mc:Choice Requires="wps">
          <w:drawing>
            <wp:anchor distT="0" distB="0" distL="114300" distR="114300" simplePos="0" relativeHeight="251658240" behindDoc="0" locked="0" layoutInCell="1" allowOverlap="1" wp14:anchorId="38850AA6" wp14:editId="62F650C1">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1F6837CC" w14:textId="77777777" w:rsidR="0081227A" w:rsidRPr="00577C4C" w:rsidRDefault="00E91381">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994A3D">
                            <w:rPr>
                              <w:noProof/>
                              <w:color w:val="000000" w:themeColor="text1"/>
                              <w:szCs w:val="40"/>
                            </w:rPr>
                            <w:t>3</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8850AA6" id="_x0000_t202" coordsize="21600,21600" o:spt="202" path="m,l,21600r21600,l21600,xe">
              <v:stroke joinstyle="miter"/>
              <v:path gradientshapeok="t" o:connecttype="rect"/>
            </v:shapetype>
            <v:shape id="Text Box 56" o:spid="_x0000_s1027" type="#_x0000_t202" style="position:absolute;margin-left:67.6pt;margin-top:0;width:118.8pt;height:31.15pt;z-index:251658240;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" filled="f" stroked="f" strokeweight=".5pt">
              <v:textbox style="mso-fit-shape-to-text:t">
                <w:txbxContent>
                  <w:p w14:paraId="1F6837CC" w14:textId="77777777" w:rsidR="0081227A" w:rsidRPr="00577C4C" w:rsidRDefault="00E91381">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994A3D">
                      <w:rPr>
                        <w:noProof/>
                        <w:color w:val="000000" w:themeColor="text1"/>
                        <w:szCs w:val="40"/>
                      </w:rPr>
                      <w:t>3</w:t>
                    </w:r>
                    <w:r w:rsidRPr="00577C4C">
                      <w:rPr>
                        <w:color w:val="000000" w:themeColor="text1"/>
                        <w:szCs w:val="4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3871E" w14:textId="77777777" w:rsidR="00463F84" w:rsidRDefault="00463F84">
      <w:pPr>
        <w:spacing w:before="0" w:after="0"/>
      </w:pPr>
      <w:r>
        <w:separator/>
      </w:r>
    </w:p>
  </w:footnote>
  <w:footnote w:type="continuationSeparator" w:id="0">
    <w:p w14:paraId="689D2F1A" w14:textId="77777777" w:rsidR="00463F84" w:rsidRDefault="00463F8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1EDBA" w14:textId="77777777" w:rsidR="0081227A" w:rsidRPr="009151AA" w:rsidRDefault="00E91381">
    <w:pPr>
      <w:rPr>
        <w:rFonts w:cs="Times New Roman"/>
      </w:rPr>
    </w:pPr>
    <w:r>
      <w:ptab w:relativeTo="margin" w:alignment="center" w:leader="none"/>
    </w:r>
    <w:r>
      <w:ptab w:relativeTo="margin" w:alignment="right" w:leader="none"/>
    </w:r>
    <w:r w:rsidR="001549D3" w:rsidRPr="009151AA">
      <w:rPr>
        <w:rFonts w:cs="Times New Roman"/>
      </w:rPr>
      <w:t>Supplementary Material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11A5B" w14:textId="77777777" w:rsidR="0081227A" w:rsidRDefault="00E91381" w:rsidP="0093429D">
    <w:r w:rsidRPr="005A1D84">
      <w:rPr>
        <w:b/>
        <w:noProof/>
        <w:color w:val="A6A6A6" w:themeColor="background1" w:themeShade="A6"/>
        <w:lang w:val="en-GB" w:eastAsia="en-GB"/>
      </w:rPr>
      <w:drawing>
        <wp:inline distT="0" distB="0" distL="0" distR="0" wp14:anchorId="1E84DCC6" wp14:editId="6A16578B">
          <wp:extent cx="1382534" cy="497091"/>
          <wp:effectExtent l="0" t="0" r="0" b="0"/>
          <wp:docPr id="7" name="Picture 7" descr="C:\Users\Elaine.Scott\Documents\LaTex\____TEST____Frontiers_LaTeX_Templates_V2.5\Frontiers LaTeX (Science, Health and Engineering) V2.5 - with Supplementary material (V1.2)\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C:\Users\Elaine.Scott\Documents\LaTex\____TEST____Frontiers_LaTeX_Templates_V2.5\Frontiers LaTeX (Science, Health and Engineering) V2.5 - with Supplementary material (V1.2)\logo1.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34909" cy="551877"/>
                  </a:xfrm>
                  <a:prstGeom prst="rect">
                    <a:avLst/>
                  </a:prstGeom>
                  <a:noFill/>
                  <a:ln>
                    <a:noFill/>
                  </a:ln>
                </pic:spPr>
              </pic:pic>
            </a:graphicData>
          </a:graphic>
        </wp:inline>
      </w:drawing>
    </w:r>
    <w:r>
      <w:ptab w:relativeTo="margin" w:alignment="center" w:leader="none"/>
    </w:r>
    <w:r w:rsidR="00C52A7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B7666"/>
    <w:multiLevelType w:val="multilevel"/>
    <w:tmpl w:val="615EAD26"/>
    <w:lvl w:ilvl="0">
      <w:start w:val="1"/>
      <w:numFmt w:val="decimal"/>
      <w:lvlText w:val="%1."/>
      <w:lvlJc w:val="left"/>
      <w:pPr>
        <w:ind w:left="0" w:firstLine="0"/>
      </w:pPr>
      <w:rPr>
        <w:rFonts w:hint="default"/>
        <w:b/>
        <w:lang w:val="en-G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ascii="Times New Roman" w:hAnsi="Times New Roman"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DF3AB7"/>
    <w:multiLevelType w:val="hybridMultilevel"/>
    <w:tmpl w:val="8E5CDC64"/>
    <w:lvl w:ilvl="0" w:tplc="692C220E">
      <w:start w:val="1"/>
      <w:numFmt w:val="bullet"/>
      <w:lvlText w:val=""/>
      <w:lvlJc w:val="left"/>
      <w:pPr>
        <w:ind w:left="720" w:hanging="360"/>
      </w:pPr>
      <w:rPr>
        <w:rFonts w:ascii="Symbol" w:hAnsi="Symbol" w:hint="default"/>
      </w:rPr>
    </w:lvl>
    <w:lvl w:ilvl="1" w:tplc="CC9ABCE8" w:tentative="1">
      <w:start w:val="1"/>
      <w:numFmt w:val="bullet"/>
      <w:lvlText w:val="o"/>
      <w:lvlJc w:val="left"/>
      <w:pPr>
        <w:ind w:left="1440" w:hanging="360"/>
      </w:pPr>
      <w:rPr>
        <w:rFonts w:ascii="Courier New" w:hAnsi="Courier New" w:cs="Courier New" w:hint="default"/>
      </w:rPr>
    </w:lvl>
    <w:lvl w:ilvl="2" w:tplc="ADB80F0E" w:tentative="1">
      <w:start w:val="1"/>
      <w:numFmt w:val="bullet"/>
      <w:lvlText w:val=""/>
      <w:lvlJc w:val="left"/>
      <w:pPr>
        <w:ind w:left="2160" w:hanging="360"/>
      </w:pPr>
      <w:rPr>
        <w:rFonts w:ascii="Wingdings" w:hAnsi="Wingdings" w:hint="default"/>
      </w:rPr>
    </w:lvl>
    <w:lvl w:ilvl="3" w:tplc="FF0ACB4A" w:tentative="1">
      <w:start w:val="1"/>
      <w:numFmt w:val="bullet"/>
      <w:lvlText w:val=""/>
      <w:lvlJc w:val="left"/>
      <w:pPr>
        <w:ind w:left="2880" w:hanging="360"/>
      </w:pPr>
      <w:rPr>
        <w:rFonts w:ascii="Symbol" w:hAnsi="Symbol" w:hint="default"/>
      </w:rPr>
    </w:lvl>
    <w:lvl w:ilvl="4" w:tplc="761A561C" w:tentative="1">
      <w:start w:val="1"/>
      <w:numFmt w:val="bullet"/>
      <w:lvlText w:val="o"/>
      <w:lvlJc w:val="left"/>
      <w:pPr>
        <w:ind w:left="3600" w:hanging="360"/>
      </w:pPr>
      <w:rPr>
        <w:rFonts w:ascii="Courier New" w:hAnsi="Courier New" w:cs="Courier New" w:hint="default"/>
      </w:rPr>
    </w:lvl>
    <w:lvl w:ilvl="5" w:tplc="F998E6FE" w:tentative="1">
      <w:start w:val="1"/>
      <w:numFmt w:val="bullet"/>
      <w:lvlText w:val=""/>
      <w:lvlJc w:val="left"/>
      <w:pPr>
        <w:ind w:left="4320" w:hanging="360"/>
      </w:pPr>
      <w:rPr>
        <w:rFonts w:ascii="Wingdings" w:hAnsi="Wingdings" w:hint="default"/>
      </w:rPr>
    </w:lvl>
    <w:lvl w:ilvl="6" w:tplc="5A7CB360" w:tentative="1">
      <w:start w:val="1"/>
      <w:numFmt w:val="bullet"/>
      <w:lvlText w:val=""/>
      <w:lvlJc w:val="left"/>
      <w:pPr>
        <w:ind w:left="5040" w:hanging="360"/>
      </w:pPr>
      <w:rPr>
        <w:rFonts w:ascii="Symbol" w:hAnsi="Symbol" w:hint="default"/>
      </w:rPr>
    </w:lvl>
    <w:lvl w:ilvl="7" w:tplc="FC9EC75C" w:tentative="1">
      <w:start w:val="1"/>
      <w:numFmt w:val="bullet"/>
      <w:lvlText w:val="o"/>
      <w:lvlJc w:val="left"/>
      <w:pPr>
        <w:ind w:left="5760" w:hanging="360"/>
      </w:pPr>
      <w:rPr>
        <w:rFonts w:ascii="Courier New" w:hAnsi="Courier New" w:cs="Courier New" w:hint="default"/>
      </w:rPr>
    </w:lvl>
    <w:lvl w:ilvl="8" w:tplc="A36C14C6" w:tentative="1">
      <w:start w:val="1"/>
      <w:numFmt w:val="bullet"/>
      <w:lvlText w:val=""/>
      <w:lvlJc w:val="left"/>
      <w:pPr>
        <w:ind w:left="6480" w:hanging="360"/>
      </w:pPr>
      <w:rPr>
        <w:rFonts w:ascii="Wingdings" w:hAnsi="Wingdings" w:hint="default"/>
      </w:rPr>
    </w:lvl>
  </w:abstractNum>
  <w:abstractNum w:abstractNumId="2" w15:restartNumberingAfterBreak="0">
    <w:nsid w:val="1EC0601A"/>
    <w:multiLevelType w:val="multilevel"/>
    <w:tmpl w:val="2D740DBE"/>
    <w:styleLink w:val="Headings"/>
    <w:lvl w:ilvl="0">
      <w:start w:val="1"/>
      <w:numFmt w:val="decimal"/>
      <w:pStyle w:val="1"/>
      <w:lvlText w:val="%1"/>
      <w:lvlJc w:val="left"/>
      <w:pPr>
        <w:tabs>
          <w:tab w:val="num" w:pos="567"/>
        </w:tabs>
        <w:ind w:left="567" w:hanging="567"/>
      </w:pPr>
      <w:rPr>
        <w:rFonts w:hint="default"/>
      </w:rPr>
    </w:lvl>
    <w:lvl w:ilvl="1">
      <w:start w:val="1"/>
      <w:numFmt w:val="decimal"/>
      <w:pStyle w:val="2"/>
      <w:lvlText w:val="%1.%2"/>
      <w:lvlJc w:val="left"/>
      <w:pPr>
        <w:tabs>
          <w:tab w:val="num" w:pos="567"/>
        </w:tabs>
        <w:ind w:left="567" w:hanging="567"/>
      </w:pPr>
      <w:rPr>
        <w:rFonts w:hint="default"/>
      </w:rPr>
    </w:lvl>
    <w:lvl w:ilvl="2">
      <w:start w:val="1"/>
      <w:numFmt w:val="decimal"/>
      <w:pStyle w:val="3"/>
      <w:lvlText w:val="%1.%2.%3"/>
      <w:lvlJc w:val="left"/>
      <w:pPr>
        <w:tabs>
          <w:tab w:val="num" w:pos="567"/>
        </w:tabs>
        <w:ind w:left="567" w:hanging="567"/>
      </w:pPr>
      <w:rPr>
        <w:rFonts w:hint="default"/>
      </w:rPr>
    </w:lvl>
    <w:lvl w:ilvl="3">
      <w:start w:val="1"/>
      <w:numFmt w:val="decimal"/>
      <w:pStyle w:val="4"/>
      <w:lvlText w:val="%1.%2.%3.%4"/>
      <w:lvlJc w:val="left"/>
      <w:pPr>
        <w:tabs>
          <w:tab w:val="num" w:pos="567"/>
        </w:tabs>
        <w:ind w:left="567" w:hanging="567"/>
      </w:pPr>
      <w:rPr>
        <w:rFonts w:hint="default"/>
      </w:rPr>
    </w:lvl>
    <w:lvl w:ilvl="4">
      <w:start w:val="1"/>
      <w:numFmt w:val="decimal"/>
      <w:pStyle w:val="5"/>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3" w15:restartNumberingAfterBreak="0">
    <w:nsid w:val="225305B5"/>
    <w:multiLevelType w:val="hybridMultilevel"/>
    <w:tmpl w:val="4F8C24FA"/>
    <w:lvl w:ilvl="0" w:tplc="F5EE52B6">
      <w:start w:val="1"/>
      <w:numFmt w:val="bullet"/>
      <w:pStyle w:val="a"/>
      <w:lvlText w:val=""/>
      <w:lvlJc w:val="left"/>
      <w:pPr>
        <w:ind w:left="1440" w:hanging="360"/>
      </w:pPr>
      <w:rPr>
        <w:rFonts w:ascii="Symbol" w:hAnsi="Symbol" w:hint="default"/>
      </w:rPr>
    </w:lvl>
    <w:lvl w:ilvl="1" w:tplc="83223444" w:tentative="1">
      <w:start w:val="1"/>
      <w:numFmt w:val="bullet"/>
      <w:lvlText w:val="o"/>
      <w:lvlJc w:val="left"/>
      <w:pPr>
        <w:ind w:left="2160" w:hanging="360"/>
      </w:pPr>
      <w:rPr>
        <w:rFonts w:ascii="Courier New" w:hAnsi="Courier New" w:cs="Courier New" w:hint="default"/>
      </w:rPr>
    </w:lvl>
    <w:lvl w:ilvl="2" w:tplc="84AE6AF8" w:tentative="1">
      <w:start w:val="1"/>
      <w:numFmt w:val="bullet"/>
      <w:lvlText w:val=""/>
      <w:lvlJc w:val="left"/>
      <w:pPr>
        <w:ind w:left="2880" w:hanging="360"/>
      </w:pPr>
      <w:rPr>
        <w:rFonts w:ascii="Wingdings" w:hAnsi="Wingdings" w:hint="default"/>
      </w:rPr>
    </w:lvl>
    <w:lvl w:ilvl="3" w:tplc="1504A0BA" w:tentative="1">
      <w:start w:val="1"/>
      <w:numFmt w:val="bullet"/>
      <w:lvlText w:val=""/>
      <w:lvlJc w:val="left"/>
      <w:pPr>
        <w:ind w:left="3600" w:hanging="360"/>
      </w:pPr>
      <w:rPr>
        <w:rFonts w:ascii="Symbol" w:hAnsi="Symbol" w:hint="default"/>
      </w:rPr>
    </w:lvl>
    <w:lvl w:ilvl="4" w:tplc="7CFC5D9A" w:tentative="1">
      <w:start w:val="1"/>
      <w:numFmt w:val="bullet"/>
      <w:lvlText w:val="o"/>
      <w:lvlJc w:val="left"/>
      <w:pPr>
        <w:ind w:left="4320" w:hanging="360"/>
      </w:pPr>
      <w:rPr>
        <w:rFonts w:ascii="Courier New" w:hAnsi="Courier New" w:cs="Courier New" w:hint="default"/>
      </w:rPr>
    </w:lvl>
    <w:lvl w:ilvl="5" w:tplc="3954C476" w:tentative="1">
      <w:start w:val="1"/>
      <w:numFmt w:val="bullet"/>
      <w:lvlText w:val=""/>
      <w:lvlJc w:val="left"/>
      <w:pPr>
        <w:ind w:left="5040" w:hanging="360"/>
      </w:pPr>
      <w:rPr>
        <w:rFonts w:ascii="Wingdings" w:hAnsi="Wingdings" w:hint="default"/>
      </w:rPr>
    </w:lvl>
    <w:lvl w:ilvl="6" w:tplc="777C5288" w:tentative="1">
      <w:start w:val="1"/>
      <w:numFmt w:val="bullet"/>
      <w:lvlText w:val=""/>
      <w:lvlJc w:val="left"/>
      <w:pPr>
        <w:ind w:left="5760" w:hanging="360"/>
      </w:pPr>
      <w:rPr>
        <w:rFonts w:ascii="Symbol" w:hAnsi="Symbol" w:hint="default"/>
      </w:rPr>
    </w:lvl>
    <w:lvl w:ilvl="7" w:tplc="B24CBF8A" w:tentative="1">
      <w:start w:val="1"/>
      <w:numFmt w:val="bullet"/>
      <w:lvlText w:val="o"/>
      <w:lvlJc w:val="left"/>
      <w:pPr>
        <w:ind w:left="6480" w:hanging="360"/>
      </w:pPr>
      <w:rPr>
        <w:rFonts w:ascii="Courier New" w:hAnsi="Courier New" w:cs="Courier New" w:hint="default"/>
      </w:rPr>
    </w:lvl>
    <w:lvl w:ilvl="8" w:tplc="ABB49784" w:tentative="1">
      <w:start w:val="1"/>
      <w:numFmt w:val="bullet"/>
      <w:lvlText w:val=""/>
      <w:lvlJc w:val="left"/>
      <w:pPr>
        <w:ind w:left="7200" w:hanging="360"/>
      </w:pPr>
      <w:rPr>
        <w:rFonts w:ascii="Wingdings" w:hAnsi="Wingdings" w:hint="default"/>
      </w:rPr>
    </w:lvl>
  </w:abstractNum>
  <w:abstractNum w:abstractNumId="4" w15:restartNumberingAfterBreak="0">
    <w:nsid w:val="549F1D82"/>
    <w:multiLevelType w:val="hybridMultilevel"/>
    <w:tmpl w:val="734A7706"/>
    <w:lvl w:ilvl="0" w:tplc="3244ABFC">
      <w:start w:val="1"/>
      <w:numFmt w:val="decimal"/>
      <w:lvlText w:val="%1."/>
      <w:lvlJc w:val="left"/>
      <w:pPr>
        <w:ind w:left="720" w:hanging="360"/>
      </w:pPr>
      <w:rPr>
        <w:rFonts w:hint="default"/>
      </w:rPr>
    </w:lvl>
    <w:lvl w:ilvl="1" w:tplc="5BCACCD2" w:tentative="1">
      <w:start w:val="1"/>
      <w:numFmt w:val="lowerLetter"/>
      <w:lvlText w:val="%2."/>
      <w:lvlJc w:val="left"/>
      <w:pPr>
        <w:ind w:left="1440" w:hanging="360"/>
      </w:pPr>
    </w:lvl>
    <w:lvl w:ilvl="2" w:tplc="1A50D628" w:tentative="1">
      <w:start w:val="1"/>
      <w:numFmt w:val="lowerRoman"/>
      <w:lvlText w:val="%3."/>
      <w:lvlJc w:val="right"/>
      <w:pPr>
        <w:ind w:left="2160" w:hanging="180"/>
      </w:pPr>
    </w:lvl>
    <w:lvl w:ilvl="3" w:tplc="62269FA4" w:tentative="1">
      <w:start w:val="1"/>
      <w:numFmt w:val="decimal"/>
      <w:lvlText w:val="%4."/>
      <w:lvlJc w:val="left"/>
      <w:pPr>
        <w:ind w:left="2880" w:hanging="360"/>
      </w:pPr>
    </w:lvl>
    <w:lvl w:ilvl="4" w:tplc="C34823B2" w:tentative="1">
      <w:start w:val="1"/>
      <w:numFmt w:val="lowerLetter"/>
      <w:lvlText w:val="%5."/>
      <w:lvlJc w:val="left"/>
      <w:pPr>
        <w:ind w:left="3600" w:hanging="360"/>
      </w:pPr>
    </w:lvl>
    <w:lvl w:ilvl="5" w:tplc="AFC83340" w:tentative="1">
      <w:start w:val="1"/>
      <w:numFmt w:val="lowerRoman"/>
      <w:lvlText w:val="%6."/>
      <w:lvlJc w:val="right"/>
      <w:pPr>
        <w:ind w:left="4320" w:hanging="180"/>
      </w:pPr>
    </w:lvl>
    <w:lvl w:ilvl="6" w:tplc="6DAA831E" w:tentative="1">
      <w:start w:val="1"/>
      <w:numFmt w:val="decimal"/>
      <w:lvlText w:val="%7."/>
      <w:lvlJc w:val="left"/>
      <w:pPr>
        <w:ind w:left="5040" w:hanging="360"/>
      </w:pPr>
    </w:lvl>
    <w:lvl w:ilvl="7" w:tplc="95101AAC" w:tentative="1">
      <w:start w:val="1"/>
      <w:numFmt w:val="lowerLetter"/>
      <w:lvlText w:val="%8."/>
      <w:lvlJc w:val="left"/>
      <w:pPr>
        <w:ind w:left="5760" w:hanging="360"/>
      </w:pPr>
    </w:lvl>
    <w:lvl w:ilvl="8" w:tplc="9E30FD44" w:tentative="1">
      <w:start w:val="1"/>
      <w:numFmt w:val="lowerRoman"/>
      <w:lvlText w:val="%9."/>
      <w:lvlJc w:val="right"/>
      <w:pPr>
        <w:ind w:left="6480" w:hanging="180"/>
      </w:pPr>
    </w:lvl>
  </w:abstractNum>
  <w:abstractNum w:abstractNumId="5" w15:restartNumberingAfterBreak="0">
    <w:nsid w:val="683E6C4F"/>
    <w:multiLevelType w:val="hybridMultilevel"/>
    <w:tmpl w:val="E39A3936"/>
    <w:lvl w:ilvl="0" w:tplc="B1E41C36">
      <w:start w:val="1"/>
      <w:numFmt w:val="bullet"/>
      <w:lvlText w:val=""/>
      <w:lvlJc w:val="left"/>
      <w:pPr>
        <w:ind w:left="720" w:hanging="360"/>
      </w:pPr>
      <w:rPr>
        <w:rFonts w:ascii="Symbol" w:hAnsi="Symbol" w:hint="default"/>
      </w:rPr>
    </w:lvl>
    <w:lvl w:ilvl="1" w:tplc="928EBD4E" w:tentative="1">
      <w:start w:val="1"/>
      <w:numFmt w:val="bullet"/>
      <w:lvlText w:val="o"/>
      <w:lvlJc w:val="left"/>
      <w:pPr>
        <w:ind w:left="1440" w:hanging="360"/>
      </w:pPr>
      <w:rPr>
        <w:rFonts w:ascii="Courier New" w:hAnsi="Courier New" w:cs="Courier New" w:hint="default"/>
      </w:rPr>
    </w:lvl>
    <w:lvl w:ilvl="2" w:tplc="1332E95C" w:tentative="1">
      <w:start w:val="1"/>
      <w:numFmt w:val="bullet"/>
      <w:lvlText w:val=""/>
      <w:lvlJc w:val="left"/>
      <w:pPr>
        <w:ind w:left="2160" w:hanging="360"/>
      </w:pPr>
      <w:rPr>
        <w:rFonts w:ascii="Wingdings" w:hAnsi="Wingdings" w:hint="default"/>
      </w:rPr>
    </w:lvl>
    <w:lvl w:ilvl="3" w:tplc="ED046010" w:tentative="1">
      <w:start w:val="1"/>
      <w:numFmt w:val="bullet"/>
      <w:lvlText w:val=""/>
      <w:lvlJc w:val="left"/>
      <w:pPr>
        <w:ind w:left="2880" w:hanging="360"/>
      </w:pPr>
      <w:rPr>
        <w:rFonts w:ascii="Symbol" w:hAnsi="Symbol" w:hint="default"/>
      </w:rPr>
    </w:lvl>
    <w:lvl w:ilvl="4" w:tplc="D5385F76" w:tentative="1">
      <w:start w:val="1"/>
      <w:numFmt w:val="bullet"/>
      <w:lvlText w:val="o"/>
      <w:lvlJc w:val="left"/>
      <w:pPr>
        <w:ind w:left="3600" w:hanging="360"/>
      </w:pPr>
      <w:rPr>
        <w:rFonts w:ascii="Courier New" w:hAnsi="Courier New" w:cs="Courier New" w:hint="default"/>
      </w:rPr>
    </w:lvl>
    <w:lvl w:ilvl="5" w:tplc="C8A88776" w:tentative="1">
      <w:start w:val="1"/>
      <w:numFmt w:val="bullet"/>
      <w:lvlText w:val=""/>
      <w:lvlJc w:val="left"/>
      <w:pPr>
        <w:ind w:left="4320" w:hanging="360"/>
      </w:pPr>
      <w:rPr>
        <w:rFonts w:ascii="Wingdings" w:hAnsi="Wingdings" w:hint="default"/>
      </w:rPr>
    </w:lvl>
    <w:lvl w:ilvl="6" w:tplc="5B369CD8" w:tentative="1">
      <w:start w:val="1"/>
      <w:numFmt w:val="bullet"/>
      <w:lvlText w:val=""/>
      <w:lvlJc w:val="left"/>
      <w:pPr>
        <w:ind w:left="5040" w:hanging="360"/>
      </w:pPr>
      <w:rPr>
        <w:rFonts w:ascii="Symbol" w:hAnsi="Symbol" w:hint="default"/>
      </w:rPr>
    </w:lvl>
    <w:lvl w:ilvl="7" w:tplc="74EE6B64" w:tentative="1">
      <w:start w:val="1"/>
      <w:numFmt w:val="bullet"/>
      <w:lvlText w:val="o"/>
      <w:lvlJc w:val="left"/>
      <w:pPr>
        <w:ind w:left="5760" w:hanging="360"/>
      </w:pPr>
      <w:rPr>
        <w:rFonts w:ascii="Courier New" w:hAnsi="Courier New" w:cs="Courier New" w:hint="default"/>
      </w:rPr>
    </w:lvl>
    <w:lvl w:ilvl="8" w:tplc="45868356" w:tentative="1">
      <w:start w:val="1"/>
      <w:numFmt w:val="bullet"/>
      <w:lvlText w:val=""/>
      <w:lvlJc w:val="left"/>
      <w:pPr>
        <w:ind w:left="6480" w:hanging="360"/>
      </w:pPr>
      <w:rPr>
        <w:rFonts w:ascii="Wingdings" w:hAnsi="Wingdings" w:hint="default"/>
      </w:rPr>
    </w:lvl>
  </w:abstractNum>
  <w:abstractNum w:abstractNumId="6" w15:restartNumberingAfterBreak="0">
    <w:nsid w:val="6A173C1D"/>
    <w:multiLevelType w:val="multilevel"/>
    <w:tmpl w:val="61DCC3B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num w:numId="1" w16cid:durableId="1295872518">
    <w:abstractNumId w:val="0"/>
  </w:num>
  <w:num w:numId="2" w16cid:durableId="918830868">
    <w:abstractNumId w:val="4"/>
  </w:num>
  <w:num w:numId="3" w16cid:durableId="1506437863">
    <w:abstractNumId w:val="1"/>
  </w:num>
  <w:num w:numId="4" w16cid:durableId="1179193827">
    <w:abstractNumId w:val="5"/>
  </w:num>
  <w:num w:numId="5" w16cid:durableId="12528593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45891084">
    <w:abstractNumId w:val="3"/>
  </w:num>
  <w:num w:numId="7" w16cid:durableId="1646549618">
    <w:abstractNumId w:val="6"/>
  </w:num>
  <w:num w:numId="8" w16cid:durableId="1541477871">
    <w:abstractNumId w:val="6"/>
  </w:num>
  <w:num w:numId="9" w16cid:durableId="1020159406">
    <w:abstractNumId w:val="6"/>
  </w:num>
  <w:num w:numId="10" w16cid:durableId="566691084">
    <w:abstractNumId w:val="6"/>
  </w:num>
  <w:num w:numId="11" w16cid:durableId="1230505481">
    <w:abstractNumId w:val="6"/>
  </w:num>
  <w:num w:numId="12" w16cid:durableId="2105028659">
    <w:abstractNumId w:val="6"/>
  </w:num>
  <w:num w:numId="13" w16cid:durableId="452138950">
    <w:abstractNumId w:val="3"/>
  </w:num>
  <w:num w:numId="14" w16cid:durableId="1201168313">
    <w:abstractNumId w:val="2"/>
  </w:num>
  <w:num w:numId="15" w16cid:durableId="1184981004">
    <w:abstractNumId w:val="2"/>
  </w:num>
  <w:num w:numId="16" w16cid:durableId="224267096">
    <w:abstractNumId w:val="2"/>
  </w:num>
  <w:num w:numId="17" w16cid:durableId="143283714">
    <w:abstractNumId w:val="2"/>
  </w:num>
  <w:num w:numId="18" w16cid:durableId="131674677">
    <w:abstractNumId w:val="2"/>
  </w:num>
  <w:num w:numId="19" w16cid:durableId="6816673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bordersDoNotSurroundHeader/>
  <w:bordersDoNotSurroundFooter/>
  <w:attachedTemplate r:id="rId1"/>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D24"/>
    <w:rsid w:val="0001436A"/>
    <w:rsid w:val="00034304"/>
    <w:rsid w:val="00035434"/>
    <w:rsid w:val="00052A14"/>
    <w:rsid w:val="00077D53"/>
    <w:rsid w:val="00105FD9"/>
    <w:rsid w:val="00117666"/>
    <w:rsid w:val="001549D3"/>
    <w:rsid w:val="00160065"/>
    <w:rsid w:val="00177D84"/>
    <w:rsid w:val="00202A30"/>
    <w:rsid w:val="00267D18"/>
    <w:rsid w:val="002868E2"/>
    <w:rsid w:val="002869C3"/>
    <w:rsid w:val="002936E4"/>
    <w:rsid w:val="002B4A57"/>
    <w:rsid w:val="002B7515"/>
    <w:rsid w:val="002C74CA"/>
    <w:rsid w:val="003544FB"/>
    <w:rsid w:val="00376CC5"/>
    <w:rsid w:val="003A796A"/>
    <w:rsid w:val="003D2D47"/>
    <w:rsid w:val="003D2F2D"/>
    <w:rsid w:val="00401590"/>
    <w:rsid w:val="00447801"/>
    <w:rsid w:val="00452E9C"/>
    <w:rsid w:val="00463F84"/>
    <w:rsid w:val="004735C8"/>
    <w:rsid w:val="00487A52"/>
    <w:rsid w:val="004961FF"/>
    <w:rsid w:val="004B09D4"/>
    <w:rsid w:val="00511955"/>
    <w:rsid w:val="00517A89"/>
    <w:rsid w:val="005250F2"/>
    <w:rsid w:val="00536586"/>
    <w:rsid w:val="00577C4C"/>
    <w:rsid w:val="00593EEA"/>
    <w:rsid w:val="005A5EEE"/>
    <w:rsid w:val="006375C7"/>
    <w:rsid w:val="00654E8F"/>
    <w:rsid w:val="00660D05"/>
    <w:rsid w:val="006820B1"/>
    <w:rsid w:val="006B7D14"/>
    <w:rsid w:val="00701727"/>
    <w:rsid w:val="0070566C"/>
    <w:rsid w:val="00714C50"/>
    <w:rsid w:val="00725A7D"/>
    <w:rsid w:val="007501BE"/>
    <w:rsid w:val="00790BB3"/>
    <w:rsid w:val="007C206C"/>
    <w:rsid w:val="00803D24"/>
    <w:rsid w:val="0081227A"/>
    <w:rsid w:val="00817DD6"/>
    <w:rsid w:val="0088078F"/>
    <w:rsid w:val="00885156"/>
    <w:rsid w:val="009151AA"/>
    <w:rsid w:val="0093429D"/>
    <w:rsid w:val="00943573"/>
    <w:rsid w:val="00970F7D"/>
    <w:rsid w:val="00994A3D"/>
    <w:rsid w:val="009C2B12"/>
    <w:rsid w:val="009C70F3"/>
    <w:rsid w:val="009F066E"/>
    <w:rsid w:val="00A174D9"/>
    <w:rsid w:val="00A569CD"/>
    <w:rsid w:val="00AB5EE2"/>
    <w:rsid w:val="00AB6715"/>
    <w:rsid w:val="00B1671E"/>
    <w:rsid w:val="00B25EB8"/>
    <w:rsid w:val="00B354E1"/>
    <w:rsid w:val="00B37F4D"/>
    <w:rsid w:val="00C52A7B"/>
    <w:rsid w:val="00C56BAF"/>
    <w:rsid w:val="00C679AA"/>
    <w:rsid w:val="00C75972"/>
    <w:rsid w:val="00CB45F9"/>
    <w:rsid w:val="00CC0A3A"/>
    <w:rsid w:val="00CD066B"/>
    <w:rsid w:val="00CE4FEE"/>
    <w:rsid w:val="00D10E4C"/>
    <w:rsid w:val="00D35AA6"/>
    <w:rsid w:val="00D734BB"/>
    <w:rsid w:val="00DA5112"/>
    <w:rsid w:val="00DB59C3"/>
    <w:rsid w:val="00DC259A"/>
    <w:rsid w:val="00DE23E8"/>
    <w:rsid w:val="00E52377"/>
    <w:rsid w:val="00E64E17"/>
    <w:rsid w:val="00E77D0D"/>
    <w:rsid w:val="00E866C9"/>
    <w:rsid w:val="00E91381"/>
    <w:rsid w:val="00EA3D3C"/>
    <w:rsid w:val="00F46900"/>
    <w:rsid w:val="00F512B7"/>
    <w:rsid w:val="00F61D89"/>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decimalSymbol w:val="."/>
  <w:listSeparator w:val=","/>
  <w14:docId w14:val="664487BD"/>
  <w15:docId w15:val="{133E554D-C33E-435D-A5BC-605DF70AE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B6715"/>
    <w:pPr>
      <w:spacing w:before="120" w:after="240" w:line="240" w:lineRule="auto"/>
    </w:pPr>
    <w:rPr>
      <w:rFonts w:ascii="Times New Roman" w:hAnsi="Times New Roman"/>
      <w:sz w:val="24"/>
    </w:rPr>
  </w:style>
  <w:style w:type="paragraph" w:styleId="1">
    <w:name w:val="heading 1"/>
    <w:basedOn w:val="a"/>
    <w:next w:val="a0"/>
    <w:link w:val="10"/>
    <w:uiPriority w:val="2"/>
    <w:qFormat/>
    <w:rsid w:val="00AB6715"/>
    <w:pPr>
      <w:numPr>
        <w:numId w:val="19"/>
      </w:numPr>
      <w:spacing w:before="240"/>
      <w:contextualSpacing w:val="0"/>
      <w:outlineLvl w:val="0"/>
    </w:pPr>
    <w:rPr>
      <w:b/>
    </w:rPr>
  </w:style>
  <w:style w:type="paragraph" w:styleId="2">
    <w:name w:val="heading 2"/>
    <w:basedOn w:val="1"/>
    <w:next w:val="a0"/>
    <w:link w:val="20"/>
    <w:uiPriority w:val="2"/>
    <w:qFormat/>
    <w:rsid w:val="00AB6715"/>
    <w:pPr>
      <w:numPr>
        <w:ilvl w:val="1"/>
      </w:numPr>
      <w:spacing w:after="200"/>
      <w:outlineLvl w:val="1"/>
    </w:pPr>
  </w:style>
  <w:style w:type="paragraph" w:styleId="3">
    <w:name w:val="heading 3"/>
    <w:basedOn w:val="a0"/>
    <w:next w:val="a0"/>
    <w:link w:val="30"/>
    <w:uiPriority w:val="2"/>
    <w:qFormat/>
    <w:rsid w:val="00AB6715"/>
    <w:pPr>
      <w:keepNext/>
      <w:keepLines/>
      <w:numPr>
        <w:ilvl w:val="2"/>
        <w:numId w:val="19"/>
      </w:numPr>
      <w:spacing w:before="40" w:after="120"/>
      <w:outlineLvl w:val="2"/>
    </w:pPr>
    <w:rPr>
      <w:rFonts w:eastAsiaTheme="majorEastAsia" w:cstheme="majorBidi"/>
      <w:b/>
      <w:szCs w:val="24"/>
    </w:rPr>
  </w:style>
  <w:style w:type="paragraph" w:styleId="4">
    <w:name w:val="heading 4"/>
    <w:basedOn w:val="3"/>
    <w:next w:val="a0"/>
    <w:link w:val="40"/>
    <w:uiPriority w:val="2"/>
    <w:qFormat/>
    <w:rsid w:val="00AB6715"/>
    <w:pPr>
      <w:numPr>
        <w:ilvl w:val="3"/>
      </w:numPr>
      <w:outlineLvl w:val="3"/>
    </w:pPr>
    <w:rPr>
      <w:iCs/>
    </w:rPr>
  </w:style>
  <w:style w:type="paragraph" w:styleId="5">
    <w:name w:val="heading 5"/>
    <w:basedOn w:val="4"/>
    <w:next w:val="a0"/>
    <w:link w:val="50"/>
    <w:uiPriority w:val="2"/>
    <w:qFormat/>
    <w:rsid w:val="00AB6715"/>
    <w:pPr>
      <w:numPr>
        <w:ilvl w:val="4"/>
      </w:numPr>
      <w:outlineLvl w:val="4"/>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2"/>
    <w:rsid w:val="00AB6715"/>
    <w:rPr>
      <w:rFonts w:ascii="Times New Roman" w:eastAsia="Cambria" w:hAnsi="Times New Roman" w:cs="Times New Roman"/>
      <w:b/>
      <w:sz w:val="24"/>
      <w:szCs w:val="24"/>
    </w:rPr>
  </w:style>
  <w:style w:type="character" w:customStyle="1" w:styleId="20">
    <w:name w:val="見出し 2 (文字)"/>
    <w:basedOn w:val="a1"/>
    <w:link w:val="2"/>
    <w:uiPriority w:val="2"/>
    <w:rsid w:val="00AB6715"/>
    <w:rPr>
      <w:rFonts w:ascii="Times New Roman" w:eastAsia="Cambria" w:hAnsi="Times New Roman" w:cs="Times New Roman"/>
      <w:b/>
      <w:sz w:val="24"/>
      <w:szCs w:val="24"/>
    </w:rPr>
  </w:style>
  <w:style w:type="paragraph" w:styleId="a4">
    <w:name w:val="Subtitle"/>
    <w:basedOn w:val="a0"/>
    <w:next w:val="a0"/>
    <w:link w:val="a5"/>
    <w:uiPriority w:val="99"/>
    <w:unhideWhenUsed/>
    <w:qFormat/>
    <w:rsid w:val="00AB6715"/>
    <w:pPr>
      <w:spacing w:before="240"/>
    </w:pPr>
    <w:rPr>
      <w:rFonts w:cs="Times New Roman"/>
      <w:b/>
      <w:szCs w:val="24"/>
    </w:rPr>
  </w:style>
  <w:style w:type="character" w:customStyle="1" w:styleId="a5">
    <w:name w:val="副題 (文字)"/>
    <w:basedOn w:val="a1"/>
    <w:link w:val="a4"/>
    <w:uiPriority w:val="99"/>
    <w:rsid w:val="00AB6715"/>
    <w:rPr>
      <w:rFonts w:ascii="Times New Roman" w:hAnsi="Times New Roman" w:cs="Times New Roman"/>
      <w:b/>
      <w:sz w:val="24"/>
      <w:szCs w:val="24"/>
    </w:rPr>
  </w:style>
  <w:style w:type="paragraph" w:customStyle="1" w:styleId="AuthorList">
    <w:name w:val="Author List"/>
    <w:aliases w:val="Abstract,Keywords"/>
    <w:basedOn w:val="a4"/>
    <w:next w:val="a0"/>
    <w:qFormat/>
    <w:rsid w:val="00AB6715"/>
  </w:style>
  <w:style w:type="paragraph" w:styleId="a6">
    <w:name w:val="Balloon Text"/>
    <w:basedOn w:val="a0"/>
    <w:link w:val="a7"/>
    <w:uiPriority w:val="99"/>
    <w:semiHidden/>
    <w:unhideWhenUsed/>
    <w:rsid w:val="00AB6715"/>
    <w:pPr>
      <w:spacing w:after="0"/>
    </w:pPr>
    <w:rPr>
      <w:rFonts w:ascii="Tahoma" w:hAnsi="Tahoma" w:cs="Tahoma"/>
      <w:sz w:val="16"/>
      <w:szCs w:val="16"/>
    </w:rPr>
  </w:style>
  <w:style w:type="character" w:customStyle="1" w:styleId="a7">
    <w:name w:val="吹き出し (文字)"/>
    <w:basedOn w:val="a1"/>
    <w:link w:val="a6"/>
    <w:uiPriority w:val="99"/>
    <w:semiHidden/>
    <w:rsid w:val="00AB6715"/>
    <w:rPr>
      <w:rFonts w:ascii="Tahoma" w:hAnsi="Tahoma" w:cs="Tahoma"/>
      <w:sz w:val="16"/>
      <w:szCs w:val="16"/>
    </w:rPr>
  </w:style>
  <w:style w:type="character" w:styleId="a8">
    <w:name w:val="Book Title"/>
    <w:basedOn w:val="a1"/>
    <w:uiPriority w:val="33"/>
    <w:qFormat/>
    <w:rsid w:val="00AB6715"/>
    <w:rPr>
      <w:rFonts w:ascii="Times New Roman" w:hAnsi="Times New Roman"/>
      <w:b/>
      <w:bCs/>
      <w:i/>
      <w:iCs/>
      <w:spacing w:val="5"/>
    </w:rPr>
  </w:style>
  <w:style w:type="paragraph" w:styleId="a9">
    <w:name w:val="caption"/>
    <w:basedOn w:val="a0"/>
    <w:next w:val="aa"/>
    <w:uiPriority w:val="35"/>
    <w:unhideWhenUsed/>
    <w:qFormat/>
    <w:rsid w:val="00AB6715"/>
    <w:pPr>
      <w:keepNext/>
    </w:pPr>
    <w:rPr>
      <w:rFonts w:cs="Times New Roman"/>
      <w:b/>
      <w:bCs/>
      <w:szCs w:val="24"/>
    </w:rPr>
  </w:style>
  <w:style w:type="paragraph" w:styleId="aa">
    <w:name w:val="No Spacing"/>
    <w:uiPriority w:val="99"/>
    <w:unhideWhenUsed/>
    <w:qFormat/>
    <w:rsid w:val="00AB6715"/>
    <w:pPr>
      <w:spacing w:after="0" w:line="240" w:lineRule="auto"/>
    </w:pPr>
    <w:rPr>
      <w:rFonts w:ascii="Times New Roman" w:hAnsi="Times New Roman"/>
      <w:sz w:val="24"/>
    </w:rPr>
  </w:style>
  <w:style w:type="character" w:styleId="ab">
    <w:name w:val="annotation reference"/>
    <w:basedOn w:val="a1"/>
    <w:uiPriority w:val="99"/>
    <w:semiHidden/>
    <w:unhideWhenUsed/>
    <w:rsid w:val="00AB6715"/>
    <w:rPr>
      <w:sz w:val="16"/>
      <w:szCs w:val="16"/>
    </w:rPr>
  </w:style>
  <w:style w:type="paragraph" w:styleId="ac">
    <w:name w:val="annotation text"/>
    <w:basedOn w:val="a0"/>
    <w:link w:val="ad"/>
    <w:uiPriority w:val="99"/>
    <w:unhideWhenUsed/>
    <w:rsid w:val="00AB6715"/>
    <w:rPr>
      <w:sz w:val="20"/>
      <w:szCs w:val="20"/>
    </w:rPr>
  </w:style>
  <w:style w:type="character" w:customStyle="1" w:styleId="ad">
    <w:name w:val="コメント文字列 (文字)"/>
    <w:basedOn w:val="a1"/>
    <w:link w:val="ac"/>
    <w:uiPriority w:val="99"/>
    <w:rsid w:val="00AB6715"/>
    <w:rPr>
      <w:rFonts w:ascii="Times New Roman" w:hAnsi="Times New Roman"/>
      <w:sz w:val="20"/>
      <w:szCs w:val="20"/>
    </w:rPr>
  </w:style>
  <w:style w:type="paragraph" w:styleId="ae">
    <w:name w:val="annotation subject"/>
    <w:basedOn w:val="ac"/>
    <w:next w:val="ac"/>
    <w:link w:val="af"/>
    <w:uiPriority w:val="99"/>
    <w:semiHidden/>
    <w:unhideWhenUsed/>
    <w:rsid w:val="00AB6715"/>
    <w:rPr>
      <w:b/>
      <w:bCs/>
    </w:rPr>
  </w:style>
  <w:style w:type="character" w:customStyle="1" w:styleId="af">
    <w:name w:val="コメント内容 (文字)"/>
    <w:basedOn w:val="ad"/>
    <w:link w:val="ae"/>
    <w:uiPriority w:val="99"/>
    <w:semiHidden/>
    <w:rsid w:val="00AB6715"/>
    <w:rPr>
      <w:rFonts w:ascii="Times New Roman" w:hAnsi="Times New Roman"/>
      <w:b/>
      <w:bCs/>
      <w:sz w:val="20"/>
      <w:szCs w:val="20"/>
    </w:rPr>
  </w:style>
  <w:style w:type="character" w:styleId="af0">
    <w:name w:val="Emphasis"/>
    <w:basedOn w:val="a1"/>
    <w:uiPriority w:val="20"/>
    <w:qFormat/>
    <w:rsid w:val="00AB6715"/>
    <w:rPr>
      <w:rFonts w:ascii="Times New Roman" w:hAnsi="Times New Roman"/>
      <w:i/>
      <w:iCs/>
    </w:rPr>
  </w:style>
  <w:style w:type="character" w:styleId="af1">
    <w:name w:val="endnote reference"/>
    <w:basedOn w:val="a1"/>
    <w:uiPriority w:val="99"/>
    <w:semiHidden/>
    <w:unhideWhenUsed/>
    <w:rsid w:val="00AB6715"/>
    <w:rPr>
      <w:vertAlign w:val="superscript"/>
    </w:rPr>
  </w:style>
  <w:style w:type="paragraph" w:styleId="af2">
    <w:name w:val="endnote text"/>
    <w:basedOn w:val="a0"/>
    <w:link w:val="af3"/>
    <w:uiPriority w:val="99"/>
    <w:semiHidden/>
    <w:unhideWhenUsed/>
    <w:rsid w:val="00AB6715"/>
    <w:pPr>
      <w:spacing w:after="0"/>
    </w:pPr>
    <w:rPr>
      <w:sz w:val="20"/>
      <w:szCs w:val="20"/>
    </w:rPr>
  </w:style>
  <w:style w:type="character" w:customStyle="1" w:styleId="af3">
    <w:name w:val="文末脚注文字列 (文字)"/>
    <w:basedOn w:val="a1"/>
    <w:link w:val="af2"/>
    <w:uiPriority w:val="99"/>
    <w:semiHidden/>
    <w:rsid w:val="00AB6715"/>
    <w:rPr>
      <w:rFonts w:ascii="Times New Roman" w:hAnsi="Times New Roman"/>
      <w:sz w:val="20"/>
      <w:szCs w:val="20"/>
    </w:rPr>
  </w:style>
  <w:style w:type="character" w:styleId="af4">
    <w:name w:val="FollowedHyperlink"/>
    <w:basedOn w:val="a1"/>
    <w:uiPriority w:val="99"/>
    <w:semiHidden/>
    <w:unhideWhenUsed/>
    <w:rsid w:val="00AB6715"/>
    <w:rPr>
      <w:color w:val="800080" w:themeColor="followedHyperlink"/>
      <w:u w:val="single"/>
    </w:rPr>
  </w:style>
  <w:style w:type="paragraph" w:styleId="af5">
    <w:name w:val="footer"/>
    <w:basedOn w:val="a0"/>
    <w:link w:val="af6"/>
    <w:uiPriority w:val="99"/>
    <w:unhideWhenUsed/>
    <w:rsid w:val="00AB6715"/>
    <w:pPr>
      <w:tabs>
        <w:tab w:val="center" w:pos="4844"/>
        <w:tab w:val="right" w:pos="9689"/>
      </w:tabs>
      <w:spacing w:after="0"/>
    </w:pPr>
  </w:style>
  <w:style w:type="character" w:customStyle="1" w:styleId="af6">
    <w:name w:val="フッター (文字)"/>
    <w:basedOn w:val="a1"/>
    <w:link w:val="af5"/>
    <w:uiPriority w:val="99"/>
    <w:rsid w:val="00AB6715"/>
    <w:rPr>
      <w:rFonts w:ascii="Times New Roman" w:hAnsi="Times New Roman"/>
      <w:sz w:val="24"/>
    </w:rPr>
  </w:style>
  <w:style w:type="character" w:styleId="af7">
    <w:name w:val="footnote reference"/>
    <w:basedOn w:val="a1"/>
    <w:uiPriority w:val="99"/>
    <w:semiHidden/>
    <w:unhideWhenUsed/>
    <w:rsid w:val="00AB6715"/>
    <w:rPr>
      <w:vertAlign w:val="superscript"/>
    </w:rPr>
  </w:style>
  <w:style w:type="paragraph" w:styleId="af8">
    <w:name w:val="footnote text"/>
    <w:basedOn w:val="a0"/>
    <w:link w:val="af9"/>
    <w:uiPriority w:val="99"/>
    <w:semiHidden/>
    <w:unhideWhenUsed/>
    <w:rsid w:val="00AB6715"/>
    <w:pPr>
      <w:spacing w:after="0"/>
    </w:pPr>
    <w:rPr>
      <w:sz w:val="20"/>
      <w:szCs w:val="20"/>
    </w:rPr>
  </w:style>
  <w:style w:type="character" w:customStyle="1" w:styleId="af9">
    <w:name w:val="脚注文字列 (文字)"/>
    <w:basedOn w:val="a1"/>
    <w:link w:val="af8"/>
    <w:uiPriority w:val="99"/>
    <w:semiHidden/>
    <w:rsid w:val="00AB6715"/>
    <w:rPr>
      <w:rFonts w:ascii="Times New Roman" w:hAnsi="Times New Roman"/>
      <w:sz w:val="20"/>
      <w:szCs w:val="20"/>
    </w:rPr>
  </w:style>
  <w:style w:type="paragraph" w:styleId="afa">
    <w:name w:val="header"/>
    <w:basedOn w:val="a0"/>
    <w:link w:val="afb"/>
    <w:uiPriority w:val="99"/>
    <w:unhideWhenUsed/>
    <w:rsid w:val="00AB6715"/>
    <w:pPr>
      <w:tabs>
        <w:tab w:val="center" w:pos="4844"/>
        <w:tab w:val="right" w:pos="9689"/>
      </w:tabs>
    </w:pPr>
    <w:rPr>
      <w:b/>
    </w:rPr>
  </w:style>
  <w:style w:type="character" w:customStyle="1" w:styleId="afb">
    <w:name w:val="ヘッダー (文字)"/>
    <w:basedOn w:val="a1"/>
    <w:link w:val="afa"/>
    <w:uiPriority w:val="99"/>
    <w:rsid w:val="00AB6715"/>
    <w:rPr>
      <w:rFonts w:ascii="Times New Roman" w:hAnsi="Times New Roman"/>
      <w:b/>
      <w:sz w:val="24"/>
    </w:rPr>
  </w:style>
  <w:style w:type="paragraph" w:styleId="a">
    <w:name w:val="List Paragraph"/>
    <w:basedOn w:val="a0"/>
    <w:uiPriority w:val="3"/>
    <w:qFormat/>
    <w:rsid w:val="00AB6715"/>
    <w:pPr>
      <w:numPr>
        <w:numId w:val="13"/>
      </w:numPr>
      <w:contextualSpacing/>
    </w:pPr>
    <w:rPr>
      <w:rFonts w:eastAsia="Cambria" w:cs="Times New Roman"/>
      <w:szCs w:val="24"/>
    </w:rPr>
  </w:style>
  <w:style w:type="numbering" w:customStyle="1" w:styleId="Headings">
    <w:name w:val="Headings"/>
    <w:uiPriority w:val="99"/>
    <w:rsid w:val="00AB6715"/>
    <w:pPr>
      <w:numPr>
        <w:numId w:val="14"/>
      </w:numPr>
    </w:pPr>
  </w:style>
  <w:style w:type="character" w:styleId="afc">
    <w:name w:val="Hyperlink"/>
    <w:basedOn w:val="a1"/>
    <w:uiPriority w:val="99"/>
    <w:unhideWhenUsed/>
    <w:rsid w:val="00AB6715"/>
    <w:rPr>
      <w:color w:val="0000FF"/>
      <w:u w:val="single"/>
    </w:rPr>
  </w:style>
  <w:style w:type="character" w:styleId="21">
    <w:name w:val="Intense Emphasis"/>
    <w:basedOn w:val="a1"/>
    <w:uiPriority w:val="21"/>
    <w:unhideWhenUsed/>
    <w:rsid w:val="00AB6715"/>
    <w:rPr>
      <w:rFonts w:ascii="Times New Roman" w:hAnsi="Times New Roman"/>
      <w:i/>
      <w:iCs/>
      <w:color w:val="auto"/>
    </w:rPr>
  </w:style>
  <w:style w:type="character" w:styleId="22">
    <w:name w:val="Intense Reference"/>
    <w:basedOn w:val="a1"/>
    <w:uiPriority w:val="32"/>
    <w:qFormat/>
    <w:rsid w:val="00AB6715"/>
    <w:rPr>
      <w:b/>
      <w:bCs/>
      <w:smallCaps/>
      <w:color w:val="auto"/>
      <w:spacing w:val="5"/>
    </w:rPr>
  </w:style>
  <w:style w:type="character" w:styleId="afd">
    <w:name w:val="line number"/>
    <w:basedOn w:val="a1"/>
    <w:uiPriority w:val="99"/>
    <w:semiHidden/>
    <w:unhideWhenUsed/>
    <w:rsid w:val="00AB6715"/>
  </w:style>
  <w:style w:type="character" w:customStyle="1" w:styleId="30">
    <w:name w:val="見出し 3 (文字)"/>
    <w:basedOn w:val="a1"/>
    <w:link w:val="3"/>
    <w:uiPriority w:val="2"/>
    <w:rsid w:val="00AB6715"/>
    <w:rPr>
      <w:rFonts w:ascii="Times New Roman" w:eastAsiaTheme="majorEastAsia" w:hAnsi="Times New Roman" w:cstheme="majorBidi"/>
      <w:b/>
      <w:sz w:val="24"/>
      <w:szCs w:val="24"/>
    </w:rPr>
  </w:style>
  <w:style w:type="character" w:customStyle="1" w:styleId="40">
    <w:name w:val="見出し 4 (文字)"/>
    <w:basedOn w:val="a1"/>
    <w:link w:val="4"/>
    <w:uiPriority w:val="2"/>
    <w:rsid w:val="00AB6715"/>
    <w:rPr>
      <w:rFonts w:ascii="Times New Roman" w:eastAsiaTheme="majorEastAsia" w:hAnsi="Times New Roman" w:cstheme="majorBidi"/>
      <w:b/>
      <w:iCs/>
      <w:sz w:val="24"/>
      <w:szCs w:val="24"/>
    </w:rPr>
  </w:style>
  <w:style w:type="character" w:customStyle="1" w:styleId="50">
    <w:name w:val="見出し 5 (文字)"/>
    <w:basedOn w:val="a1"/>
    <w:link w:val="5"/>
    <w:uiPriority w:val="2"/>
    <w:rsid w:val="00AB6715"/>
    <w:rPr>
      <w:rFonts w:ascii="Times New Roman" w:eastAsiaTheme="majorEastAsia" w:hAnsi="Times New Roman" w:cstheme="majorBidi"/>
      <w:b/>
      <w:iCs/>
      <w:sz w:val="24"/>
      <w:szCs w:val="24"/>
    </w:rPr>
  </w:style>
  <w:style w:type="paragraph" w:styleId="Web">
    <w:name w:val="Normal (Web)"/>
    <w:basedOn w:val="a0"/>
    <w:uiPriority w:val="99"/>
    <w:unhideWhenUsed/>
    <w:rsid w:val="00AB6715"/>
    <w:pPr>
      <w:spacing w:before="100" w:beforeAutospacing="1" w:after="100" w:afterAutospacing="1"/>
    </w:pPr>
    <w:rPr>
      <w:rFonts w:eastAsia="Times New Roman" w:cs="Times New Roman"/>
      <w:szCs w:val="24"/>
    </w:rPr>
  </w:style>
  <w:style w:type="paragraph" w:styleId="afe">
    <w:name w:val="Quote"/>
    <w:basedOn w:val="a0"/>
    <w:next w:val="a0"/>
    <w:link w:val="aff"/>
    <w:uiPriority w:val="29"/>
    <w:qFormat/>
    <w:rsid w:val="00AB6715"/>
    <w:pPr>
      <w:spacing w:before="200" w:after="160"/>
      <w:ind w:left="864" w:right="864"/>
      <w:jc w:val="center"/>
    </w:pPr>
    <w:rPr>
      <w:i/>
      <w:iCs/>
      <w:color w:val="404040" w:themeColor="text1" w:themeTint="BF"/>
    </w:rPr>
  </w:style>
  <w:style w:type="character" w:customStyle="1" w:styleId="aff">
    <w:name w:val="引用文 (文字)"/>
    <w:basedOn w:val="a1"/>
    <w:link w:val="afe"/>
    <w:uiPriority w:val="29"/>
    <w:rsid w:val="00AB6715"/>
    <w:rPr>
      <w:rFonts w:ascii="Times New Roman" w:hAnsi="Times New Roman"/>
      <w:i/>
      <w:iCs/>
      <w:color w:val="404040" w:themeColor="text1" w:themeTint="BF"/>
      <w:sz w:val="24"/>
    </w:rPr>
  </w:style>
  <w:style w:type="character" w:styleId="aff0">
    <w:name w:val="Strong"/>
    <w:basedOn w:val="a1"/>
    <w:uiPriority w:val="22"/>
    <w:qFormat/>
    <w:rsid w:val="00AB6715"/>
    <w:rPr>
      <w:rFonts w:ascii="Times New Roman" w:hAnsi="Times New Roman"/>
      <w:b/>
      <w:bCs/>
    </w:rPr>
  </w:style>
  <w:style w:type="character" w:styleId="aff1">
    <w:name w:val="Subtle Emphasis"/>
    <w:basedOn w:val="a1"/>
    <w:uiPriority w:val="19"/>
    <w:qFormat/>
    <w:rsid w:val="00AB6715"/>
    <w:rPr>
      <w:rFonts w:ascii="Times New Roman" w:hAnsi="Times New Roman"/>
      <w:i/>
      <w:iCs/>
      <w:color w:val="404040" w:themeColor="text1" w:themeTint="BF"/>
    </w:rPr>
  </w:style>
  <w:style w:type="table" w:styleId="aff2">
    <w:name w:val="Table Grid"/>
    <w:basedOn w:val="a2"/>
    <w:uiPriority w:val="59"/>
    <w:rsid w:val="00AB6715"/>
    <w:pPr>
      <w:spacing w:after="0" w:line="240" w:lineRule="auto"/>
    </w:pPr>
    <w:rPr>
      <w:rFonts w:asciiTheme="majorHAnsi" w:hAnsiTheme="maj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Title"/>
    <w:basedOn w:val="a0"/>
    <w:next w:val="a0"/>
    <w:link w:val="aff4"/>
    <w:qFormat/>
    <w:rsid w:val="00AB6715"/>
    <w:pPr>
      <w:suppressLineNumbers/>
      <w:spacing w:before="240" w:after="360"/>
      <w:jc w:val="center"/>
    </w:pPr>
    <w:rPr>
      <w:rFonts w:cs="Times New Roman"/>
      <w:b/>
      <w:sz w:val="32"/>
      <w:szCs w:val="32"/>
    </w:rPr>
  </w:style>
  <w:style w:type="character" w:customStyle="1" w:styleId="aff4">
    <w:name w:val="表題 (文字)"/>
    <w:basedOn w:val="a1"/>
    <w:link w:val="aff3"/>
    <w:rsid w:val="00AB6715"/>
    <w:rPr>
      <w:rFonts w:ascii="Times New Roman" w:hAnsi="Times New Roman" w:cs="Times New Roman"/>
      <w:b/>
      <w:sz w:val="32"/>
      <w:szCs w:val="32"/>
    </w:rPr>
  </w:style>
  <w:style w:type="paragraph" w:customStyle="1" w:styleId="SupplementaryMaterial">
    <w:name w:val="Supplementary Material"/>
    <w:basedOn w:val="aff3"/>
    <w:next w:val="aff3"/>
    <w:qFormat/>
    <w:rsid w:val="0001436A"/>
    <w:pPr>
      <w:spacing w:after="120"/>
    </w:pPr>
    <w:rPr>
      <w:i/>
    </w:rPr>
  </w:style>
  <w:style w:type="paragraph" w:styleId="aff5">
    <w:name w:val="Revision"/>
    <w:hidden/>
    <w:uiPriority w:val="99"/>
    <w:semiHidden/>
    <w:rsid w:val="00803D24"/>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ah.eccles\OneDrive%20-%20Frontiers%20Media%20SA\Documents\Latex%20work\Sep%202022_link%20updates\Supplementary_Materi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CHICAGO.XSL" StyleName="Chicago"/>
</file>

<file path=customXml/item3.xml><?xml version="1.0" encoding="utf-8"?>
<ct:contentTypeSchema xmlns:ct="http://schemas.microsoft.com/office/2006/metadata/contentType" xmlns:ma="http://schemas.microsoft.com/office/2006/metadata/properties/metaAttributes" ct:_="" ma:_="" ma:contentTypeName="Document" ma:contentTypeID="0x01010026445AF306EBB441B7A6158762C40D43" ma:contentTypeVersion="28" ma:contentTypeDescription="Create a new document." ma:contentTypeScope="" ma:versionID="885ac53139f20652f850277d10459b85">
  <xsd:schema xmlns:xsd="http://www.w3.org/2001/XMLSchema" xmlns:xs="http://www.w3.org/2001/XMLSchema" xmlns:p="http://schemas.microsoft.com/office/2006/metadata/properties" xmlns:ns2="26005759-6815-4540-b8ea-913958d74f23" xmlns:ns3="970c08f3-bdc0-46be-888b-e62464d9f78c" targetNamespace="http://schemas.microsoft.com/office/2006/metadata/properties" ma:root="true" ma:fieldsID="b20dbcea35cbef169bcf39aab5233ab6" ns2:_="" ns3:_="">
    <xsd:import namespace="26005759-6815-4540-b8ea-913958d74f23"/>
    <xsd:import namespace="970c08f3-bdc0-46be-888b-e62464d9f78c"/>
    <xsd:element name="properties">
      <xsd:complexType>
        <xsd:sequence>
          <xsd:element name="documentManagement">
            <xsd:complexType>
              <xsd:all>
                <xsd:element ref="ns2:_dlc_DocIdUrl" minOccurs="0"/>
                <xsd:element ref="ns2:_dlc_DocId"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Status" minOccurs="0"/>
                <xsd:element ref="ns3:Lead" minOccurs="0"/>
                <xsd:element ref="ns3:Description" minOccurs="0"/>
                <xsd:element ref="ns3:_Flow_SignoffStatu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05759-6815-4540-b8ea-913958d74f23"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7" nillable="true" ma:displayName="Document ID Value" ma:description="The value of the document ID assigned to this item." ma:hidden="true" ma:internalName="_dlc_DocId" ma:readOnly="false">
      <xsd:simpleType>
        <xsd:restriction base="dms:Text"/>
      </xsd:simpleType>
    </xsd:element>
    <xsd:element name="_dlc_DocIdPersistId" ma:index="9" nillable="true" ma:displayName="Persist ID" ma:description="Keep ID on add." ma:hidden="true" ma:internalName="_dlc_DocIdPersistId" ma:readOnly="false">
      <xsd:simpleType>
        <xsd:restriction base="dms:Boolean"/>
      </xsd:simpleType>
    </xsd:element>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9" nillable="true" ma:displayName="Taxonomy Catch All Column" ma:hidden="true" ma:list="{43fa7804-5c1f-47ca-a814-a80f2ff05ca7}" ma:internalName="TaxCatchAll" ma:showField="CatchAllData" ma:web="26005759-6815-4540-b8ea-913958d74f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0c08f3-bdc0-46be-888b-e62464d9f7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Status" ma:index="18" nillable="true" ma:displayName="Status" ma:default="New" ma:description="Archive function" ma:format="Dropdown" ma:internalName="Status">
      <xsd:simpleType>
        <xsd:restriction base="dms:Choice">
          <xsd:enumeration value="New"/>
          <xsd:enumeration value="Ongoing"/>
          <xsd:enumeration value="Finished"/>
        </xsd:restriction>
      </xsd:simpleType>
    </xsd:element>
    <xsd:element name="Lead" ma:index="19" nillable="true" ma:displayName="Lead" ma:format="Dropdown" ma:list="UserInfo" ma:SharePointGroup="0" ma:internalName="Lea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 ma:index="20" nillable="true" ma:displayName="Description" ma:format="Dropdown" ma:internalName="Description">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465d274b-74f9-43c9-a5ca-fb7fe75b76d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26005759-6815-4540-b8ea-913958d74f23">FRONDOC-1086935359-10119</_dlc_DocId>
    <_dlc_DocIdUrl xmlns="26005759-6815-4540-b8ea-913958d74f23">
      <Url>https://frontiersin.sharepoint.com/Publishing/PubOps/Production/_layouts/15/DocIdRedir.aspx?ID=FRONDOC-1086935359-10119</Url>
      <Description>FRONDOC-1086935359-10119</Description>
    </_dlc_DocIdUrl>
    <_dlc_DocIdPersistId xmlns="26005759-6815-4540-b8ea-913958d74f23">false</_dlc_DocIdPersistId>
    <Description xmlns="970c08f3-bdc0-46be-888b-e62464d9f78c" xsi:nil="true"/>
    <Lead xmlns="970c08f3-bdc0-46be-888b-e62464d9f78c">
      <UserInfo>
        <DisplayName/>
        <AccountId xsi:nil="true"/>
        <AccountType/>
      </UserInfo>
    </Lead>
    <Status xmlns="970c08f3-bdc0-46be-888b-e62464d9f78c">New</Status>
    <_Flow_SignoffStatus xmlns="970c08f3-bdc0-46be-888b-e62464d9f78c" xsi:nil="true"/>
    <SharedWithUsers xmlns="26005759-6815-4540-b8ea-913958d74f23">
      <UserInfo>
        <DisplayName/>
        <AccountId xsi:nil="true"/>
        <AccountType/>
      </UserInfo>
    </SharedWithUsers>
    <lcf76f155ced4ddcb4097134ff3c332f xmlns="970c08f3-bdc0-46be-888b-e62464d9f78c">
      <Terms xmlns="http://schemas.microsoft.com/office/infopath/2007/PartnerControls"/>
    </lcf76f155ced4ddcb4097134ff3c332f>
    <TaxCatchAll xmlns="26005759-6815-4540-b8ea-913958d74f23" xsi:nil="true"/>
  </documentManagement>
</p:properties>
</file>

<file path=customXml/itemProps1.xml><?xml version="1.0" encoding="utf-8"?>
<ds:datastoreItem xmlns:ds="http://schemas.openxmlformats.org/officeDocument/2006/customXml" ds:itemID="{2558679B-78FB-42CD-A1EA-A99096AF5568}">
  <ds:schemaRefs>
    <ds:schemaRef ds:uri="http://schemas.microsoft.com/sharepoint/events"/>
  </ds:schemaRefs>
</ds:datastoreItem>
</file>

<file path=customXml/itemProps2.xml><?xml version="1.0" encoding="utf-8"?>
<ds:datastoreItem xmlns:ds="http://schemas.openxmlformats.org/officeDocument/2006/customXml" ds:itemID="{114314AF-3C36-4C2C-B599-40A76C6FFFC1}">
  <ds:schemaRefs>
    <ds:schemaRef ds:uri="http://schemas.openxmlformats.org/officeDocument/2006/bibliography"/>
  </ds:schemaRefs>
</ds:datastoreItem>
</file>

<file path=customXml/itemProps3.xml><?xml version="1.0" encoding="utf-8"?>
<ds:datastoreItem xmlns:ds="http://schemas.openxmlformats.org/officeDocument/2006/customXml" ds:itemID="{DFF441E3-103C-4487-877D-08CD22337C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005759-6815-4540-b8ea-913958d74f23"/>
    <ds:schemaRef ds:uri="970c08f3-bdc0-46be-888b-e62464d9f7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D4929F-83D0-432F-8F82-6D4423C25F5E}">
  <ds:schemaRefs>
    <ds:schemaRef ds:uri="http://schemas.microsoft.com/sharepoint/v3/contenttype/forms"/>
  </ds:schemaRefs>
</ds:datastoreItem>
</file>

<file path=customXml/itemProps5.xml><?xml version="1.0" encoding="utf-8"?>
<ds:datastoreItem xmlns:ds="http://schemas.openxmlformats.org/officeDocument/2006/customXml" ds:itemID="{4B2E0E22-D442-4EBE-AAA2-EDC8871E7B41}">
  <ds:schemaRefs>
    <ds:schemaRef ds:uri="http://schemas.microsoft.com/office/2006/metadata/properties"/>
    <ds:schemaRef ds:uri="http://schemas.microsoft.com/office/infopath/2007/PartnerControls"/>
    <ds:schemaRef ds:uri="26005759-6815-4540-b8ea-913958d74f23"/>
    <ds:schemaRef ds:uri="970c08f3-bdc0-46be-888b-e62464d9f78c"/>
  </ds:schemaRefs>
</ds:datastoreItem>
</file>

<file path=docProps/app.xml><?xml version="1.0" encoding="utf-8"?>
<Properties xmlns="http://schemas.openxmlformats.org/officeDocument/2006/extended-properties" xmlns:vt="http://schemas.openxmlformats.org/officeDocument/2006/docPropsVTypes">
  <Template>C:\Users\hannah.eccles\OneDrive - Frontiers Media SA\Documents\Latex work\Sep 2022_link updates\Supplementary_Material.dotx</Template>
  <TotalTime>143</TotalTime>
  <Pages>3</Pages>
  <Words>2666</Words>
  <Characters>2960</Characters>
  <Application>Microsoft Office Word</Application>
  <DocSecurity>0</DocSecurity>
  <Lines>105</Lines>
  <Paragraphs>24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Frontiers</dc:creator>
  <cp:lastModifiedBy>KATSUHIKO YONEDA</cp:lastModifiedBy>
  <cp:revision>9</cp:revision>
  <cp:lastPrinted>2013-10-03T12:51:00Z</cp:lastPrinted>
  <dcterms:created xsi:type="dcterms:W3CDTF">2024-05-26T17:57:00Z</dcterms:created>
  <dcterms:modified xsi:type="dcterms:W3CDTF">2024-12-20T04:27:00Z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0x01010026445AF306EBB441B7A6158762C40D43</vt:lpwstr>
  </property>
  <property fmtid="{D5CDD505-2E9C-101B-9397-08002B2CF9AE}" pid="4" name="MediaServiceImageTags">
    <vt:lpwstr/>
  </property>
  <property fmtid="{D5CDD505-2E9C-101B-9397-08002B2CF9AE}" pid="5" name="Order">
    <vt:r8>1011900</vt:r8>
  </property>
  <property fmtid="{D5CDD505-2E9C-101B-9397-08002B2CF9AE}" pid="6" name="TemplateUrl">
    <vt:lpwstr/>
  </property>
  <property fmtid="{D5CDD505-2E9C-101B-9397-08002B2CF9AE}" pid="7" name="xd_ProgID">
    <vt:lpwstr/>
  </property>
  <property fmtid="{D5CDD505-2E9C-101B-9397-08002B2CF9AE}" pid="8" name="xd_Signature">
    <vt:bool>false</vt:bool>
  </property>
  <property fmtid="{D5CDD505-2E9C-101B-9397-08002B2CF9AE}" pid="9" name="_dlc_DocIdItemGuid">
    <vt:lpwstr>f82bb101-9b00-462e-af01-9a0e7ec06274</vt:lpwstr>
  </property>
</Properties>
</file>