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DE" w:rsidRDefault="00A973DE" w:rsidP="00A973DE">
      <w:pPr>
        <w:spacing w:line="360" w:lineRule="auto"/>
        <w:jc w:val="left"/>
        <w:rPr>
          <w:rFonts w:ascii="Times New Roman" w:eastAsia="宋体" w:hAnsi="Times New Roman" w:cs="Arial"/>
          <w:b/>
          <w:bCs/>
          <w:kern w:val="32"/>
          <w:sz w:val="24"/>
          <w:szCs w:val="32"/>
          <w:lang w:val="en-GB" w:eastAsia="en-GB"/>
        </w:rPr>
      </w:pPr>
      <w:r w:rsidRPr="00A973DE">
        <w:rPr>
          <w:rFonts w:ascii="Times New Roman" w:eastAsia="宋体" w:hAnsi="Times New Roman" w:cs="Arial"/>
          <w:b/>
          <w:bCs/>
          <w:kern w:val="32"/>
          <w:sz w:val="24"/>
          <w:szCs w:val="32"/>
          <w:lang w:val="en-GB" w:eastAsia="en-GB"/>
        </w:rPr>
        <w:t>Supplementary</w:t>
      </w:r>
      <w:r>
        <w:rPr>
          <w:rFonts w:ascii="Times New Roman" w:eastAsia="宋体" w:hAnsi="Times New Roman" w:cs="Arial"/>
          <w:b/>
          <w:bCs/>
          <w:kern w:val="32"/>
          <w:sz w:val="24"/>
          <w:szCs w:val="32"/>
          <w:lang w:val="en-GB" w:eastAsia="en-GB"/>
        </w:rPr>
        <w:t xml:space="preserve"> </w:t>
      </w:r>
      <w:r w:rsidRPr="00A973DE">
        <w:rPr>
          <w:rFonts w:ascii="Times New Roman" w:eastAsia="宋体" w:hAnsi="Times New Roman" w:cs="Arial"/>
          <w:b/>
          <w:bCs/>
          <w:kern w:val="32"/>
          <w:sz w:val="24"/>
          <w:szCs w:val="32"/>
          <w:lang w:val="en-GB" w:eastAsia="en-GB"/>
        </w:rPr>
        <w:t>material</w:t>
      </w:r>
    </w:p>
    <w:p w:rsidR="00A973DE" w:rsidRDefault="00A973DE" w:rsidP="00A973DE">
      <w:pPr>
        <w:jc w:val="left"/>
        <w:rPr>
          <w:rFonts w:ascii="Times New Roman" w:eastAsia="宋体" w:hAnsi="Times New Roman"/>
          <w:color w:val="0070C0"/>
        </w:rPr>
      </w:pPr>
      <w:r>
        <w:rPr>
          <w:rFonts w:ascii="Times New Roman" w:eastAsia="宋体" w:hAnsi="Times New Roman"/>
          <w:color w:val="0070C0"/>
        </w:rPr>
        <w:t xml:space="preserve">Table 1 </w:t>
      </w:r>
      <w:r>
        <w:rPr>
          <w:rFonts w:ascii="Times New Roman" w:eastAsia="宋体" w:hAnsi="Times New Roman"/>
        </w:rPr>
        <w:t>Measuring items.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3273"/>
        <w:gridCol w:w="1003"/>
        <w:gridCol w:w="689"/>
        <w:gridCol w:w="689"/>
        <w:gridCol w:w="689"/>
        <w:gridCol w:w="1233"/>
      </w:tblGrid>
      <w:tr w:rsidR="00A973DE" w:rsidTr="00CA595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Code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Item description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Outer loadings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jc w:val="center"/>
              <w:outlineLvl w:val="1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VIF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outlineLvl w:val="1"/>
              <w:rPr>
                <w:b/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CR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outlineLvl w:val="1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AVE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outlineLvl w:val="1"/>
              <w:rPr>
                <w:b/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Cronbach's Alpha</w:t>
            </w:r>
          </w:p>
        </w:tc>
      </w:tr>
      <w:tr w:rsidR="00A973DE" w:rsidTr="00CA5958">
        <w:tc>
          <w:tcPr>
            <w:tcW w:w="24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  <w:proofErr w:type="spellStart"/>
            <w:r w:rsidRPr="00CA5958">
              <w:rPr>
                <w:b/>
                <w:sz w:val="21"/>
                <w:szCs w:val="21"/>
              </w:rPr>
              <w:t>SCRes</w:t>
            </w:r>
            <w:proofErr w:type="spellEnd"/>
            <w:r w:rsidRPr="00CA5958">
              <w:rPr>
                <w:b/>
                <w:sz w:val="21"/>
                <w:szCs w:val="21"/>
              </w:rPr>
              <w:t>:</w:t>
            </w:r>
            <w:r w:rsidRPr="00CA5958">
              <w:rPr>
                <w:color w:val="0070C0"/>
                <w:sz w:val="21"/>
                <w:szCs w:val="21"/>
              </w:rPr>
              <w:t xml:space="preserve"> Ali et al. (2023)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jc w:val="center"/>
              <w:rPr>
                <w:rFonts w:eastAsia="等线"/>
                <w:color w:val="00000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0.715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0.867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SCR1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are able to proactively update people, processes and systems in line with the changes in the external business environment</w:t>
            </w:r>
            <w:r w:rsidRPr="00CA5958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1.972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SCR2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have the capabilities and resources to effectively respond and adapt to unforeseen risks</w:t>
            </w:r>
            <w:r w:rsidRPr="00CA5958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0.823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1.887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SCR3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have multiple sources of suppliers and customers</w:t>
            </w:r>
            <w:r w:rsidRPr="00CA5958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SCR4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have the capabilities and resources to absorb and recover quickly from unexpected disruptions.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2.413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958" w:rsidRDefault="00A973DE" w:rsidP="00F00464">
            <w:pPr>
              <w:widowControl/>
              <w:jc w:val="left"/>
              <w:rPr>
                <w:b/>
                <w:sz w:val="21"/>
                <w:szCs w:val="21"/>
              </w:rPr>
            </w:pPr>
            <w:r w:rsidRPr="00CA5958">
              <w:rPr>
                <w:b/>
                <w:sz w:val="21"/>
                <w:szCs w:val="21"/>
              </w:rPr>
              <w:t>Information sharing and resource integration (G1):</w:t>
            </w:r>
          </w:p>
          <w:p w:rsidR="00A973DE" w:rsidRPr="00CA5958" w:rsidRDefault="00A973DE" w:rsidP="00F00464">
            <w:pPr>
              <w:widowControl/>
              <w:jc w:val="left"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color w:val="0070C0"/>
                <w:sz w:val="21"/>
                <w:szCs w:val="21"/>
              </w:rPr>
              <w:t>Dubey et al. (2020)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0.892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0.823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0.892</w:t>
            </w: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CO1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routinely share resources (i.e. information, expertise and infrastructure) among our SC partners.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0.897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2.411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CO2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work closely with our SC partners to design and implement operations in response to disasters.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0.911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2.780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CO3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share our risks and benefits with our SC partners.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0.913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2.857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958" w:rsidRDefault="00A973DE" w:rsidP="00F00464">
            <w:pPr>
              <w:widowControl/>
              <w:rPr>
                <w:sz w:val="21"/>
                <w:szCs w:val="21"/>
              </w:rPr>
            </w:pPr>
            <w:r w:rsidRPr="00CA5958">
              <w:rPr>
                <w:b/>
                <w:sz w:val="21"/>
                <w:szCs w:val="21"/>
              </w:rPr>
              <w:t>Rapid recognition and timely response (G2):</w:t>
            </w:r>
            <w:r w:rsidRPr="00CA5958">
              <w:rPr>
                <w:sz w:val="21"/>
                <w:szCs w:val="21"/>
              </w:rPr>
              <w:t xml:space="preserve"> </w:t>
            </w:r>
          </w:p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CA5958">
              <w:rPr>
                <w:color w:val="0070C0"/>
                <w:sz w:val="21"/>
                <w:szCs w:val="21"/>
              </w:rPr>
              <w:t>AlNuaimi</w:t>
            </w:r>
            <w:proofErr w:type="spellEnd"/>
            <w:r w:rsidRPr="00CA5958">
              <w:rPr>
                <w:color w:val="0070C0"/>
                <w:sz w:val="21"/>
                <w:szCs w:val="21"/>
              </w:rPr>
              <w:t xml:space="preserve"> et al. (2022)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0.892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0.803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0.878</w:t>
            </w: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SCA1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can rapidly adapt production, processes and activities to meet fluctuations in demand.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0.904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2.468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SCA2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can cope with problems from suppliers and partners rapidly.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0.869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2.249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SCA3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can implement decisions rapidly to respond to market and policy changes.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0.914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2.533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jc w:val="left"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b/>
                <w:sz w:val="21"/>
                <w:szCs w:val="21"/>
              </w:rPr>
              <w:t xml:space="preserve">Dynamic adjustments for continuous operation (G3): </w:t>
            </w:r>
            <w:proofErr w:type="spellStart"/>
            <w:r w:rsidRPr="00CA5958">
              <w:rPr>
                <w:color w:val="0070C0"/>
                <w:sz w:val="21"/>
                <w:szCs w:val="21"/>
              </w:rPr>
              <w:t>Aboelmaged</w:t>
            </w:r>
            <w:proofErr w:type="spellEnd"/>
            <w:r w:rsidRPr="00CA5958">
              <w:rPr>
                <w:color w:val="0070C0"/>
                <w:sz w:val="21"/>
                <w:szCs w:val="21"/>
              </w:rPr>
              <w:t xml:space="preserve"> (2018)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0.877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0.791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0.868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SCF1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The number of goods/services we offer can change rapidly.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0.872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2.199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SCF2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 xml:space="preserve">We are able to introduce new </w:t>
            </w:r>
            <w:r w:rsidRPr="00CA5958">
              <w:rPr>
                <w:sz w:val="21"/>
                <w:szCs w:val="21"/>
              </w:rPr>
              <w:lastRenderedPageBreak/>
              <w:t>goods/services quickly.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lastRenderedPageBreak/>
              <w:t>0.909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2.420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SCF3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are able to customize goods/services to meet customer needs.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2.235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958" w:rsidRDefault="00A973DE" w:rsidP="00F00464">
            <w:pPr>
              <w:widowControl/>
              <w:jc w:val="left"/>
              <w:rPr>
                <w:b/>
                <w:sz w:val="21"/>
                <w:szCs w:val="21"/>
              </w:rPr>
            </w:pPr>
            <w:r w:rsidRPr="00CA5958">
              <w:rPr>
                <w:b/>
                <w:sz w:val="21"/>
                <w:szCs w:val="21"/>
              </w:rPr>
              <w:t>Backup resour</w:t>
            </w:r>
            <w:r w:rsidR="00CA5958">
              <w:rPr>
                <w:b/>
                <w:sz w:val="21"/>
                <w:szCs w:val="21"/>
              </w:rPr>
              <w:t>ces and contingency plans (G4):</w:t>
            </w:r>
          </w:p>
          <w:p w:rsidR="00A973DE" w:rsidRPr="00CA5958" w:rsidRDefault="00A973DE" w:rsidP="00F00464">
            <w:pPr>
              <w:widowControl/>
              <w:jc w:val="left"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color w:val="0070C0"/>
                <w:sz w:val="21"/>
                <w:szCs w:val="21"/>
              </w:rPr>
              <w:t xml:space="preserve">Chowdhury and </w:t>
            </w:r>
            <w:proofErr w:type="spellStart"/>
            <w:r w:rsidRPr="00CA5958">
              <w:rPr>
                <w:color w:val="0070C0"/>
                <w:sz w:val="21"/>
                <w:szCs w:val="21"/>
              </w:rPr>
              <w:t>Quaddus</w:t>
            </w:r>
            <w:proofErr w:type="spellEnd"/>
            <w:r w:rsidRPr="00CA5958">
              <w:rPr>
                <w:color w:val="0070C0"/>
                <w:sz w:val="21"/>
                <w:szCs w:val="21"/>
              </w:rPr>
              <w:t xml:space="preserve"> (2017)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0.876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0.788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0.866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RD1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have backup suppliers</w:t>
            </w:r>
            <w:r w:rsidRPr="00CA5958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0.905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2.304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RD2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have a buffer stock of products</w:t>
            </w:r>
            <w:r w:rsidRPr="00CA5958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0.888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2.275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RD3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have backup transportation channels.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2.175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958" w:rsidRDefault="00A973DE" w:rsidP="00F00464">
            <w:pPr>
              <w:widowControl/>
              <w:jc w:val="left"/>
              <w:rPr>
                <w:b/>
                <w:sz w:val="21"/>
                <w:szCs w:val="21"/>
              </w:rPr>
            </w:pPr>
            <w:r w:rsidRPr="00CA5958">
              <w:rPr>
                <w:b/>
                <w:sz w:val="21"/>
                <w:szCs w:val="21"/>
              </w:rPr>
              <w:t>Transparenc</w:t>
            </w:r>
            <w:r w:rsidR="00CA5958">
              <w:rPr>
                <w:b/>
                <w:sz w:val="21"/>
                <w:szCs w:val="21"/>
              </w:rPr>
              <w:t>y and predictive capacity (A1):</w:t>
            </w:r>
          </w:p>
          <w:p w:rsidR="00A973DE" w:rsidRPr="00CA5958" w:rsidRDefault="00A973DE" w:rsidP="00F00464">
            <w:pPr>
              <w:widowControl/>
              <w:jc w:val="lef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CA5958">
              <w:rPr>
                <w:color w:val="0070C0"/>
                <w:sz w:val="21"/>
                <w:szCs w:val="21"/>
              </w:rPr>
              <w:t>Qader</w:t>
            </w:r>
            <w:proofErr w:type="spellEnd"/>
            <w:r w:rsidRPr="00CA5958">
              <w:rPr>
                <w:color w:val="0070C0"/>
                <w:sz w:val="21"/>
                <w:szCs w:val="21"/>
              </w:rPr>
              <w:t xml:space="preserve"> et al. (2022)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0.695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0.854</w:t>
            </w: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SCV1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Our suppliers are able to share inventory availability with us timely.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0.864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2.096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SCV2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Our suppliers are able to provide us with advance shipment notices timely.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1.862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SCV3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We obtain information from various sources to understand the overall market level supply and demand information timely.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0.832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1.908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rPr>
          <w:trHeight w:val="283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SCV4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Our SC partners are able to provide us with timely information on the status of goods in the distribution network.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1.925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958" w:rsidRDefault="00A973DE" w:rsidP="00F00464">
            <w:pPr>
              <w:widowControl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CA5958">
              <w:rPr>
                <w:b/>
                <w:color w:val="000000" w:themeColor="text1"/>
                <w:sz w:val="21"/>
                <w:szCs w:val="21"/>
              </w:rPr>
              <w:t>Agriculture 4.0 a</w:t>
            </w:r>
            <w:r w:rsidR="00CA5958">
              <w:rPr>
                <w:b/>
                <w:color w:val="000000" w:themeColor="text1"/>
                <w:sz w:val="21"/>
                <w:szCs w:val="21"/>
              </w:rPr>
              <w:t>nd digital transformation (A2):</w:t>
            </w:r>
          </w:p>
          <w:p w:rsidR="00A973DE" w:rsidRPr="00CA5958" w:rsidRDefault="00A973DE" w:rsidP="00F00464">
            <w:pPr>
              <w:widowControl/>
              <w:jc w:val="left"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color w:val="0070C0"/>
                <w:sz w:val="21"/>
                <w:szCs w:val="21"/>
              </w:rPr>
              <w:t>Le et al. (2024)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0.711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0.865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SCI1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 xml:space="preserve">With the digital transformation, </w:t>
            </w:r>
            <w:r w:rsidRPr="00CA5958">
              <w:rPr>
                <w:rFonts w:hint="eastAsia"/>
                <w:sz w:val="21"/>
                <w:szCs w:val="21"/>
              </w:rPr>
              <w:t>we</w:t>
            </w:r>
            <w:r w:rsidRPr="00CA5958">
              <w:rPr>
                <w:sz w:val="21"/>
                <w:szCs w:val="21"/>
              </w:rPr>
              <w:t xml:space="preserve"> will be able to take better advantage of SCM practices.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0.848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2.055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SCI2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Digital transformation enhances the flexibility of SCM in our company.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0.842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2.102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SCI3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</w:t>
            </w:r>
            <w:r w:rsidRPr="00CA5958">
              <w:rPr>
                <w:rFonts w:hint="eastAsia"/>
                <w:sz w:val="21"/>
                <w:szCs w:val="21"/>
              </w:rPr>
              <w:t>e</w:t>
            </w:r>
            <w:r w:rsidRPr="00CA5958">
              <w:rPr>
                <w:sz w:val="21"/>
                <w:szCs w:val="21"/>
              </w:rPr>
              <w:t xml:space="preserve"> benefits from digital transformation in terms of inventory and warehousing costs.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2.111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SCI4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W</w:t>
            </w:r>
            <w:r w:rsidRPr="00CA5958">
              <w:rPr>
                <w:rFonts w:hint="eastAsia"/>
                <w:sz w:val="21"/>
                <w:szCs w:val="21"/>
              </w:rPr>
              <w:t>e</w:t>
            </w:r>
            <w:r w:rsidRPr="00CA5958">
              <w:rPr>
                <w:sz w:val="21"/>
                <w:szCs w:val="21"/>
              </w:rPr>
              <w:t xml:space="preserve"> benefits from digital transformation in terms of logistics and transportation processes</w:t>
            </w:r>
            <w:r w:rsidRPr="00CA5958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1.912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958" w:rsidRDefault="00A973DE" w:rsidP="00F00464">
            <w:pPr>
              <w:widowControl/>
              <w:jc w:val="left"/>
              <w:rPr>
                <w:b/>
                <w:sz w:val="21"/>
                <w:szCs w:val="21"/>
              </w:rPr>
            </w:pPr>
            <w:r w:rsidRPr="00CA5958">
              <w:rPr>
                <w:b/>
                <w:sz w:val="21"/>
                <w:szCs w:val="21"/>
              </w:rPr>
              <w:t>Continuous learning</w:t>
            </w:r>
            <w:r w:rsidR="00CA5958">
              <w:rPr>
                <w:b/>
                <w:sz w:val="21"/>
                <w:szCs w:val="21"/>
              </w:rPr>
              <w:t xml:space="preserve"> and knowledge management (A3):</w:t>
            </w:r>
          </w:p>
          <w:p w:rsidR="00A973DE" w:rsidRPr="00CA5958" w:rsidRDefault="00A973DE" w:rsidP="00F00464">
            <w:pPr>
              <w:widowControl/>
              <w:jc w:val="lef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CA5958">
              <w:rPr>
                <w:color w:val="0070C0"/>
                <w:sz w:val="21"/>
                <w:szCs w:val="21"/>
              </w:rPr>
              <w:t>Waqas</w:t>
            </w:r>
            <w:proofErr w:type="spellEnd"/>
            <w:r w:rsidRPr="00CA5958">
              <w:rPr>
                <w:color w:val="0070C0"/>
                <w:sz w:val="21"/>
                <w:szCs w:val="21"/>
              </w:rPr>
              <w:t xml:space="preserve"> et al. (2023)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0.787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0.865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KM1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can generate new knowledge from existing knowledge.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0.871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2.142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KM2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 xml:space="preserve">We are able to utilize new </w:t>
            </w:r>
            <w:r w:rsidRPr="00CA5958">
              <w:rPr>
                <w:color w:val="000000" w:themeColor="text1"/>
                <w:sz w:val="21"/>
                <w:szCs w:val="21"/>
              </w:rPr>
              <w:lastRenderedPageBreak/>
              <w:t>knowledge.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lastRenderedPageBreak/>
              <w:t>0.893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2.212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KM3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are able to update our knowledge timely.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2.387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958" w:rsidRDefault="00CA5958" w:rsidP="00F00464">
            <w:pPr>
              <w:widowControl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Government Support (A4):</w:t>
            </w:r>
          </w:p>
          <w:p w:rsidR="00A973DE" w:rsidRPr="00CA5958" w:rsidRDefault="00A973DE" w:rsidP="00F00464">
            <w:pPr>
              <w:widowControl/>
              <w:jc w:val="lef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CA5958">
              <w:rPr>
                <w:color w:val="0070C0"/>
                <w:sz w:val="21"/>
                <w:szCs w:val="21"/>
              </w:rPr>
              <w:t>Falahat</w:t>
            </w:r>
            <w:proofErr w:type="spellEnd"/>
            <w:r w:rsidRPr="00CA5958">
              <w:rPr>
                <w:color w:val="0070C0"/>
                <w:sz w:val="21"/>
                <w:szCs w:val="21"/>
              </w:rPr>
              <w:t xml:space="preserve"> et al. (2021)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0.707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0.861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GS1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have received government support related to information.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1.876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GS2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have received government support related to training.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0.861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2.173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GS3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have received government support related to trade mobility.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0.863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2.220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GS4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have received government support related to subsidies.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1.867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958" w:rsidRDefault="00CA5958" w:rsidP="00F00464">
            <w:pPr>
              <w:widowControl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Climate change awareness (C1):</w:t>
            </w:r>
          </w:p>
          <w:p w:rsidR="00A973DE" w:rsidRPr="00CA5958" w:rsidRDefault="00CA5958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CA5958">
              <w:rPr>
                <w:color w:val="0070C0"/>
                <w:sz w:val="21"/>
                <w:szCs w:val="21"/>
              </w:rPr>
              <w:t>Todaro</w:t>
            </w:r>
            <w:proofErr w:type="spellEnd"/>
            <w:r w:rsidRPr="00CA5958">
              <w:rPr>
                <w:color w:val="0070C0"/>
                <w:sz w:val="21"/>
                <w:szCs w:val="21"/>
              </w:rPr>
              <w:t xml:space="preserve"> et al. (2020</w:t>
            </w:r>
            <w:r w:rsidR="00A973DE" w:rsidRPr="00CA5958">
              <w:rPr>
                <w:color w:val="0070C0"/>
                <w:sz w:val="21"/>
                <w:szCs w:val="21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0.789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0.866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SA1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Global warming and increasing frequency of extreme weather events will affect individual habits and lifestyles.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0.877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2.126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SA2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Environmental emergencies and extreme weather events may have relevant consequences on production activities and assets.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0.902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2.495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SA3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The increasing frequency and intensity of extreme weather events may cause severe implications to the SC.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2.208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34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jc w:val="left"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b/>
                <w:sz w:val="21"/>
                <w:szCs w:val="21"/>
              </w:rPr>
              <w:t xml:space="preserve">Diversification of agricultural products and SC networks (C2): Adapted from </w:t>
            </w:r>
            <w:r w:rsidRPr="00CA5958">
              <w:rPr>
                <w:color w:val="0070C0"/>
                <w:sz w:val="21"/>
                <w:szCs w:val="21"/>
              </w:rPr>
              <w:t>Lin (2011)</w:t>
            </w:r>
            <w:r w:rsidRPr="00CA5958">
              <w:rPr>
                <w:rFonts w:hint="eastAsia"/>
                <w:color w:val="0070C0"/>
                <w:sz w:val="21"/>
                <w:szCs w:val="21"/>
              </w:rPr>
              <w:t>,</w:t>
            </w:r>
            <w:r w:rsidRPr="00CA5958">
              <w:rPr>
                <w:color w:val="0070C0"/>
                <w:sz w:val="21"/>
                <w:szCs w:val="21"/>
              </w:rPr>
              <w:t xml:space="preserve"> Lin et al. (2021)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0.858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0.778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0.857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DV1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 xml:space="preserve">Diversified agricultural systems are essential to </w:t>
            </w:r>
            <w:proofErr w:type="spellStart"/>
            <w:r w:rsidRPr="00CA5958">
              <w:rPr>
                <w:color w:val="000000" w:themeColor="text1"/>
                <w:sz w:val="21"/>
                <w:szCs w:val="21"/>
              </w:rPr>
              <w:t>adress</w:t>
            </w:r>
            <w:proofErr w:type="spellEnd"/>
            <w:r w:rsidRPr="00CA5958">
              <w:rPr>
                <w:color w:val="000000" w:themeColor="text1"/>
                <w:sz w:val="21"/>
                <w:szCs w:val="21"/>
              </w:rPr>
              <w:t xml:space="preserve"> the challenges of climate change.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0.884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rFonts w:hint="eastAsia"/>
                <w:sz w:val="21"/>
                <w:szCs w:val="21"/>
              </w:rPr>
              <w:t>2.194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DV2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Diversified SC structures can effectively reduce climate risk.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0.887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rFonts w:hint="eastAsia"/>
                <w:sz w:val="21"/>
                <w:szCs w:val="21"/>
              </w:rPr>
              <w:t>2.153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DV3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Supporting wider adoption of diversified planting or farming practices in agricultural production is necessary.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rFonts w:hint="eastAsia"/>
                <w:sz w:val="21"/>
                <w:szCs w:val="21"/>
              </w:rPr>
              <w:t>2.097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3FDD" w:rsidRDefault="00A973DE" w:rsidP="00F00464">
            <w:pPr>
              <w:jc w:val="left"/>
              <w:rPr>
                <w:b/>
                <w:sz w:val="21"/>
                <w:szCs w:val="21"/>
              </w:rPr>
            </w:pPr>
            <w:r w:rsidRPr="00CA5958">
              <w:rPr>
                <w:b/>
                <w:sz w:val="21"/>
                <w:szCs w:val="21"/>
              </w:rPr>
              <w:t xml:space="preserve">Taking proactive climate action (C3): </w:t>
            </w:r>
          </w:p>
          <w:p w:rsidR="00A973DE" w:rsidRPr="00CA5958" w:rsidRDefault="00A973DE" w:rsidP="00F00464">
            <w:pPr>
              <w:jc w:val="left"/>
              <w:rPr>
                <w:sz w:val="21"/>
                <w:szCs w:val="21"/>
              </w:rPr>
            </w:pPr>
            <w:proofErr w:type="spellStart"/>
            <w:r w:rsidRPr="00CA5958">
              <w:rPr>
                <w:color w:val="0070C0"/>
                <w:sz w:val="21"/>
                <w:szCs w:val="21"/>
              </w:rPr>
              <w:t>Todaro</w:t>
            </w:r>
            <w:proofErr w:type="spellEnd"/>
            <w:r w:rsidRPr="00CA5958">
              <w:rPr>
                <w:color w:val="0070C0"/>
                <w:sz w:val="21"/>
                <w:szCs w:val="21"/>
              </w:rPr>
              <w:t xml:space="preserve"> et al. (2021)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0.864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0.775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0.856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AD1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will modify the procurement strategy in response to climate risks.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0.886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jc w:val="center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2.036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color w:val="0070C0"/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AD2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 xml:space="preserve">Our suppliers or customers will participate in GHG emissions </w:t>
            </w:r>
            <w:r w:rsidRPr="00CA5958">
              <w:rPr>
                <w:color w:val="000000" w:themeColor="text1"/>
                <w:sz w:val="21"/>
                <w:szCs w:val="21"/>
              </w:rPr>
              <w:lastRenderedPageBreak/>
              <w:t>mitigation initiatives.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lastRenderedPageBreak/>
              <w:t>0.866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jc w:val="center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2.138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AD3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Our suppliers or customers will participate in climate change adaptation initiatives (e.g., disclosure of CSR reports, development of green finance and investment).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jc w:val="center"/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2.245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3FDD" w:rsidRDefault="00A973DE" w:rsidP="00F00464">
            <w:pPr>
              <w:widowControl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CA5958">
              <w:rPr>
                <w:b/>
                <w:color w:val="000000" w:themeColor="text1"/>
                <w:sz w:val="21"/>
                <w:szCs w:val="21"/>
              </w:rPr>
              <w:t xml:space="preserve">Sustainable development orientation (C4): </w:t>
            </w:r>
          </w:p>
          <w:p w:rsidR="00A973DE" w:rsidRPr="00CA5958" w:rsidRDefault="00A973DE" w:rsidP="00F00464">
            <w:pPr>
              <w:widowControl/>
              <w:jc w:val="left"/>
              <w:rPr>
                <w:rFonts w:eastAsia="等线"/>
                <w:color w:val="000000"/>
                <w:sz w:val="21"/>
                <w:szCs w:val="21"/>
              </w:rPr>
            </w:pPr>
            <w:bookmarkStart w:id="0" w:name="_GoBack"/>
            <w:bookmarkEnd w:id="0"/>
            <w:proofErr w:type="spellStart"/>
            <w:r w:rsidRPr="00CA5958">
              <w:rPr>
                <w:color w:val="0070C0"/>
                <w:sz w:val="21"/>
                <w:szCs w:val="21"/>
              </w:rPr>
              <w:t>Aboelmaged</w:t>
            </w:r>
            <w:proofErr w:type="spellEnd"/>
            <w:r w:rsidRPr="00CA5958">
              <w:rPr>
                <w:color w:val="0070C0"/>
                <w:sz w:val="21"/>
                <w:szCs w:val="21"/>
              </w:rPr>
              <w:t xml:space="preserve"> and Hashem (2019)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widowControl/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0.783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rFonts w:eastAsia="等线"/>
                <w:color w:val="000000"/>
                <w:sz w:val="21"/>
                <w:szCs w:val="21"/>
              </w:rPr>
            </w:pPr>
            <w:r w:rsidRPr="00CA5958">
              <w:rPr>
                <w:rFonts w:eastAsia="等线"/>
                <w:color w:val="000000"/>
                <w:sz w:val="21"/>
                <w:szCs w:val="21"/>
              </w:rPr>
              <w:t>0.861</w:t>
            </w: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SS1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have a clear policy statement urging environmental awareness.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0.894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2.283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SS2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promote environmental preservation as a company goal.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0.876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2.052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  <w:tr w:rsidR="00A973DE" w:rsidTr="00CA5958"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SS3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CA595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A5958">
              <w:rPr>
                <w:color w:val="000000" w:themeColor="text1"/>
                <w:sz w:val="21"/>
                <w:szCs w:val="21"/>
              </w:rPr>
              <w:t>We are responsible for preserving the environment.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0.884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  <w:r w:rsidRPr="00CA5958">
              <w:rPr>
                <w:sz w:val="21"/>
                <w:szCs w:val="21"/>
              </w:rPr>
              <w:t>2.283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DE" w:rsidRPr="00CA5958" w:rsidRDefault="00A973DE" w:rsidP="00F00464">
            <w:pPr>
              <w:rPr>
                <w:sz w:val="21"/>
                <w:szCs w:val="21"/>
              </w:rPr>
            </w:pPr>
          </w:p>
        </w:tc>
      </w:tr>
    </w:tbl>
    <w:p w:rsidR="00E24A16" w:rsidRDefault="00E24A16"/>
    <w:p w:rsidR="00A973DE" w:rsidRDefault="00A973DE" w:rsidP="00A973DE">
      <w:pPr>
        <w:spacing w:line="360" w:lineRule="auto"/>
        <w:jc w:val="left"/>
        <w:rPr>
          <w:rFonts w:ascii="Times New Roman" w:eastAsia="宋体" w:hAnsi="Times New Roman" w:cs="Arial"/>
          <w:b/>
          <w:bCs/>
          <w:kern w:val="32"/>
          <w:sz w:val="24"/>
          <w:szCs w:val="32"/>
          <w:lang w:val="en-GB" w:eastAsia="en-GB"/>
        </w:rPr>
      </w:pPr>
      <w:r>
        <w:rPr>
          <w:rFonts w:ascii="Times New Roman" w:eastAsia="宋体" w:hAnsi="Times New Roman" w:cs="Arial"/>
          <w:b/>
          <w:bCs/>
          <w:kern w:val="32"/>
          <w:sz w:val="24"/>
          <w:szCs w:val="32"/>
          <w:lang w:val="en-GB" w:eastAsia="en-GB"/>
        </w:rPr>
        <w:t>References</w:t>
      </w:r>
    </w:p>
    <w:p w:rsidR="00A973DE" w:rsidRDefault="00A973DE" w:rsidP="00A973DE">
      <w:pPr>
        <w:ind w:left="720" w:hanging="720"/>
        <w:rPr>
          <w:rFonts w:ascii="Times New Roman" w:eastAsia="等线" w:hAnsi="Times New Roman" w:cs="Times New Roman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Aboelmaged, M. (2018). The drivers of sustainable manufacturing practices in Egyptian SMEs and their impact on competitive capabilities: A PLS-SEM model.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J. Cleaner Prod.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175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207-221. doi: 10.1016/j.jclepro.2017.12.053.</w:t>
      </w:r>
    </w:p>
    <w:p w:rsidR="00CA5958" w:rsidRDefault="00CA5958" w:rsidP="00CA5958">
      <w:pPr>
        <w:ind w:left="720" w:hanging="720"/>
        <w:rPr>
          <w:rFonts w:ascii="Times New Roman" w:eastAsia="等线" w:hAnsi="Times New Roman" w:cs="Times New Roman" w:hint="eastAsia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Aboelmaged, M., and Hashem, G. (2019). Absorptive capacity and green innovation adoption in SMEs: The mediating effects of sustainable organisational capabilities.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J. Cleaner Prod.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220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853-863. doi:</w:t>
      </w:r>
      <w:r>
        <w:rPr>
          <w:rFonts w:ascii="Times New Roman" w:eastAsia="等线" w:hAnsi="Times New Roman" w:cs="Times New Roman"/>
          <w:noProof/>
          <w:szCs w:val="21"/>
        </w:rPr>
        <w:t xml:space="preserve"> 10.1016/j.jclepro.2019.02.150.</w:t>
      </w:r>
    </w:p>
    <w:p w:rsidR="00A973DE" w:rsidRDefault="00A973DE" w:rsidP="00A973DE">
      <w:pPr>
        <w:ind w:left="720" w:hanging="720"/>
        <w:rPr>
          <w:rFonts w:ascii="Times New Roman" w:eastAsia="等线" w:hAnsi="Times New Roman" w:cs="Times New Roman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Ali, I., Arslan, A., Tarba, S., and Mainela, T. (2023). Supply chain resilience to climate change inflicted extreme events in agri-food industry: The role of social capital and network complexity.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Int. J. Prod. Econ.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264. doi: 10.1016/j.ijpe.2023.108968.</w:t>
      </w:r>
    </w:p>
    <w:p w:rsidR="00A973DE" w:rsidRDefault="00A973DE" w:rsidP="00A973DE">
      <w:pPr>
        <w:ind w:left="720" w:hanging="720"/>
        <w:rPr>
          <w:rFonts w:ascii="Times New Roman" w:eastAsia="等线" w:hAnsi="Times New Roman" w:cs="Times New Roman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AlNuaimi, B.K., Kumar Singh, S., Ren, S., Budhwar, P., and Vorobyev, D. (2022). Mastering digital transformation: The nexus between leadership, agility, and digital strategy.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J. Bus. Res.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145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636-648. doi: 10.1016/j.jbusres.2022.03.038.</w:t>
      </w:r>
    </w:p>
    <w:p w:rsidR="00A973DE" w:rsidRPr="00014DA8" w:rsidRDefault="00A973DE" w:rsidP="00A973DE">
      <w:pPr>
        <w:ind w:left="720" w:hanging="720"/>
        <w:rPr>
          <w:rFonts w:ascii="Times New Roman" w:eastAsia="等线" w:hAnsi="Times New Roman" w:cs="Times New Roman" w:hint="eastAsia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Chowdhury, M.M.H., and Quaddus, M. (2017). Supply chain resilience: Conceptualization and scale development using dynamic capability theory.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Int. J. Prod. Econ.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188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185-204. doi: 10.1016/j.ijpe.2017.03.020.</w:t>
      </w:r>
    </w:p>
    <w:p w:rsidR="00A973DE" w:rsidRDefault="00A973DE" w:rsidP="00A973DE">
      <w:pPr>
        <w:ind w:left="720" w:hanging="720"/>
        <w:rPr>
          <w:rFonts w:ascii="Times New Roman" w:eastAsia="等线" w:hAnsi="Times New Roman" w:cs="Times New Roman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Dubey, R., Gunasekaran, A., Bryde, D.J., Dwivedi, Y.K., and Papadopoulos, T. (2020). Blockchain technology for enhancing swift-trust, collaboration and resilience within a humanitarian supply chain setting.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Int. J. Prod. Res.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58(11)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3381-3398. doi: 10.1080/00207543.2020.1722860.</w:t>
      </w:r>
    </w:p>
    <w:p w:rsidR="00CA5958" w:rsidRDefault="00CA5958" w:rsidP="00CA5958">
      <w:pPr>
        <w:ind w:left="720" w:hanging="720"/>
        <w:rPr>
          <w:rFonts w:ascii="Times New Roman" w:eastAsia="等线" w:hAnsi="Times New Roman" w:cs="Times New Roman" w:hint="eastAsia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Falahat, M., Lee, Y.-Y., Soto-Acosta, P., and Ramayah, T. (2021). Entrepreneurial, market, learning and networking orientations as determinants of business capability and international performance: the contingent role of government support.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Int. Entre.p Manag. J.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17(4)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1759-1780. doi: 10.1007/s11365-020-00738-y.</w:t>
      </w:r>
    </w:p>
    <w:p w:rsidR="00A973DE" w:rsidRDefault="00A973DE" w:rsidP="00A973DE">
      <w:pPr>
        <w:ind w:left="720" w:hanging="720"/>
        <w:rPr>
          <w:rFonts w:ascii="Times New Roman" w:eastAsia="等线" w:hAnsi="Times New Roman" w:cs="Times New Roman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Le, T.T., Phan Vo Nhu, Q., Bui Ngoc Bao, T., Vu Nguyen Thao, L., and Pereira, V. (2024). Digitalisation driving sustainable corporate performance: The mediation of green innovation and green supply chain management.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J. Cleaner Prod.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446. doi: 10.1016/j.jclepro.2024.141290.</w:t>
      </w:r>
    </w:p>
    <w:p w:rsidR="00CA5958" w:rsidRPr="00014DA8" w:rsidRDefault="00CA5958" w:rsidP="00CA5958">
      <w:pPr>
        <w:ind w:left="720" w:hanging="720"/>
        <w:rPr>
          <w:rFonts w:ascii="Times New Roman" w:eastAsia="等线" w:hAnsi="Times New Roman" w:cs="Times New Roman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lastRenderedPageBreak/>
        <w:t xml:space="preserve">Lin, B.B. (2011). Resilience in Agriculture through Crop Diversification: Adaptive Management for Environmental Change.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BioScience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61(3)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183-193. doi: 10.1525/bio.2011.61.3.4.</w:t>
      </w:r>
    </w:p>
    <w:p w:rsidR="00CA5958" w:rsidRDefault="00CA5958" w:rsidP="00CA5958">
      <w:pPr>
        <w:ind w:left="720" w:hanging="720"/>
        <w:rPr>
          <w:rFonts w:ascii="Times New Roman" w:eastAsia="等线" w:hAnsi="Times New Roman" w:cs="Times New Roman" w:hint="eastAsia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Lin, Y., Fan, D., Shi, X., and Fu, M. (2021). The effects of supply chain diversification during the COVID-19 crisis: Evidence from Chinese manufacturers.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Transport Res. E-Log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155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102493. </w:t>
      </w:r>
      <w:r>
        <w:rPr>
          <w:rFonts w:ascii="Times New Roman" w:eastAsia="等线" w:hAnsi="Times New Roman" w:cs="Times New Roman"/>
          <w:noProof/>
          <w:szCs w:val="21"/>
        </w:rPr>
        <w:t>doi: 10.1016/j.tre.2021.102493.</w:t>
      </w:r>
    </w:p>
    <w:p w:rsidR="00A973DE" w:rsidRDefault="00A973DE" w:rsidP="00A973DE">
      <w:pPr>
        <w:ind w:left="720" w:hanging="720"/>
        <w:rPr>
          <w:rFonts w:ascii="Times New Roman" w:eastAsia="等线" w:hAnsi="Times New Roman" w:cs="Times New Roman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Qader, G., Junaid, M., Abbas, Q., and Mubarik, M.S. (2022). Industry 4.0 enables supply chain resilience and supply chain performance.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Technol. Forecasting Social Change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185. doi: 10.1016/j.techfore.2022.122026.</w:t>
      </w:r>
    </w:p>
    <w:p w:rsidR="00CA5958" w:rsidRPr="00014DA8" w:rsidRDefault="00CA5958" w:rsidP="00CA5958">
      <w:pPr>
        <w:ind w:left="720" w:hanging="720"/>
        <w:rPr>
          <w:rFonts w:ascii="Times New Roman" w:eastAsia="等线" w:hAnsi="Times New Roman" w:cs="Times New Roman" w:hint="eastAsia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Todaro, N.M., Testa, F., Daddi, T., and Iraldo, F. (2020). The influence of managers' awareness of climate change, perceived climate risk exposure and risk tolerance on the adoption of corporate responses to climate change.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Bus. Strateg. Environ.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30(2)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12</w:t>
      </w:r>
      <w:r>
        <w:rPr>
          <w:rFonts w:ascii="Times New Roman" w:eastAsia="等线" w:hAnsi="Times New Roman" w:cs="Times New Roman"/>
          <w:noProof/>
          <w:szCs w:val="21"/>
        </w:rPr>
        <w:t>32-1248. doi: 10.1002/bse.2681.</w:t>
      </w:r>
    </w:p>
    <w:p w:rsidR="00CA5958" w:rsidRPr="00CA5958" w:rsidRDefault="00A973DE" w:rsidP="00CA5958">
      <w:pPr>
        <w:ind w:left="720" w:hanging="720"/>
        <w:rPr>
          <w:rFonts w:ascii="Times New Roman" w:eastAsia="等线" w:hAnsi="Times New Roman" w:cs="Times New Roman" w:hint="eastAsia"/>
          <w:noProof/>
          <w:szCs w:val="21"/>
        </w:rPr>
      </w:pPr>
      <w:r w:rsidRPr="00014DA8">
        <w:rPr>
          <w:rFonts w:ascii="Times New Roman" w:eastAsia="等线" w:hAnsi="Times New Roman" w:cs="Times New Roman"/>
          <w:noProof/>
          <w:szCs w:val="21"/>
        </w:rPr>
        <w:t xml:space="preserve">Waqas, U., Abd Rahman, A., Ismail, N.W., Kamal Basha, N., and Umair, S. (2023). Influence of supply chain risk management and its mediating role on supply chain performance: perspectives from an agri-fresh produce. </w:t>
      </w:r>
      <w:r w:rsidRPr="00014DA8">
        <w:rPr>
          <w:rFonts w:ascii="Times New Roman" w:eastAsia="等线" w:hAnsi="Times New Roman" w:cs="Times New Roman"/>
          <w:i/>
          <w:noProof/>
          <w:szCs w:val="21"/>
        </w:rPr>
        <w:t>Ann. Oper. Res.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324(1-2)</w:t>
      </w:r>
      <w:r w:rsidRPr="00014DA8">
        <w:rPr>
          <w:rFonts w:ascii="Times New Roman" w:eastAsia="等线" w:hAnsi="Times New Roman" w:cs="Times New Roman"/>
          <w:b/>
          <w:noProof/>
          <w:szCs w:val="21"/>
        </w:rPr>
        <w:t>,</w:t>
      </w:r>
      <w:r w:rsidRPr="00014DA8">
        <w:rPr>
          <w:rFonts w:ascii="Times New Roman" w:eastAsia="等线" w:hAnsi="Times New Roman" w:cs="Times New Roman"/>
          <w:noProof/>
          <w:szCs w:val="21"/>
        </w:rPr>
        <w:t xml:space="preserve"> 1399-1427. doi: 10.1007/s10479-022-04702-7.</w:t>
      </w:r>
    </w:p>
    <w:sectPr w:rsidR="00CA5958" w:rsidRPr="00CA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DE"/>
    <w:rsid w:val="000A3FDD"/>
    <w:rsid w:val="00A973DE"/>
    <w:rsid w:val="00CA5958"/>
    <w:rsid w:val="00E2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6665"/>
  <w15:chartTrackingRefBased/>
  <w15:docId w15:val="{1F44674F-63CE-4345-BDCB-BF61EBEC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973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2024-08-27T13:47:00Z</dcterms:created>
  <dcterms:modified xsi:type="dcterms:W3CDTF">2024-08-27T14:13:00Z</dcterms:modified>
</cp:coreProperties>
</file>