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1E4DD724" w:rsidR="00994A3D" w:rsidRPr="001549D3" w:rsidRDefault="00F445E8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9FF2C6A" wp14:editId="3D579D60">
            <wp:extent cx="5943600" cy="3155950"/>
            <wp:effectExtent l="0" t="0" r="0" b="6350"/>
            <wp:docPr id="1450422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76C6965F" w:rsidR="00994A3D" w:rsidRPr="002B4A57" w:rsidRDefault="00994A3D" w:rsidP="00A5581E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F445E8" w:rsidRPr="00F445E8">
        <w:rPr>
          <w:rFonts w:cs="Times New Roman"/>
          <w:szCs w:val="24"/>
        </w:rPr>
        <w:t xml:space="preserve"> </w:t>
      </w:r>
      <w:proofErr w:type="spellStart"/>
      <w:r w:rsidR="00F445E8" w:rsidRPr="00F445E8">
        <w:rPr>
          <w:rFonts w:cs="Times New Roman"/>
          <w:i/>
          <w:iCs/>
          <w:szCs w:val="24"/>
        </w:rPr>
        <w:t>Foc</w:t>
      </w:r>
      <w:proofErr w:type="spellEnd"/>
      <w:r w:rsidR="00F445E8" w:rsidRPr="00F445E8">
        <w:rPr>
          <w:rFonts w:cs="Times New Roman"/>
          <w:szCs w:val="24"/>
        </w:rPr>
        <w:t xml:space="preserve"> inoculation responses in seedlings of NR and NS NILs. (A) Culture of the </w:t>
      </w:r>
      <w:proofErr w:type="spellStart"/>
      <w:r w:rsidR="00F445E8" w:rsidRPr="00A5581E">
        <w:rPr>
          <w:rFonts w:cs="Times New Roman"/>
          <w:i/>
          <w:iCs/>
          <w:szCs w:val="24"/>
        </w:rPr>
        <w:t>Foc</w:t>
      </w:r>
      <w:proofErr w:type="spellEnd"/>
      <w:r w:rsidR="00F445E8" w:rsidRPr="00F445E8">
        <w:rPr>
          <w:rFonts w:cs="Times New Roman"/>
          <w:szCs w:val="24"/>
        </w:rPr>
        <w:t xml:space="preserve"> pathogen isolated from the soil in the plastic greenhouse used for FW resistance screening. (B) </w:t>
      </w:r>
      <w:r w:rsidR="00F445E8" w:rsidRPr="00F445E8">
        <w:rPr>
          <w:rFonts w:cs="Times New Roman"/>
          <w:szCs w:val="24"/>
        </w:rPr>
        <w:lastRenderedPageBreak/>
        <w:t xml:space="preserve">At seedling stage, 4 days after </w:t>
      </w:r>
      <w:proofErr w:type="spellStart"/>
      <w:r w:rsidR="00F445E8" w:rsidRPr="00F445E8">
        <w:rPr>
          <w:rFonts w:cs="Times New Roman"/>
          <w:i/>
          <w:iCs/>
          <w:szCs w:val="24"/>
        </w:rPr>
        <w:t>Foc</w:t>
      </w:r>
      <w:proofErr w:type="spellEnd"/>
      <w:r w:rsidR="00F445E8" w:rsidRPr="00F445E8">
        <w:rPr>
          <w:rFonts w:cs="Times New Roman"/>
          <w:szCs w:val="24"/>
        </w:rPr>
        <w:t xml:space="preserve"> inoculation, chlorosis of the cotyledons and first true leaves are clearly visible in NS but not in NR.</w:t>
      </w:r>
    </w:p>
    <w:p w14:paraId="58F1AED1" w14:textId="2B0AC33B" w:rsidR="00DE23E8" w:rsidRDefault="00F445E8" w:rsidP="00654E8F">
      <w:pPr>
        <w:spacing w:before="240"/>
      </w:pPr>
      <w:r>
        <w:rPr>
          <w:noProof/>
        </w:rPr>
        <w:drawing>
          <wp:inline distT="0" distB="0" distL="0" distR="0" wp14:anchorId="56F085E0" wp14:editId="644CBB3D">
            <wp:extent cx="5943600" cy="3230245"/>
            <wp:effectExtent l="0" t="0" r="0" b="8255"/>
            <wp:docPr id="10117392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0611" w14:textId="3B86059C" w:rsidR="00F445E8" w:rsidRDefault="00F445E8" w:rsidP="00A5581E">
      <w:pPr>
        <w:spacing w:before="240"/>
        <w:jc w:val="both"/>
        <w:rPr>
          <w:rFonts w:cs="Times New Roman"/>
          <w:bCs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 xml:space="preserve">2. </w:t>
      </w:r>
      <w:r w:rsidRPr="00F445E8">
        <w:rPr>
          <w:rFonts w:cs="Times New Roman"/>
          <w:bCs/>
          <w:szCs w:val="24"/>
          <w:lang w:eastAsia="zh-CN"/>
        </w:rPr>
        <w:t xml:space="preserve">Validation of selected DEGs with </w:t>
      </w:r>
      <w:proofErr w:type="spellStart"/>
      <w:r w:rsidRPr="00F445E8">
        <w:rPr>
          <w:rFonts w:cs="Times New Roman"/>
          <w:bCs/>
          <w:szCs w:val="24"/>
          <w:lang w:eastAsia="zh-CN"/>
        </w:rPr>
        <w:t>qRT</w:t>
      </w:r>
      <w:proofErr w:type="spellEnd"/>
      <w:r w:rsidRPr="00F445E8">
        <w:rPr>
          <w:rFonts w:cs="Times New Roman"/>
          <w:bCs/>
          <w:szCs w:val="24"/>
          <w:lang w:eastAsia="zh-CN"/>
        </w:rPr>
        <w:t>-PCR. Bars are means of three replicates ± SD. Asterisks (*) indicate the statistical significance of the difference between the experimental groups (NS4d, NR0d and NS0d) and the control group (NR4d). *P &lt; 0.05, ** P &lt; 0.01, *** P &lt; 0.001, ns = not significant.</w:t>
      </w:r>
    </w:p>
    <w:p w14:paraId="403B0A2A" w14:textId="77777777" w:rsidR="00A372F0" w:rsidRDefault="00A372F0" w:rsidP="00654E8F">
      <w:pPr>
        <w:spacing w:before="240"/>
        <w:rPr>
          <w:rFonts w:cs="Times New Roman"/>
          <w:bCs/>
          <w:szCs w:val="24"/>
          <w:lang w:eastAsia="zh-CN"/>
        </w:rPr>
      </w:pPr>
    </w:p>
    <w:p w14:paraId="445C6EF3" w14:textId="77777777" w:rsidR="00A372F0" w:rsidRDefault="00A372F0" w:rsidP="00654E8F">
      <w:pPr>
        <w:spacing w:before="240"/>
        <w:rPr>
          <w:rFonts w:cs="Times New Roman"/>
          <w:bCs/>
          <w:szCs w:val="24"/>
          <w:lang w:eastAsia="zh-CN"/>
        </w:rPr>
      </w:pPr>
    </w:p>
    <w:p w14:paraId="49DFAB29" w14:textId="77777777" w:rsidR="00A372F0" w:rsidRDefault="00A372F0" w:rsidP="00654E8F">
      <w:pPr>
        <w:spacing w:before="240"/>
        <w:rPr>
          <w:rFonts w:cs="Times New Roman"/>
          <w:bCs/>
          <w:szCs w:val="24"/>
          <w:lang w:eastAsia="zh-CN"/>
        </w:rPr>
      </w:pPr>
    </w:p>
    <w:p w14:paraId="65CA9EBD" w14:textId="293896EC" w:rsidR="00F445E8" w:rsidRDefault="00F445E8" w:rsidP="00654E8F">
      <w:pPr>
        <w:spacing w:before="240"/>
        <w:rPr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7B02A28A" wp14:editId="2F227AED">
            <wp:extent cx="5943600" cy="3120390"/>
            <wp:effectExtent l="0" t="0" r="0" b="3810"/>
            <wp:docPr id="5729689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2436" w14:textId="7CC182E2" w:rsidR="00F445E8" w:rsidRPr="00F445E8" w:rsidRDefault="00F445E8" w:rsidP="00A5581E">
      <w:pPr>
        <w:spacing w:before="240"/>
        <w:jc w:val="both"/>
        <w:rPr>
          <w:bCs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A372F0">
        <w:rPr>
          <w:rFonts w:cs="Times New Roman" w:hint="eastAsia"/>
          <w:b/>
          <w:szCs w:val="24"/>
          <w:lang w:eastAsia="zh-CN"/>
        </w:rPr>
        <w:t>3</w:t>
      </w:r>
      <w:r>
        <w:rPr>
          <w:rFonts w:cs="Times New Roman" w:hint="eastAsia"/>
          <w:b/>
          <w:szCs w:val="24"/>
          <w:lang w:eastAsia="zh-CN"/>
        </w:rPr>
        <w:t xml:space="preserve">. </w:t>
      </w:r>
      <w:r w:rsidRPr="00F445E8">
        <w:rPr>
          <w:rFonts w:cs="Times New Roman"/>
          <w:bCs/>
          <w:szCs w:val="24"/>
          <w:lang w:eastAsia="zh-CN"/>
        </w:rPr>
        <w:t>Network analysis of DEGs and DAMs. (A) Correlation network of DEGs and DEMs involved in Phenolic acids. purple circles indicate genes, and blue circles indicate metabolites. Determined by a Pearson correlation coefficient &gt; 0.8 or &lt; −0.8, respectively. (B) Correlation network of DEGs and DEMs involved in flavonoids. Red circles indicate genes, and yellow circles indicate metabolites determined by a Pearson correlation coefficient &gt; 0.8 or &lt; −0.8, respectively.</w:t>
      </w:r>
    </w:p>
    <w:sectPr w:rsidR="00F445E8" w:rsidRPr="00F445E8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15BD6" w14:textId="77777777" w:rsidR="00FF107D" w:rsidRDefault="00FF107D" w:rsidP="00117666">
      <w:pPr>
        <w:spacing w:after="0"/>
      </w:pPr>
      <w:r>
        <w:separator/>
      </w:r>
    </w:p>
  </w:endnote>
  <w:endnote w:type="continuationSeparator" w:id="0">
    <w:p w14:paraId="4110084C" w14:textId="77777777" w:rsidR="00FF107D" w:rsidRDefault="00FF107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EE09D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EE09D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EE09D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EE09D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05B91" w14:textId="77777777" w:rsidR="00FF107D" w:rsidRDefault="00FF107D" w:rsidP="00117666">
      <w:pPr>
        <w:spacing w:after="0"/>
      </w:pPr>
      <w:r>
        <w:separator/>
      </w:r>
    </w:p>
  </w:footnote>
  <w:footnote w:type="continuationSeparator" w:id="0">
    <w:p w14:paraId="421708AA" w14:textId="77777777" w:rsidR="00FF107D" w:rsidRDefault="00FF107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EE09D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EE09D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33019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4969DA"/>
    <w:rsid w:val="00517A89"/>
    <w:rsid w:val="005250F2"/>
    <w:rsid w:val="00562A0C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372F0"/>
    <w:rsid w:val="00A5581E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EE09DA"/>
    <w:rsid w:val="00F445E8"/>
    <w:rsid w:val="00F46900"/>
    <w:rsid w:val="00F61D89"/>
    <w:rsid w:val="00F65FE4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Kankan Yang</cp:lastModifiedBy>
  <cp:revision>7</cp:revision>
  <cp:lastPrinted>2013-10-03T12:51:00Z</cp:lastPrinted>
  <dcterms:created xsi:type="dcterms:W3CDTF">2022-11-17T16:58:00Z</dcterms:created>
  <dcterms:modified xsi:type="dcterms:W3CDTF">2024-06-11T23:04:00Z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