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4C10B6" w:rsidRDefault="00654E8F" w:rsidP="0001436A">
      <w:pPr>
        <w:pStyle w:val="SupplementaryMaterial"/>
        <w:rPr>
          <w:b w:val="0"/>
          <w:i w:val="0"/>
          <w:iCs/>
        </w:rPr>
      </w:pPr>
      <w:r w:rsidRPr="004C10B6">
        <w:rPr>
          <w:i w:val="0"/>
          <w:iCs/>
        </w:rPr>
        <w:t>Supplementary Material</w:t>
      </w:r>
    </w:p>
    <w:p w14:paraId="7C6F57A2" w14:textId="77777777" w:rsidR="00B8487E" w:rsidRDefault="00B8487E" w:rsidP="00B8487E"/>
    <w:p w14:paraId="3BC96B46" w14:textId="77777777" w:rsidR="00B8487E" w:rsidRPr="005F04B6" w:rsidRDefault="00B8487E" w:rsidP="00B8487E">
      <w:pPr>
        <w:adjustRightInd w:val="0"/>
        <w:snapToGrid w:val="0"/>
        <w:spacing w:line="360" w:lineRule="auto"/>
        <w:rPr>
          <w:rFonts w:cs="Times New Roman"/>
          <w:bCs/>
          <w:szCs w:val="24"/>
        </w:rPr>
      </w:pPr>
      <w:r>
        <w:rPr>
          <w:noProof/>
        </w:rPr>
        <w:drawing>
          <wp:inline distT="0" distB="0" distL="0" distR="0" wp14:anchorId="1742F9AF" wp14:editId="7F716FC2">
            <wp:extent cx="5274310" cy="3422015"/>
            <wp:effectExtent l="0" t="0" r="2540" b="6985"/>
            <wp:docPr id="18531558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5404F" w14:textId="77777777" w:rsidR="00B8487E" w:rsidRDefault="00B8487E" w:rsidP="00B8487E">
      <w:pPr>
        <w:adjustRightInd w:val="0"/>
        <w:snapToGrid w:val="0"/>
        <w:spacing w:line="360" w:lineRule="auto"/>
        <w:rPr>
          <w:rFonts w:eastAsia="宋体" w:cs="Times New Roman"/>
          <w:bCs/>
          <w:szCs w:val="24"/>
        </w:rPr>
      </w:pPr>
      <w:r w:rsidRPr="00177EEA">
        <w:rPr>
          <w:rFonts w:eastAsia="宋体" w:cs="Times New Roman"/>
          <w:bCs/>
          <w:szCs w:val="24"/>
        </w:rPr>
        <w:t xml:space="preserve">Figure </w:t>
      </w:r>
      <w:r>
        <w:rPr>
          <w:rFonts w:eastAsia="宋体" w:cs="Times New Roman"/>
          <w:bCs/>
          <w:szCs w:val="24"/>
        </w:rPr>
        <w:t>S1</w:t>
      </w:r>
      <w:r w:rsidRPr="00177EEA">
        <w:rPr>
          <w:rFonts w:eastAsia="宋体" w:cs="Times New Roman"/>
          <w:bCs/>
          <w:szCs w:val="24"/>
        </w:rPr>
        <w:t>.</w:t>
      </w:r>
      <w:r>
        <w:rPr>
          <w:rFonts w:eastAsia="宋体" w:cs="Times New Roman"/>
          <w:bCs/>
          <w:szCs w:val="24"/>
        </w:rPr>
        <w:t xml:space="preserve"> </w:t>
      </w:r>
      <w:r w:rsidRPr="007B482D">
        <w:rPr>
          <w:rFonts w:eastAsia="宋体" w:cs="Times New Roman"/>
          <w:bCs/>
          <w:szCs w:val="24"/>
        </w:rPr>
        <w:t xml:space="preserve">Correlation analysis of </w:t>
      </w:r>
      <w:r w:rsidRPr="007B482D">
        <w:rPr>
          <w:rFonts w:eastAsia="宋体" w:cs="Times New Roman"/>
          <w:bCs/>
          <w:i/>
          <w:iCs/>
          <w:szCs w:val="24"/>
        </w:rPr>
        <w:t>HIF1A</w:t>
      </w:r>
      <w:r w:rsidRPr="007B482D">
        <w:rPr>
          <w:rFonts w:eastAsia="宋体" w:cs="Times New Roman"/>
          <w:bCs/>
          <w:szCs w:val="24"/>
        </w:rPr>
        <w:t xml:space="preserve"> with </w:t>
      </w:r>
      <w:r w:rsidRPr="007B482D">
        <w:rPr>
          <w:rFonts w:eastAsia="宋体" w:cs="Times New Roman"/>
          <w:bCs/>
          <w:i/>
          <w:iCs/>
          <w:szCs w:val="24"/>
        </w:rPr>
        <w:t>CD163</w:t>
      </w:r>
      <w:r w:rsidRPr="007B482D">
        <w:rPr>
          <w:rFonts w:eastAsia="宋体" w:cs="Times New Roman"/>
          <w:bCs/>
          <w:szCs w:val="24"/>
        </w:rPr>
        <w:t xml:space="preserve">, </w:t>
      </w:r>
      <w:r w:rsidRPr="007B482D">
        <w:rPr>
          <w:rFonts w:eastAsia="宋体" w:cs="Times New Roman"/>
          <w:bCs/>
          <w:i/>
          <w:iCs/>
          <w:szCs w:val="24"/>
        </w:rPr>
        <w:t>COL1A1</w:t>
      </w:r>
      <w:r>
        <w:rPr>
          <w:rFonts w:eastAsia="宋体" w:cs="Times New Roman"/>
          <w:bCs/>
          <w:szCs w:val="24"/>
        </w:rPr>
        <w:t>, and</w:t>
      </w:r>
      <w:r w:rsidRPr="007B482D">
        <w:rPr>
          <w:rFonts w:eastAsia="宋体" w:cs="Times New Roman"/>
          <w:bCs/>
          <w:i/>
          <w:iCs/>
          <w:szCs w:val="24"/>
        </w:rPr>
        <w:t xml:space="preserve"> FOXP3</w:t>
      </w:r>
      <w:r>
        <w:rPr>
          <w:rFonts w:eastAsia="宋体" w:cs="Times New Roman"/>
          <w:bCs/>
          <w:szCs w:val="24"/>
        </w:rPr>
        <w:t xml:space="preserve">. </w:t>
      </w:r>
    </w:p>
    <w:p w14:paraId="6520F568" w14:textId="77777777" w:rsidR="00B8487E" w:rsidRDefault="00B8487E" w:rsidP="00B8487E">
      <w:pPr>
        <w:adjustRightInd w:val="0"/>
        <w:snapToGrid w:val="0"/>
        <w:spacing w:line="360" w:lineRule="auto"/>
        <w:rPr>
          <w:rFonts w:eastAsia="宋体" w:cs="Times New Roman"/>
          <w:bCs/>
          <w:szCs w:val="24"/>
        </w:rPr>
      </w:pPr>
      <w:r>
        <w:rPr>
          <w:noProof/>
        </w:rPr>
        <w:lastRenderedPageBreak/>
        <w:drawing>
          <wp:inline distT="0" distB="0" distL="0" distR="0" wp14:anchorId="3DD966BA" wp14:editId="5846D425">
            <wp:extent cx="5274310" cy="5660390"/>
            <wp:effectExtent l="0" t="0" r="2540" b="0"/>
            <wp:docPr id="21218772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6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2B513" w14:textId="7A8B3A3C" w:rsidR="00B8487E" w:rsidRPr="00B8487E" w:rsidRDefault="00B8487E" w:rsidP="00B8487E">
      <w:pPr>
        <w:adjustRightInd w:val="0"/>
        <w:snapToGrid w:val="0"/>
        <w:spacing w:line="360" w:lineRule="auto"/>
        <w:rPr>
          <w:rFonts w:eastAsia="宋体" w:cs="Times New Roman"/>
          <w:bCs/>
          <w:szCs w:val="24"/>
        </w:rPr>
      </w:pPr>
      <w:r w:rsidRPr="00177EEA">
        <w:rPr>
          <w:rFonts w:eastAsia="宋体" w:cs="Times New Roman"/>
          <w:bCs/>
          <w:szCs w:val="24"/>
        </w:rPr>
        <w:t xml:space="preserve">Figure </w:t>
      </w:r>
      <w:r>
        <w:rPr>
          <w:rFonts w:eastAsia="宋体" w:cs="Times New Roman"/>
          <w:bCs/>
          <w:szCs w:val="24"/>
        </w:rPr>
        <w:t>S2</w:t>
      </w:r>
      <w:r w:rsidRPr="00177EEA">
        <w:rPr>
          <w:rFonts w:eastAsia="宋体" w:cs="Times New Roman"/>
          <w:bCs/>
          <w:szCs w:val="24"/>
        </w:rPr>
        <w:t>.</w:t>
      </w:r>
      <w:r>
        <w:rPr>
          <w:rFonts w:eastAsia="宋体" w:cs="Times New Roman"/>
          <w:bCs/>
          <w:szCs w:val="24"/>
        </w:rPr>
        <w:t xml:space="preserve"> (A) The n</w:t>
      </w:r>
      <w:r w:rsidRPr="007B482D">
        <w:rPr>
          <w:rFonts w:eastAsia="宋体" w:cs="Times New Roman"/>
          <w:bCs/>
          <w:szCs w:val="24"/>
        </w:rPr>
        <w:t>umber and weight of cell-cell interactions</w:t>
      </w:r>
      <w:r>
        <w:rPr>
          <w:rFonts w:eastAsia="宋体" w:cs="Times New Roman"/>
          <w:bCs/>
          <w:szCs w:val="24"/>
        </w:rPr>
        <w:t xml:space="preserve">. (B) </w:t>
      </w:r>
      <w:r w:rsidRPr="007B482D">
        <w:rPr>
          <w:rFonts w:eastAsia="宋体" w:cs="Times New Roman"/>
          <w:bCs/>
          <w:szCs w:val="24"/>
        </w:rPr>
        <w:t xml:space="preserve">Ligand-receptor </w:t>
      </w:r>
      <w:r>
        <w:rPr>
          <w:rFonts w:eastAsia="宋体" w:cs="Times New Roman"/>
          <w:bCs/>
          <w:szCs w:val="24"/>
        </w:rPr>
        <w:t>analysis</w:t>
      </w:r>
      <w:r w:rsidRPr="007B482D">
        <w:rPr>
          <w:rFonts w:eastAsia="宋体" w:cs="Times New Roman"/>
          <w:bCs/>
          <w:szCs w:val="24"/>
        </w:rPr>
        <w:t xml:space="preserve"> between </w:t>
      </w:r>
      <w:r>
        <w:rPr>
          <w:rFonts w:eastAsia="宋体" w:cs="Times New Roman"/>
          <w:bCs/>
          <w:szCs w:val="24"/>
        </w:rPr>
        <w:t>epithelial</w:t>
      </w:r>
      <w:r w:rsidRPr="007B482D">
        <w:rPr>
          <w:rFonts w:eastAsia="宋体" w:cs="Times New Roman"/>
          <w:bCs/>
          <w:szCs w:val="24"/>
        </w:rPr>
        <w:t xml:space="preserve"> cells and other cells</w:t>
      </w:r>
      <w:r>
        <w:rPr>
          <w:rFonts w:eastAsia="宋体" w:cs="Times New Roman"/>
          <w:bCs/>
          <w:szCs w:val="24"/>
        </w:rPr>
        <w:t xml:space="preserve">. </w:t>
      </w:r>
    </w:p>
    <w:p w14:paraId="58F1AED1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39FCA" w14:textId="77777777" w:rsidR="002E2583" w:rsidRDefault="002E2583" w:rsidP="00117666">
      <w:pPr>
        <w:spacing w:after="0"/>
      </w:pPr>
      <w:r>
        <w:separator/>
      </w:r>
    </w:p>
  </w:endnote>
  <w:endnote w:type="continuationSeparator" w:id="0">
    <w:p w14:paraId="3D2726C9" w14:textId="77777777" w:rsidR="002E2583" w:rsidRDefault="002E258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8833" w14:textId="77777777" w:rsidR="00A65E2B" w:rsidRDefault="00A65E2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353D3" w14:textId="77777777" w:rsidR="002E2583" w:rsidRDefault="002E2583" w:rsidP="00117666">
      <w:pPr>
        <w:spacing w:after="0"/>
      </w:pPr>
      <w:r>
        <w:separator/>
      </w:r>
    </w:p>
  </w:footnote>
  <w:footnote w:type="continuationSeparator" w:id="0">
    <w:p w14:paraId="138F7DBF" w14:textId="77777777" w:rsidR="002E2583" w:rsidRDefault="002E2583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5C899838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6675" w14:textId="77777777" w:rsidR="00A65E2B" w:rsidRDefault="00A65E2B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63A971F3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35AA3"/>
    <w:rsid w:val="00267D18"/>
    <w:rsid w:val="002868E2"/>
    <w:rsid w:val="002869C3"/>
    <w:rsid w:val="002936E4"/>
    <w:rsid w:val="002B4A57"/>
    <w:rsid w:val="002C74CA"/>
    <w:rsid w:val="002E2583"/>
    <w:rsid w:val="003544FB"/>
    <w:rsid w:val="003D2F2D"/>
    <w:rsid w:val="00401590"/>
    <w:rsid w:val="00447801"/>
    <w:rsid w:val="00452E9C"/>
    <w:rsid w:val="004735C8"/>
    <w:rsid w:val="004961FF"/>
    <w:rsid w:val="004C10B6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8F29F0"/>
    <w:rsid w:val="009151AA"/>
    <w:rsid w:val="0093429D"/>
    <w:rsid w:val="00943573"/>
    <w:rsid w:val="00970F7D"/>
    <w:rsid w:val="00994A3D"/>
    <w:rsid w:val="009C2B12"/>
    <w:rsid w:val="009C70F3"/>
    <w:rsid w:val="00A174D9"/>
    <w:rsid w:val="00A569CD"/>
    <w:rsid w:val="00A65E2B"/>
    <w:rsid w:val="00AB6715"/>
    <w:rsid w:val="00B1671E"/>
    <w:rsid w:val="00B25EB8"/>
    <w:rsid w:val="00B354E1"/>
    <w:rsid w:val="00B37F4D"/>
    <w:rsid w:val="00B8487E"/>
    <w:rsid w:val="00C52A7B"/>
    <w:rsid w:val="00C56BAF"/>
    <w:rsid w:val="00C679AA"/>
    <w:rsid w:val="00C75972"/>
    <w:rsid w:val="00CC0A3A"/>
    <w:rsid w:val="00CD066B"/>
    <w:rsid w:val="00CE4FEE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4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Lior Chen</cp:lastModifiedBy>
  <cp:revision>7</cp:revision>
  <cp:lastPrinted>2013-10-03T12:51:00Z</cp:lastPrinted>
  <dcterms:created xsi:type="dcterms:W3CDTF">2022-11-17T16:58:00Z</dcterms:created>
  <dcterms:modified xsi:type="dcterms:W3CDTF">2024-02-01T06:39:00Z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