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1C03" w14:textId="494B19D1" w:rsidR="008624FE" w:rsidRPr="008624FE" w:rsidRDefault="008624FE" w:rsidP="008624FE">
      <w:pPr>
        <w:pStyle w:val="HoofdtekstA"/>
        <w:spacing w:line="480" w:lineRule="auto"/>
        <w:rPr>
          <w:rFonts w:ascii="Times New Roman" w:eastAsia="Cambria" w:hAnsi="Times New Roman" w:cs="Times New Roman"/>
          <w:b/>
          <w:color w:val="auto"/>
          <w:sz w:val="28"/>
          <w:szCs w:val="28"/>
          <w:lang w:val="en-US" w:eastAsia="en-US"/>
        </w:rPr>
      </w:pPr>
      <w:r w:rsidRPr="008624FE">
        <w:rPr>
          <w:rFonts w:ascii="Times New Roman" w:eastAsia="Cambria" w:hAnsi="Times New Roman" w:cs="Times New Roman"/>
          <w:b/>
          <w:color w:val="auto"/>
          <w:sz w:val="28"/>
          <w:szCs w:val="28"/>
          <w:lang w:val="en-US" w:eastAsia="en-US"/>
        </w:rPr>
        <w:t>Supplement 1</w:t>
      </w:r>
      <w:r w:rsidR="00985B6B">
        <w:rPr>
          <w:rFonts w:ascii="Times New Roman" w:eastAsia="Cambria" w:hAnsi="Times New Roman" w:cs="Times New Roman"/>
          <w:b/>
          <w:color w:val="auto"/>
          <w:sz w:val="28"/>
          <w:szCs w:val="28"/>
          <w:lang w:val="en-US" w:eastAsia="en-US"/>
        </w:rPr>
        <w:t xml:space="preserve"> – Analysis of Compound Decisions</w:t>
      </w:r>
    </w:p>
    <w:p w14:paraId="5DF25483" w14:textId="5C5C8B65" w:rsidR="008624FE" w:rsidRPr="00F66FF5" w:rsidRDefault="008624FE" w:rsidP="00F74646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Participants did not make a single </w:t>
      </w:r>
      <w:r>
        <w:rPr>
          <w:rFonts w:ascii="Times New Roman" w:eastAsia="Century Schoolbook" w:hAnsi="Times New Roman" w:cs="Times New Roman"/>
          <w:szCs w:val="24"/>
          <w:lang w:val="en-US"/>
        </w:rPr>
        <w:t>decision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that determines treatment outcome. They made a compound decision regarding starting an evaluation period with a sound enrichment device and/or psychosocial </w:t>
      </w:r>
      <w:r>
        <w:rPr>
          <w:rFonts w:ascii="Times New Roman" w:eastAsia="Century Schoolbook" w:hAnsi="Times New Roman" w:cs="Times New Roman"/>
          <w:szCs w:val="24"/>
          <w:lang w:val="en-US"/>
        </w:rPr>
        <w:t>counseling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uptake. Following </w:t>
      </w:r>
      <w:sdt>
        <w:sdtPr>
          <w:rPr>
            <w:rFonts w:ascii="Times New Roman" w:eastAsia="Century Schoolbook" w:hAnsi="Times New Roman" w:cs="Times New Roman"/>
            <w:szCs w:val="24"/>
            <w:lang w:val="en-US"/>
          </w:rPr>
          <w:tag w:val="MENDELEY_CITATION_v3_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"/>
          <w:id w:val="452148388"/>
          <w:placeholder>
            <w:docPart w:val="E407024D1E634747AFD2491923F23E2E"/>
          </w:placeholder>
        </w:sdtPr>
        <w:sdtEndPr/>
        <w:sdtContent>
          <w:r w:rsidR="00284330" w:rsidRPr="00997D6D">
            <w:rPr>
              <w:rFonts w:ascii="Times New Roman" w:eastAsia="Times New Roman" w:hAnsi="Times New Roman" w:cs="Times New Roman"/>
            </w:rPr>
            <w:t xml:space="preserve">Macmillan &amp; Creelman </w:t>
          </w:r>
          <w:r w:rsidR="00997D6D">
            <w:rPr>
              <w:rFonts w:ascii="Times New Roman" w:eastAsia="Times New Roman" w:hAnsi="Times New Roman" w:cs="Times New Roman"/>
            </w:rPr>
            <w:t>(</w:t>
          </w:r>
          <w:r w:rsidR="00284330" w:rsidRPr="00997D6D">
            <w:rPr>
              <w:rFonts w:ascii="Times New Roman" w:eastAsia="Times New Roman" w:hAnsi="Times New Roman" w:cs="Times New Roman"/>
            </w:rPr>
            <w:t>2004</w:t>
          </w:r>
          <w:r w:rsidR="00284330" w:rsidRPr="00284330">
            <w:rPr>
              <w:rFonts w:eastAsia="Times New Roman"/>
            </w:rPr>
            <w:t>)</w:t>
          </w:r>
        </w:sdtContent>
      </w:sdt>
      <w:r w:rsidRPr="00F66FF5">
        <w:rPr>
          <w:rFonts w:ascii="Times New Roman" w:eastAsia="Century Schoolbook" w:hAnsi="Times New Roman" w:cs="Times New Roman"/>
          <w:szCs w:val="24"/>
          <w:lang w:val="en-US"/>
        </w:rPr>
        <w:t>, compound decisions require extension of the one-dimensional model to a two-dimensional model with joint probability distributions. If the decisions are made independently</w:t>
      </w:r>
      <w:r w:rsidRPr="00F66FF5">
        <w:rPr>
          <w:rStyle w:val="Voetnootmarkering"/>
          <w:rFonts w:ascii="Times New Roman" w:eastAsia="Century Schoolbook" w:hAnsi="Times New Roman" w:cs="Times New Roman"/>
          <w:szCs w:val="24"/>
          <w:lang w:val="en-US"/>
        </w:rPr>
        <w:footnoteReference w:id="1"/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, the value of the two-dimensional probability distribution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(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x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>) at any combination of the two axis values (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x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) is the product of the two independent distributions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(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x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) and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(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). Figure </w:t>
      </w:r>
      <w:r w:rsidR="002A2CDF">
        <w:rPr>
          <w:rFonts w:ascii="Times New Roman" w:eastAsia="Century Schoolbook" w:hAnsi="Times New Roman" w:cs="Times New Roman"/>
          <w:szCs w:val="24"/>
          <w:lang w:val="en-US"/>
        </w:rPr>
        <w:t>S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.1 shows an example of a two-dimensional decision space corresponding to a compound decision assuming logistic distributions for both decisions with arbitrary axis values. Appreciating that the sum of the probabilities of a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yes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response and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no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response for decision 2 for regions I and IV equals unity, it is easily demonstrated that summing the joint probabilities for these regions yields the probability for decision 1, e.g.</w:t>
      </w:r>
    </w:p>
    <w:p w14:paraId="34A112FC" w14:textId="77777777" w:rsidR="008624FE" w:rsidRPr="00F66FF5" w:rsidRDefault="008624FE" w:rsidP="00F74646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2BAD45B5" w14:textId="5D76F07B" w:rsidR="008624FE" w:rsidRPr="008C694C" w:rsidRDefault="008624FE" w:rsidP="00F74646">
      <w:pPr>
        <w:pStyle w:val="HoofdtekstA"/>
        <w:rPr>
          <w:rFonts w:ascii="Times New Roman" w:eastAsia="Century Schoolbook" w:hAnsi="Times New Roman" w:cs="Times New Roman"/>
          <w:sz w:val="22"/>
          <w:szCs w:val="22"/>
          <w:lang w:val="en-US"/>
        </w:rPr>
      </w:pPr>
      <w:proofErr w:type="spellStart"/>
      <w:r w:rsidRPr="00F66FF5"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i/>
          <w:iCs/>
          <w:sz w:val="22"/>
          <w:szCs w:val="22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 w:val="22"/>
          <w:szCs w:val="22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 w:val="22"/>
          <w:szCs w:val="22"/>
          <w:vertAlign w:val="subscript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 xml:space="preserve"> +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i/>
          <w:iCs/>
          <w:sz w:val="22"/>
          <w:szCs w:val="22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 w:val="22"/>
          <w:szCs w:val="22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 w:val="22"/>
          <w:szCs w:val="22"/>
          <w:vertAlign w:val="subscript"/>
          <w:lang w:val="en-US"/>
        </w:rPr>
        <w:t>n</w:t>
      </w:r>
      <w:proofErr w:type="spellEnd"/>
      <w:r w:rsidRPr="00F66FF5"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 xml:space="preserve"> 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>=</w:t>
      </w:r>
      <w:r w:rsidR="008C694C">
        <w:rPr>
          <w:rFonts w:ascii="Times New Roman" w:eastAsia="Century Schoolbook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 xml:space="preserve">(decision 1 = yes | decision 2 = yes)  + </w:t>
      </w: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>(decision 1 = yes | decision 2 = no) = …</w:t>
      </w:r>
    </w:p>
    <w:p w14:paraId="3157EDAC" w14:textId="77777777" w:rsidR="008624FE" w:rsidRPr="00F66FF5" w:rsidRDefault="008624FE" w:rsidP="00F74646">
      <w:pPr>
        <w:pStyle w:val="HoofdtekstA"/>
        <w:rPr>
          <w:rFonts w:ascii="Times New Roman" w:eastAsia="Century Schoolbook" w:hAnsi="Times New Roman" w:cs="Times New Roman"/>
          <w:sz w:val="22"/>
          <w:szCs w:val="22"/>
          <w:lang w:val="en-US"/>
        </w:rPr>
      </w:pP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>(decision 1 = yes)∙</w:t>
      </w: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 xml:space="preserve">(decision 2 = yes) + </w:t>
      </w: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>(decision 1 = yes)∙</w:t>
      </w: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>(decision 2 = no) = …</w:t>
      </w:r>
    </w:p>
    <w:p w14:paraId="1545ACD0" w14:textId="77777777" w:rsidR="008624FE" w:rsidRPr="00F66FF5" w:rsidRDefault="008624FE" w:rsidP="00F74646">
      <w:pPr>
        <w:pStyle w:val="HoofdtekstA"/>
        <w:rPr>
          <w:rFonts w:ascii="Times New Roman" w:eastAsia="Century Schoolbook" w:hAnsi="Times New Roman" w:cs="Times New Roman"/>
          <w:sz w:val="22"/>
          <w:szCs w:val="22"/>
          <w:lang w:val="en-US"/>
        </w:rPr>
      </w:pP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 xml:space="preserve">(decision 1 = yes)∙{ </w:t>
      </w: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 xml:space="preserve">(decision 2 = yes) + </w:t>
      </w: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 xml:space="preserve"> (decision 2 = no) } = …</w:t>
      </w:r>
    </w:p>
    <w:p w14:paraId="2D036C6C" w14:textId="77777777" w:rsidR="008624FE" w:rsidRPr="00F66FF5" w:rsidRDefault="008624FE" w:rsidP="00F74646">
      <w:pPr>
        <w:pStyle w:val="HoofdtekstA"/>
        <w:rPr>
          <w:rFonts w:ascii="Times New Roman" w:eastAsia="Century Schoolbook" w:hAnsi="Times New Roman" w:cs="Times New Roman"/>
          <w:sz w:val="22"/>
          <w:szCs w:val="22"/>
          <w:vertAlign w:val="subscript"/>
          <w:lang w:val="en-US"/>
        </w:rPr>
      </w:pP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 xml:space="preserve">(decision 1 = yes) ∙1 = </w:t>
      </w:r>
      <w:r w:rsidRPr="001A4BA1"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 xml:space="preserve"> </w:t>
      </w:r>
      <w:r>
        <w:rPr>
          <w:rFonts w:ascii="Times New Roman" w:eastAsia="Century Schoolbook" w:hAnsi="Times New Roman" w:cs="Times New Roman"/>
          <w:i/>
          <w:iCs/>
          <w:sz w:val="22"/>
          <w:szCs w:val="22"/>
          <w:lang w:val="en-US"/>
        </w:rPr>
        <w:t>P</w:t>
      </w:r>
      <w:r w:rsidRPr="00F66FF5">
        <w:rPr>
          <w:rFonts w:ascii="Times New Roman" w:eastAsia="Century Schoolbook" w:hAnsi="Times New Roman" w:cs="Times New Roman"/>
          <w:sz w:val="22"/>
          <w:szCs w:val="22"/>
          <w:lang w:val="en-US"/>
        </w:rPr>
        <w:t>(decision 1 = yes)</w:t>
      </w:r>
    </w:p>
    <w:p w14:paraId="7763424C" w14:textId="77777777" w:rsidR="008624FE" w:rsidRPr="001C169F" w:rsidRDefault="008624FE" w:rsidP="00F74646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35F3605C" w14:textId="77777777" w:rsidR="008624FE" w:rsidRPr="00F66FF5" w:rsidRDefault="008624FE" w:rsidP="00F74646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>Likewise, summing the joint probabilities for regions I and II yields the probability for decision 2</w:t>
      </w:r>
      <w:r w:rsidRPr="00F66FF5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This can be done separately for 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true positive cases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and false positive cases resulting 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in the following set of equations:</w:t>
      </w:r>
    </w:p>
    <w:p w14:paraId="54C481E9" w14:textId="77777777" w:rsidR="008624FE" w:rsidRPr="00F66FF5" w:rsidRDefault="008624FE" w:rsidP="00F74646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11B8B558" w14:textId="4C60124D" w:rsidR="008624FE" w:rsidRPr="00F66FF5" w:rsidRDefault="008624FE" w:rsidP="00F74646">
      <w:pPr>
        <w:pStyle w:val="HoofdtekstA"/>
        <w:rPr>
          <w:rFonts w:ascii="Times New Roman" w:eastAsia="Century Schoolbook" w:hAnsi="Times New Roman" w:cs="Times New Roman"/>
          <w:iCs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ab/>
      </w:r>
      <w:r w:rsidRPr="004011C6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FP</w:t>
      </w:r>
      <w:r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=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FP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+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FP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n</w:t>
      </w:r>
      <w:proofErr w:type="spellEnd"/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 xml:space="preserve"> = </w:t>
      </w:r>
      <w:r w:rsidRPr="00F66FF5">
        <w:rPr>
          <w:rFonts w:ascii="Times New Roman" w:eastAsia="Century Schoolbook" w:hAnsi="Times New Roman" w:cs="Times New Roman"/>
          <w:i/>
          <w:szCs w:val="24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iCs/>
          <w:szCs w:val="24"/>
          <w:vertAlign w:val="subscript"/>
          <w:lang w:val="en-US"/>
        </w:rPr>
        <w:t>1,</w:t>
      </w:r>
      <w:r w:rsidRPr="00F66FF5">
        <w:rPr>
          <w:rFonts w:ascii="Times New Roman" w:eastAsia="Century Schoolbook" w:hAnsi="Times New Roman" w:cs="Times New Roman"/>
          <w:i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>/</w:t>
      </w:r>
      <w:r w:rsidRPr="00F66FF5">
        <w:rPr>
          <w:rFonts w:ascii="Times New Roman" w:eastAsia="Century Schoolbook" w:hAnsi="Times New Roman" w:cs="Times New Roman"/>
          <w:i/>
          <w:szCs w:val="24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  <w:t>(</w:t>
      </w:r>
      <w:r w:rsidR="005C2541">
        <w:rPr>
          <w:rFonts w:ascii="Times New Roman" w:eastAsia="Century Schoolbook" w:hAnsi="Times New Roman" w:cs="Times New Roman"/>
          <w:iCs/>
          <w:szCs w:val="24"/>
          <w:lang w:val="en-US"/>
        </w:rPr>
        <w:t>S</w:t>
      </w:r>
      <w:r w:rsidR="000E3B22">
        <w:rPr>
          <w:rFonts w:ascii="Times New Roman" w:eastAsia="Century Schoolbook" w:hAnsi="Times New Roman" w:cs="Times New Roman"/>
          <w:iCs/>
          <w:szCs w:val="24"/>
          <w:lang w:val="en-US"/>
        </w:rPr>
        <w:t>.</w:t>
      </w:r>
      <w:r w:rsidR="005C2541">
        <w:rPr>
          <w:rFonts w:ascii="Times New Roman" w:eastAsia="Century Schoolbook" w:hAnsi="Times New Roman" w:cs="Times New Roman"/>
          <w:iCs/>
          <w:szCs w:val="24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>.1a)</w:t>
      </w:r>
    </w:p>
    <w:p w14:paraId="7611A172" w14:textId="1CAAE6B2" w:rsidR="008624FE" w:rsidRPr="00F66FF5" w:rsidRDefault="008624FE" w:rsidP="00F74646">
      <w:pPr>
        <w:pStyle w:val="HoofdtekstA"/>
        <w:ind w:firstLine="708"/>
        <w:rPr>
          <w:rFonts w:ascii="Times New Roman" w:eastAsia="Century Schoolbook" w:hAnsi="Times New Roman" w:cs="Times New Roman"/>
          <w:iCs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TP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=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TP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+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TP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n</w:t>
      </w:r>
      <w:proofErr w:type="spellEnd"/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 xml:space="preserve"> = </w:t>
      </w:r>
      <w:r w:rsidRPr="00F66FF5">
        <w:rPr>
          <w:rFonts w:ascii="Times New Roman" w:eastAsia="Century Schoolbook" w:hAnsi="Times New Roman" w:cs="Times New Roman"/>
          <w:i/>
          <w:szCs w:val="24"/>
          <w:lang w:val="en-US"/>
        </w:rPr>
        <w:t>m</w:t>
      </w:r>
      <w:r w:rsidRPr="00F66FF5">
        <w:rPr>
          <w:rFonts w:ascii="Times New Roman" w:eastAsia="Century Schoolbook" w:hAnsi="Times New Roman" w:cs="Times New Roman"/>
          <w:iCs/>
          <w:szCs w:val="24"/>
          <w:vertAlign w:val="subscript"/>
          <w:lang w:val="en-US"/>
        </w:rPr>
        <w:t>1,</w:t>
      </w:r>
      <w:r w:rsidRPr="00F66FF5">
        <w:rPr>
          <w:rFonts w:ascii="Times New Roman" w:eastAsia="Century Schoolbook" w:hAnsi="Times New Roman" w:cs="Times New Roman"/>
          <w:i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>/</w:t>
      </w:r>
      <w:r w:rsidRPr="00F66FF5">
        <w:rPr>
          <w:rFonts w:ascii="Times New Roman" w:eastAsia="Century Schoolbook" w:hAnsi="Times New Roman" w:cs="Times New Roman"/>
          <w:i/>
          <w:szCs w:val="24"/>
          <w:lang w:val="en-US"/>
        </w:rPr>
        <w:t>m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  <w:t>(</w:t>
      </w:r>
      <w:r w:rsidR="005C2541">
        <w:rPr>
          <w:rFonts w:ascii="Times New Roman" w:eastAsia="Century Schoolbook" w:hAnsi="Times New Roman" w:cs="Times New Roman"/>
          <w:iCs/>
          <w:szCs w:val="24"/>
          <w:lang w:val="en-US"/>
        </w:rPr>
        <w:t>S</w:t>
      </w:r>
      <w:r w:rsidR="000E3B22">
        <w:rPr>
          <w:rFonts w:ascii="Times New Roman" w:eastAsia="Century Schoolbook" w:hAnsi="Times New Roman" w:cs="Times New Roman"/>
          <w:iCs/>
          <w:szCs w:val="24"/>
          <w:lang w:val="en-US"/>
        </w:rPr>
        <w:t>.</w:t>
      </w:r>
      <w:r w:rsidR="005C2541">
        <w:rPr>
          <w:rFonts w:ascii="Times New Roman" w:eastAsia="Century Schoolbook" w:hAnsi="Times New Roman" w:cs="Times New Roman"/>
          <w:iCs/>
          <w:szCs w:val="24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>.2b)</w:t>
      </w:r>
    </w:p>
    <w:p w14:paraId="1D6B8043" w14:textId="63610285" w:rsidR="008624FE" w:rsidRPr="00F66FF5" w:rsidRDefault="008624FE" w:rsidP="00F74646">
      <w:pPr>
        <w:pStyle w:val="HoofdtekstA"/>
        <w:ind w:firstLine="708"/>
        <w:rPr>
          <w:rFonts w:ascii="Times New Roman" w:eastAsia="Century Schoolbook" w:hAnsi="Times New Roman" w:cs="Times New Roman"/>
          <w:iCs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FP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2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=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FP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+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FP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 xml:space="preserve"> = </w:t>
      </w:r>
      <w:r w:rsidRPr="00F66FF5">
        <w:rPr>
          <w:rFonts w:ascii="Times New Roman" w:eastAsia="Century Schoolbook" w:hAnsi="Times New Roman" w:cs="Times New Roman"/>
          <w:i/>
          <w:szCs w:val="24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iCs/>
          <w:szCs w:val="24"/>
          <w:vertAlign w:val="subscript"/>
          <w:lang w:val="en-US"/>
        </w:rPr>
        <w:t>2,</w:t>
      </w:r>
      <w:r w:rsidRPr="00F66FF5">
        <w:rPr>
          <w:rFonts w:ascii="Times New Roman" w:eastAsia="Century Schoolbook" w:hAnsi="Times New Roman" w:cs="Times New Roman"/>
          <w:i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>/</w:t>
      </w:r>
      <w:r w:rsidRPr="00F66FF5">
        <w:rPr>
          <w:rFonts w:ascii="Times New Roman" w:eastAsia="Century Schoolbook" w:hAnsi="Times New Roman" w:cs="Times New Roman"/>
          <w:i/>
          <w:szCs w:val="24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  <w:t>(</w:t>
      </w:r>
      <w:r w:rsidR="005C2541">
        <w:rPr>
          <w:rFonts w:ascii="Times New Roman" w:eastAsia="Century Schoolbook" w:hAnsi="Times New Roman" w:cs="Times New Roman"/>
          <w:iCs/>
          <w:szCs w:val="24"/>
          <w:lang w:val="en-US"/>
        </w:rPr>
        <w:t>S</w:t>
      </w:r>
      <w:r w:rsidR="000E3B22">
        <w:rPr>
          <w:rFonts w:ascii="Times New Roman" w:eastAsia="Century Schoolbook" w:hAnsi="Times New Roman" w:cs="Times New Roman"/>
          <w:iCs/>
          <w:szCs w:val="24"/>
          <w:lang w:val="en-US"/>
        </w:rPr>
        <w:t>.</w:t>
      </w:r>
      <w:r w:rsidR="005C2541">
        <w:rPr>
          <w:rFonts w:ascii="Times New Roman" w:eastAsia="Century Schoolbook" w:hAnsi="Times New Roman" w:cs="Times New Roman"/>
          <w:iCs/>
          <w:szCs w:val="24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>.3c)</w:t>
      </w:r>
    </w:p>
    <w:p w14:paraId="402448E8" w14:textId="1BAA8993" w:rsidR="008624FE" w:rsidRPr="00F66FF5" w:rsidRDefault="008624FE" w:rsidP="00F74646">
      <w:pPr>
        <w:pStyle w:val="HoofdtekstA"/>
        <w:ind w:firstLine="708"/>
        <w:rPr>
          <w:rFonts w:ascii="Times New Roman" w:eastAsia="Century Schoolbook" w:hAnsi="Times New Roman" w:cs="Times New Roman"/>
          <w:iCs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TP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2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=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TP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+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TP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 xml:space="preserve"> = </w:t>
      </w:r>
      <w:r w:rsidRPr="00F66FF5">
        <w:rPr>
          <w:rFonts w:ascii="Times New Roman" w:eastAsia="Century Schoolbook" w:hAnsi="Times New Roman" w:cs="Times New Roman"/>
          <w:i/>
          <w:szCs w:val="24"/>
          <w:lang w:val="en-US"/>
        </w:rPr>
        <w:t>m</w:t>
      </w:r>
      <w:r w:rsidRPr="00F66FF5">
        <w:rPr>
          <w:rFonts w:ascii="Times New Roman" w:eastAsia="Century Schoolbook" w:hAnsi="Times New Roman" w:cs="Times New Roman"/>
          <w:iCs/>
          <w:szCs w:val="24"/>
          <w:vertAlign w:val="subscript"/>
          <w:lang w:val="en-US"/>
        </w:rPr>
        <w:t>2,</w:t>
      </w:r>
      <w:r w:rsidRPr="00F66FF5">
        <w:rPr>
          <w:rFonts w:ascii="Times New Roman" w:eastAsia="Century Schoolbook" w:hAnsi="Times New Roman" w:cs="Times New Roman"/>
          <w:i/>
          <w:szCs w:val="24"/>
          <w:vertAlign w:val="subscript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>/</w:t>
      </w:r>
      <w:r w:rsidRPr="00F66FF5">
        <w:rPr>
          <w:rFonts w:ascii="Times New Roman" w:eastAsia="Century Schoolbook" w:hAnsi="Times New Roman" w:cs="Times New Roman"/>
          <w:i/>
          <w:szCs w:val="24"/>
          <w:lang w:val="en-US"/>
        </w:rPr>
        <w:t>m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ab/>
        <w:t>(</w:t>
      </w:r>
      <w:r w:rsidR="005C2541">
        <w:rPr>
          <w:rFonts w:ascii="Times New Roman" w:eastAsia="Century Schoolbook" w:hAnsi="Times New Roman" w:cs="Times New Roman"/>
          <w:iCs/>
          <w:szCs w:val="24"/>
          <w:lang w:val="en-US"/>
        </w:rPr>
        <w:t>S</w:t>
      </w:r>
      <w:r w:rsidR="000E3B22">
        <w:rPr>
          <w:rFonts w:ascii="Times New Roman" w:eastAsia="Century Schoolbook" w:hAnsi="Times New Roman" w:cs="Times New Roman"/>
          <w:iCs/>
          <w:szCs w:val="24"/>
          <w:lang w:val="en-US"/>
        </w:rPr>
        <w:t>.</w:t>
      </w:r>
      <w:r w:rsidR="005C2541">
        <w:rPr>
          <w:rFonts w:ascii="Times New Roman" w:eastAsia="Century Schoolbook" w:hAnsi="Times New Roman" w:cs="Times New Roman"/>
          <w:iCs/>
          <w:szCs w:val="24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iCs/>
          <w:szCs w:val="24"/>
          <w:lang w:val="en-US"/>
        </w:rPr>
        <w:t>.4d)</w:t>
      </w:r>
    </w:p>
    <w:p w14:paraId="4B0DB975" w14:textId="77777777" w:rsidR="008624FE" w:rsidRPr="00F66FF5" w:rsidRDefault="008624FE" w:rsidP="00F74646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2302178A" w14:textId="2E625722" w:rsidR="00741203" w:rsidRDefault="008624FE" w:rsidP="00F74646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  <w:r w:rsidRPr="00F66FF5">
        <w:rPr>
          <w:rFonts w:ascii="Times New Roman" w:eastAsia="Century Schoolbook" w:hAnsi="Times New Roman" w:cs="Times New Roman"/>
          <w:szCs w:val="24"/>
          <w:lang w:val="en-US"/>
        </w:rPr>
        <w:t>Where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proofErr w:type="spellStart"/>
      <w:r w:rsidRPr="00644DCA">
        <w:rPr>
          <w:rFonts w:ascii="Times New Roman" w:eastAsia="Century Schoolbook" w:hAnsi="Times New Roman" w:cs="Times New Roman"/>
          <w:i/>
          <w:iCs/>
          <w:szCs w:val="24"/>
          <w:lang w:val="en-US"/>
        </w:rPr>
        <w:t>FP</w:t>
      </w:r>
      <w:r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i</w:t>
      </w:r>
      <w:proofErr w:type="spellEnd"/>
      <w:r>
        <w:rPr>
          <w:rFonts w:ascii="Times New Roman" w:eastAsia="Century Schoolbook" w:hAnsi="Times New Roman" w:cs="Times New Roman"/>
          <w:szCs w:val="24"/>
          <w:lang w:val="en-US"/>
        </w:rPr>
        <w:t xml:space="preserve"> is the probability of a false positive response for decision </w:t>
      </w:r>
      <w:r>
        <w:rPr>
          <w:rFonts w:ascii="Times New Roman" w:eastAsia="Century Schoolbook" w:hAnsi="Times New Roman" w:cs="Times New Roman"/>
          <w:i/>
          <w:iCs/>
          <w:szCs w:val="24"/>
          <w:lang w:val="en-US"/>
        </w:rPr>
        <w:t>i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, </w:t>
      </w:r>
      <w:proofErr w:type="spellStart"/>
      <w:r>
        <w:rPr>
          <w:rFonts w:ascii="Times New Roman" w:eastAsia="Century Schoolbook" w:hAnsi="Times New Roman" w:cs="Times New Roman"/>
          <w:i/>
          <w:iCs/>
          <w:szCs w:val="24"/>
          <w:lang w:val="en-US"/>
        </w:rPr>
        <w:t>T</w:t>
      </w:r>
      <w:r w:rsidRPr="002D4FEA">
        <w:rPr>
          <w:rFonts w:ascii="Times New Roman" w:eastAsia="Century Schoolbook" w:hAnsi="Times New Roman" w:cs="Times New Roman"/>
          <w:i/>
          <w:iCs/>
          <w:szCs w:val="24"/>
          <w:lang w:val="en-US"/>
        </w:rPr>
        <w:t>P</w:t>
      </w:r>
      <w:r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i</w:t>
      </w:r>
      <w:proofErr w:type="spellEnd"/>
      <w:r>
        <w:rPr>
          <w:rFonts w:ascii="Times New Roman" w:eastAsia="Century Schoolbook" w:hAnsi="Times New Roman" w:cs="Times New Roman"/>
          <w:szCs w:val="24"/>
          <w:lang w:val="en-US"/>
        </w:rPr>
        <w:t xml:space="preserve"> is the probability of a true positive response for decision </w:t>
      </w:r>
      <w:r>
        <w:rPr>
          <w:rFonts w:ascii="Times New Roman" w:eastAsia="Century Schoolbook" w:hAnsi="Times New Roman" w:cs="Times New Roman"/>
          <w:i/>
          <w:iCs/>
          <w:szCs w:val="24"/>
          <w:lang w:val="en-US"/>
        </w:rPr>
        <w:t>i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, 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the subscripts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indicate a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yes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response for both decisions, subscripts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n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indicate a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yes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response for decision 1 and a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no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response for decision 2 and </w:t>
      </w:r>
      <w:r>
        <w:rPr>
          <w:rFonts w:ascii="Times New Roman" w:eastAsia="Century Schoolbook" w:hAnsi="Times New Roman" w:cs="Times New Roman"/>
          <w:szCs w:val="24"/>
          <w:lang w:val="en-US"/>
        </w:rPr>
        <w:t>mutatis mutandis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for subscripts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and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n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. Furthermore,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i,y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is the number of false positive cases for decision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i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and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n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is the total number of participants belonging to</w:t>
      </w:r>
      <w:r>
        <w:rPr>
          <w:rFonts w:ascii="Times New Roman" w:eastAsia="Century Schoolbook" w:hAnsi="Times New Roman" w:cs="Times New Roman"/>
          <w:szCs w:val="24"/>
          <w:lang w:val="en-US"/>
        </w:rPr>
        <w:t xml:space="preserve"> population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</w:t>
      </w:r>
      <w:r w:rsidRPr="00644DCA">
        <w:rPr>
          <w:rFonts w:ascii="Times New Roman" w:eastAsia="Century Schoolbook" w:hAnsi="Times New Roman" w:cs="Times New Roman"/>
          <w:i/>
          <w:iCs/>
          <w:szCs w:val="24"/>
          <w:lang w:val="en-US"/>
        </w:rPr>
        <w:t>S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1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. Likewise, </w:t>
      </w:r>
      <w:proofErr w:type="spellStart"/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m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i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,</w:t>
      </w:r>
      <w:r w:rsidRPr="00F66FF5">
        <w:rPr>
          <w:rFonts w:ascii="Times New Roman" w:eastAsia="Century Schoolbook" w:hAnsi="Times New Roman" w:cs="Times New Roman"/>
          <w:i/>
          <w:iCs/>
          <w:szCs w:val="24"/>
          <w:vertAlign w:val="subscript"/>
          <w:lang w:val="en-US"/>
        </w:rPr>
        <w:t>y</w:t>
      </w:r>
      <w:proofErr w:type="spellEnd"/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 xml:space="preserve"> 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is the number of true positive cases for decision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i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and </w:t>
      </w:r>
      <w:r w:rsidRPr="00F66FF5">
        <w:rPr>
          <w:rFonts w:ascii="Times New Roman" w:eastAsia="Century Schoolbook" w:hAnsi="Times New Roman" w:cs="Times New Roman"/>
          <w:i/>
          <w:iCs/>
          <w:szCs w:val="24"/>
          <w:lang w:val="en-US"/>
        </w:rPr>
        <w:t>m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 xml:space="preserve"> is the total number of participants belonging to S</w:t>
      </w:r>
      <w:r w:rsidRPr="00F66FF5">
        <w:rPr>
          <w:rFonts w:ascii="Times New Roman" w:eastAsia="Century Schoolbook" w:hAnsi="Times New Roman" w:cs="Times New Roman"/>
          <w:szCs w:val="24"/>
          <w:vertAlign w:val="subscript"/>
          <w:lang w:val="en-US"/>
        </w:rPr>
        <w:t>2</w:t>
      </w:r>
      <w:r w:rsidRPr="00F66FF5">
        <w:rPr>
          <w:rFonts w:ascii="Times New Roman" w:eastAsia="Century Schoolbook" w:hAnsi="Times New Roman" w:cs="Times New Roman"/>
          <w:szCs w:val="24"/>
          <w:lang w:val="en-US"/>
        </w:rPr>
        <w:t>.</w:t>
      </w:r>
    </w:p>
    <w:p w14:paraId="09388B54" w14:textId="77777777" w:rsidR="00284330" w:rsidRDefault="00284330" w:rsidP="00F74646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59A5286F" w14:textId="61412814" w:rsidR="00997D6D" w:rsidRDefault="00997D6D" w:rsidP="00F74646">
      <w:pPr>
        <w:pStyle w:val="HoofdtekstA"/>
        <w:rPr>
          <w:rFonts w:ascii="Times New Roman" w:eastAsia="Century Schoolbook" w:hAnsi="Times New Roman" w:cs="Times New Roman"/>
          <w:b/>
          <w:bCs/>
          <w:szCs w:val="24"/>
          <w:lang w:val="en-US"/>
        </w:rPr>
      </w:pPr>
    </w:p>
    <w:p w14:paraId="1C3EE2A9" w14:textId="365406F7" w:rsidR="00997D6D" w:rsidRDefault="00BB3205" w:rsidP="00F74646">
      <w:pPr>
        <w:pStyle w:val="HoofdtekstA"/>
        <w:rPr>
          <w:rFonts w:ascii="Times New Roman" w:eastAsia="Century Schoolbook" w:hAnsi="Times New Roman" w:cs="Times New Roman"/>
          <w:b/>
          <w:bCs/>
          <w:szCs w:val="24"/>
          <w:lang w:val="en-US"/>
        </w:rPr>
      </w:pPr>
      <w:r>
        <w:rPr>
          <w:rFonts w:ascii="Times New Roman" w:eastAsia="Century Schoolbook" w:hAnsi="Times New Roman" w:cs="Times New Roman"/>
          <w:b/>
          <w:bCs/>
          <w:szCs w:val="24"/>
          <w:lang w:val="en-US"/>
        </w:rPr>
        <w:t>Figure caption</w:t>
      </w:r>
    </w:p>
    <w:p w14:paraId="46738738" w14:textId="77777777" w:rsidR="00673E52" w:rsidRPr="00BB3205" w:rsidRDefault="00673E52" w:rsidP="00F74646">
      <w:pPr>
        <w:pStyle w:val="HoofdtekstA"/>
        <w:rPr>
          <w:rFonts w:ascii="Times New Roman" w:eastAsia="Century Schoolbook" w:hAnsi="Times New Roman" w:cs="Times New Roman"/>
          <w:b/>
          <w:bCs/>
          <w:szCs w:val="24"/>
          <w:lang w:val="en-US"/>
        </w:rPr>
      </w:pPr>
    </w:p>
    <w:p w14:paraId="4C72FD91" w14:textId="52816897" w:rsidR="003E1677" w:rsidRDefault="00BB3205" w:rsidP="00F74646">
      <w:pPr>
        <w:spacing w:line="240" w:lineRule="auto"/>
        <w:rPr>
          <w:rFonts w:ascii="Times New Roman" w:hAnsi="Times New Roman" w:cs="Times New Roman"/>
          <w:lang w:val="en-US"/>
        </w:rPr>
      </w:pPr>
      <w:r w:rsidRPr="007B68F7">
        <w:rPr>
          <w:rFonts w:ascii="Times New Roman" w:hAnsi="Times New Roman" w:cs="Times New Roman"/>
          <w:lang w:val="en-US"/>
        </w:rPr>
        <w:t>Figure S.1.</w:t>
      </w:r>
      <w:r>
        <w:rPr>
          <w:rFonts w:ascii="Times New Roman" w:hAnsi="Times New Roman" w:cs="Times New Roman"/>
          <w:lang w:val="en-US"/>
        </w:rPr>
        <w:t>1</w:t>
      </w:r>
      <w:r w:rsidRPr="007B68F7">
        <w:rPr>
          <w:rFonts w:ascii="Times New Roman" w:hAnsi="Times New Roman" w:cs="Times New Roman"/>
          <w:lang w:val="en-US"/>
        </w:rPr>
        <w:t xml:space="preserve"> Top: compound probability density functions corresponding to </w:t>
      </w:r>
      <w:r w:rsidRPr="007B68F7">
        <w:rPr>
          <w:rFonts w:ascii="Times New Roman" w:hAnsi="Times New Roman" w:cs="Times New Roman"/>
          <w:i/>
          <w:iCs/>
          <w:lang w:val="en-US"/>
        </w:rPr>
        <w:t>no clinically important change</w:t>
      </w:r>
      <w:r w:rsidRPr="007B68F7">
        <w:rPr>
          <w:rFonts w:ascii="Times New Roman" w:hAnsi="Times New Roman" w:cs="Times New Roman"/>
          <w:lang w:val="en-US"/>
        </w:rPr>
        <w:t xml:space="preserve"> (</w:t>
      </w:r>
      <w:r w:rsidRPr="008A2A0B">
        <w:rPr>
          <w:rFonts w:ascii="Times New Roman" w:hAnsi="Times New Roman" w:cs="Times New Roman"/>
          <w:i/>
          <w:iCs/>
          <w:lang w:val="en-US"/>
        </w:rPr>
        <w:t>S</w:t>
      </w:r>
      <w:r w:rsidRPr="007B68F7">
        <w:rPr>
          <w:rFonts w:ascii="Times New Roman" w:hAnsi="Times New Roman" w:cs="Times New Roman"/>
          <w:vertAlign w:val="subscript"/>
          <w:lang w:val="en-US"/>
        </w:rPr>
        <w:t>1</w:t>
      </w:r>
      <w:r w:rsidRPr="007B68F7">
        <w:rPr>
          <w:rFonts w:ascii="Times New Roman" w:hAnsi="Times New Roman" w:cs="Times New Roman"/>
          <w:lang w:val="en-US"/>
        </w:rPr>
        <w:t xml:space="preserve">) and </w:t>
      </w:r>
      <w:r w:rsidRPr="007B68F7">
        <w:rPr>
          <w:rFonts w:ascii="Times New Roman" w:hAnsi="Times New Roman" w:cs="Times New Roman"/>
          <w:i/>
          <w:iCs/>
          <w:lang w:val="en-US"/>
        </w:rPr>
        <w:t>clinically important change</w:t>
      </w:r>
      <w:r w:rsidRPr="007B68F7">
        <w:rPr>
          <w:rFonts w:ascii="Times New Roman" w:hAnsi="Times New Roman" w:cs="Times New Roman"/>
          <w:lang w:val="en-US"/>
        </w:rPr>
        <w:t xml:space="preserve"> (</w:t>
      </w:r>
      <w:r w:rsidRPr="008A2A0B">
        <w:rPr>
          <w:rFonts w:ascii="Times New Roman" w:hAnsi="Times New Roman" w:cs="Times New Roman"/>
          <w:i/>
          <w:iCs/>
          <w:lang w:val="en-US"/>
        </w:rPr>
        <w:t>S</w:t>
      </w:r>
      <w:r w:rsidRPr="007B68F7">
        <w:rPr>
          <w:rFonts w:ascii="Times New Roman" w:hAnsi="Times New Roman" w:cs="Times New Roman"/>
          <w:vertAlign w:val="subscript"/>
          <w:lang w:val="en-US"/>
        </w:rPr>
        <w:t>2</w:t>
      </w:r>
      <w:r w:rsidRPr="007B68F7">
        <w:rPr>
          <w:rFonts w:ascii="Times New Roman" w:hAnsi="Times New Roman" w:cs="Times New Roman"/>
          <w:lang w:val="en-US"/>
        </w:rPr>
        <w:t xml:space="preserve">) in a patient related outcome measure. Decision axes 1 and 2 represent for decisions 1 and 2 respectively, the driver magnitude expressed in arbitrary units. Bottom: projection of the probability contours on the </w:t>
      </w:r>
      <w:r w:rsidRPr="007B68F7">
        <w:rPr>
          <w:rFonts w:ascii="Times New Roman" w:hAnsi="Times New Roman" w:cs="Times New Roman"/>
          <w:i/>
          <w:iCs/>
          <w:lang w:val="en-US"/>
        </w:rPr>
        <w:t>z</w:t>
      </w:r>
      <w:r w:rsidRPr="007B68F7">
        <w:rPr>
          <w:rFonts w:ascii="Times New Roman" w:hAnsi="Times New Roman" w:cs="Times New Roman"/>
          <w:lang w:val="en-US"/>
        </w:rPr>
        <w:t xml:space="preserve"> = 0 plane. Also projected are the locations of the </w:t>
      </w:r>
      <w:r>
        <w:rPr>
          <w:rFonts w:ascii="Times New Roman" w:hAnsi="Times New Roman" w:cs="Times New Roman"/>
          <w:lang w:val="en-US"/>
        </w:rPr>
        <w:t>mode</w:t>
      </w:r>
      <w:r w:rsidRPr="007B68F7">
        <w:rPr>
          <w:rFonts w:ascii="Times New Roman" w:hAnsi="Times New Roman" w:cs="Times New Roman"/>
          <w:lang w:val="en-US"/>
        </w:rPr>
        <w:t xml:space="preserve">s of </w:t>
      </w:r>
      <w:r w:rsidRPr="000F7FB1">
        <w:rPr>
          <w:rFonts w:ascii="Times New Roman" w:hAnsi="Times New Roman" w:cs="Times New Roman"/>
          <w:i/>
          <w:iCs/>
          <w:lang w:val="en-US"/>
        </w:rPr>
        <w:t>S</w:t>
      </w:r>
      <w:r w:rsidRPr="007B68F7">
        <w:rPr>
          <w:rFonts w:ascii="Times New Roman" w:hAnsi="Times New Roman" w:cs="Times New Roman"/>
          <w:vertAlign w:val="subscript"/>
          <w:lang w:val="en-US"/>
        </w:rPr>
        <w:t>1</w:t>
      </w:r>
      <w:r w:rsidRPr="007B68F7">
        <w:rPr>
          <w:rFonts w:ascii="Times New Roman" w:hAnsi="Times New Roman" w:cs="Times New Roman"/>
          <w:lang w:val="en-US"/>
        </w:rPr>
        <w:t xml:space="preserve"> and </w:t>
      </w:r>
      <w:r w:rsidRPr="000F7FB1">
        <w:rPr>
          <w:rFonts w:ascii="Times New Roman" w:hAnsi="Times New Roman" w:cs="Times New Roman"/>
          <w:i/>
          <w:iCs/>
          <w:lang w:val="en-US"/>
        </w:rPr>
        <w:t>S</w:t>
      </w:r>
      <w:r w:rsidRPr="007B68F7">
        <w:rPr>
          <w:rFonts w:ascii="Times New Roman" w:hAnsi="Times New Roman" w:cs="Times New Roman"/>
          <w:vertAlign w:val="subscript"/>
          <w:lang w:val="en-US"/>
        </w:rPr>
        <w:t>2</w:t>
      </w:r>
      <w:r w:rsidRPr="007B68F7">
        <w:rPr>
          <w:rFonts w:ascii="Times New Roman" w:hAnsi="Times New Roman" w:cs="Times New Roman"/>
          <w:lang w:val="en-US"/>
        </w:rPr>
        <w:t xml:space="preserve"> with coordinates (-</w:t>
      </w:r>
      <w:r w:rsidRPr="003B7E14">
        <w:rPr>
          <w:rFonts w:ascii="Times New Roman" w:eastAsia="Symbol" w:hAnsi="Times New Roman" w:cs="Times New Roman"/>
          <w:i/>
          <w:iCs/>
          <w:lang w:val="en-US"/>
        </w:rPr>
        <w:t>µ</w:t>
      </w:r>
      <w:r w:rsidRPr="007B68F7">
        <w:rPr>
          <w:rFonts w:ascii="Times New Roman" w:hAnsi="Times New Roman" w:cs="Times New Roman"/>
          <w:vertAlign w:val="subscript"/>
          <w:lang w:val="en-US"/>
        </w:rPr>
        <w:t>1</w:t>
      </w:r>
      <w:r w:rsidRPr="007B68F7">
        <w:rPr>
          <w:rFonts w:ascii="Times New Roman" w:hAnsi="Times New Roman" w:cs="Times New Roman"/>
          <w:lang w:val="en-US"/>
        </w:rPr>
        <w:t>, -</w:t>
      </w:r>
      <w:r w:rsidRPr="003B7E14">
        <w:rPr>
          <w:rFonts w:ascii="Times New Roman" w:eastAsia="Symbol" w:hAnsi="Times New Roman" w:cs="Times New Roman"/>
          <w:i/>
          <w:iCs/>
          <w:lang w:val="en-US"/>
        </w:rPr>
        <w:t xml:space="preserve"> µ</w:t>
      </w:r>
      <w:r w:rsidRPr="007B68F7">
        <w:rPr>
          <w:rFonts w:ascii="Times New Roman" w:hAnsi="Times New Roman" w:cs="Times New Roman"/>
          <w:vertAlign w:val="subscript"/>
          <w:lang w:val="en-US"/>
        </w:rPr>
        <w:t xml:space="preserve"> 2</w:t>
      </w:r>
      <w:r w:rsidRPr="007B68F7">
        <w:rPr>
          <w:rFonts w:ascii="Times New Roman" w:hAnsi="Times New Roman" w:cs="Times New Roman"/>
          <w:lang w:val="en-US"/>
        </w:rPr>
        <w:t>) and (+</w:t>
      </w:r>
      <w:r w:rsidRPr="003B7E14">
        <w:rPr>
          <w:rFonts w:ascii="Times New Roman" w:eastAsia="Symbol" w:hAnsi="Times New Roman" w:cs="Times New Roman"/>
          <w:i/>
          <w:iCs/>
          <w:lang w:val="en-US"/>
        </w:rPr>
        <w:t>µ</w:t>
      </w:r>
      <w:r w:rsidRPr="007B68F7">
        <w:rPr>
          <w:rFonts w:ascii="Times New Roman" w:hAnsi="Times New Roman" w:cs="Times New Roman"/>
          <w:vertAlign w:val="subscript"/>
          <w:lang w:val="en-US"/>
        </w:rPr>
        <w:t xml:space="preserve"> 1</w:t>
      </w:r>
      <w:r w:rsidRPr="007B68F7">
        <w:rPr>
          <w:rFonts w:ascii="Times New Roman" w:hAnsi="Times New Roman" w:cs="Times New Roman"/>
          <w:lang w:val="en-US"/>
        </w:rPr>
        <w:t>, +</w:t>
      </w:r>
      <w:r w:rsidRPr="003B7E14">
        <w:rPr>
          <w:rFonts w:ascii="Times New Roman" w:eastAsia="Symbol" w:hAnsi="Times New Roman" w:cs="Times New Roman"/>
          <w:i/>
          <w:iCs/>
          <w:lang w:val="en-US"/>
        </w:rPr>
        <w:t xml:space="preserve"> µ</w:t>
      </w:r>
      <w:r w:rsidRPr="007B68F7">
        <w:rPr>
          <w:rFonts w:ascii="Times New Roman" w:hAnsi="Times New Roman" w:cs="Times New Roman"/>
          <w:vertAlign w:val="subscript"/>
          <w:lang w:val="en-US"/>
        </w:rPr>
        <w:t xml:space="preserve"> 2</w:t>
      </w:r>
      <w:r w:rsidRPr="007B68F7">
        <w:rPr>
          <w:rFonts w:ascii="Times New Roman" w:hAnsi="Times New Roman" w:cs="Times New Roman"/>
          <w:lang w:val="en-US"/>
        </w:rPr>
        <w:t xml:space="preserve">), respectively. The dashed lines represent the location of unbiased decision criteria </w:t>
      </w:r>
      <w:r w:rsidRPr="007B68F7">
        <w:rPr>
          <w:rFonts w:ascii="Times New Roman" w:hAnsi="Times New Roman" w:cs="Times New Roman"/>
          <w:i/>
          <w:iCs/>
          <w:lang w:val="en-US"/>
        </w:rPr>
        <w:t>c</w:t>
      </w:r>
      <w:r w:rsidRPr="007B68F7">
        <w:rPr>
          <w:rFonts w:ascii="Times New Roman" w:hAnsi="Times New Roman" w:cs="Times New Roman"/>
          <w:vertAlign w:val="subscript"/>
          <w:lang w:val="en-US"/>
        </w:rPr>
        <w:t>1</w:t>
      </w:r>
      <w:r w:rsidRPr="007B68F7">
        <w:rPr>
          <w:rFonts w:ascii="Times New Roman" w:hAnsi="Times New Roman" w:cs="Times New Roman"/>
          <w:lang w:val="en-US"/>
        </w:rPr>
        <w:t xml:space="preserve"> and </w:t>
      </w:r>
      <w:r w:rsidRPr="007B68F7">
        <w:rPr>
          <w:rFonts w:ascii="Times New Roman" w:hAnsi="Times New Roman" w:cs="Times New Roman"/>
          <w:i/>
          <w:iCs/>
          <w:lang w:val="en-US"/>
        </w:rPr>
        <w:t>c</w:t>
      </w:r>
      <w:r w:rsidRPr="007B68F7">
        <w:rPr>
          <w:rFonts w:ascii="Times New Roman" w:hAnsi="Times New Roman" w:cs="Times New Roman"/>
          <w:vertAlign w:val="subscript"/>
          <w:lang w:val="en-US"/>
        </w:rPr>
        <w:t>2</w:t>
      </w:r>
      <w:r w:rsidRPr="007B68F7">
        <w:rPr>
          <w:rFonts w:ascii="Times New Roman" w:hAnsi="Times New Roman" w:cs="Times New Roman"/>
          <w:lang w:val="en-US"/>
        </w:rPr>
        <w:t xml:space="preserve"> for decisions 1 and 2. Four different regions can be identified that are delimited by the decision criteria </w:t>
      </w:r>
      <w:r w:rsidRPr="007B68F7">
        <w:rPr>
          <w:rFonts w:ascii="Times New Roman" w:hAnsi="Times New Roman" w:cs="Times New Roman"/>
          <w:i/>
          <w:iCs/>
          <w:lang w:val="en-US"/>
        </w:rPr>
        <w:t>c</w:t>
      </w:r>
      <w:r w:rsidRPr="007B68F7">
        <w:rPr>
          <w:rFonts w:ascii="Times New Roman" w:hAnsi="Times New Roman" w:cs="Times New Roman"/>
          <w:vertAlign w:val="subscript"/>
          <w:lang w:val="en-US"/>
        </w:rPr>
        <w:t>1</w:t>
      </w:r>
      <w:r w:rsidRPr="007B68F7">
        <w:rPr>
          <w:rFonts w:ascii="Times New Roman" w:hAnsi="Times New Roman" w:cs="Times New Roman"/>
          <w:lang w:val="en-US"/>
        </w:rPr>
        <w:t xml:space="preserve"> and </w:t>
      </w:r>
      <w:r w:rsidRPr="007B68F7">
        <w:rPr>
          <w:rFonts w:ascii="Times New Roman" w:hAnsi="Times New Roman" w:cs="Times New Roman"/>
          <w:i/>
          <w:iCs/>
          <w:lang w:val="en-US"/>
        </w:rPr>
        <w:t>c</w:t>
      </w:r>
      <w:r w:rsidRPr="007B68F7">
        <w:rPr>
          <w:rFonts w:ascii="Times New Roman" w:hAnsi="Times New Roman" w:cs="Times New Roman"/>
          <w:vertAlign w:val="subscript"/>
          <w:lang w:val="en-US"/>
        </w:rPr>
        <w:t>2</w:t>
      </w:r>
      <w:r w:rsidRPr="007B68F7">
        <w:rPr>
          <w:rFonts w:ascii="Times New Roman" w:hAnsi="Times New Roman" w:cs="Times New Roman"/>
          <w:lang w:val="en-US"/>
        </w:rPr>
        <w:t>, see text for an explanation.</w:t>
      </w:r>
    </w:p>
    <w:p w14:paraId="0B1EC8B0" w14:textId="77777777" w:rsidR="00997D6D" w:rsidRDefault="00997D6D" w:rsidP="00F74646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BAD3648" w14:textId="77777777" w:rsidR="00997D6D" w:rsidRPr="00B2062A" w:rsidRDefault="00997D6D" w:rsidP="00997D6D">
      <w:pPr>
        <w:pStyle w:val="HoofdtekstA"/>
        <w:rPr>
          <w:rFonts w:ascii="Times New Roman" w:eastAsia="Century Schoolbook" w:hAnsi="Times New Roman" w:cs="Times New Roman"/>
          <w:b/>
          <w:bCs/>
          <w:szCs w:val="24"/>
          <w:lang w:val="en-US"/>
        </w:rPr>
      </w:pPr>
      <w:r>
        <w:rPr>
          <w:rFonts w:ascii="Times New Roman" w:eastAsia="Century Schoolbook" w:hAnsi="Times New Roman" w:cs="Times New Roman"/>
          <w:b/>
          <w:bCs/>
          <w:szCs w:val="24"/>
          <w:lang w:val="en-US"/>
        </w:rPr>
        <w:t>References</w:t>
      </w:r>
    </w:p>
    <w:p w14:paraId="3F0863B7" w14:textId="77777777" w:rsidR="00997D6D" w:rsidRPr="00494D8C" w:rsidRDefault="00997D6D" w:rsidP="00997D6D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sdt>
      <w:sdtPr>
        <w:rPr>
          <w:rFonts w:ascii="Times New Roman" w:eastAsia="Century Schoolbook" w:hAnsi="Times New Roman" w:cs="Times New Roman"/>
          <w:color w:val="000000"/>
          <w:kern w:val="0"/>
          <w:sz w:val="24"/>
          <w:szCs w:val="24"/>
          <w:lang w:val="en-US" w:eastAsia="nl-NL"/>
          <w14:ligatures w14:val="none"/>
        </w:rPr>
        <w:tag w:val="MENDELEY_BIBLIOGRAPHY"/>
        <w:id w:val="-731303396"/>
        <w:placeholder>
          <w:docPart w:val="061EDB66AE6C42838F2F904889BAFA29"/>
        </w:placeholder>
      </w:sdtPr>
      <w:sdtEndPr/>
      <w:sdtContent>
        <w:p w14:paraId="3FE62B30" w14:textId="77777777" w:rsidR="00997D6D" w:rsidRPr="00494D8C" w:rsidRDefault="00997D6D" w:rsidP="00997D6D">
          <w:pPr>
            <w:autoSpaceDE w:val="0"/>
            <w:autoSpaceDN w:val="0"/>
            <w:ind w:left="567" w:hanging="567"/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en-US"/>
              <w14:ligatures w14:val="none"/>
            </w:rPr>
          </w:pPr>
          <w:r w:rsidRPr="00494D8C">
            <w:rPr>
              <w:rFonts w:ascii="Times New Roman" w:eastAsia="Times New Roman" w:hAnsi="Times New Roman" w:cs="Times New Roman"/>
              <w:color w:val="000000"/>
              <w:lang w:val="en-US"/>
            </w:rPr>
            <w:t xml:space="preserve">Macmillan, N. A., &amp; Creelman, C. D. (2004). Detection and Discrimination of Compound Stimuli: Tools for Multidimensional Detection Theory. In </w:t>
          </w:r>
          <w:r w:rsidRPr="00494D8C">
            <w:rPr>
              <w:rFonts w:ascii="Times New Roman" w:eastAsia="Times New Roman" w:hAnsi="Times New Roman" w:cs="Times New Roman"/>
              <w:i/>
              <w:iCs/>
              <w:color w:val="000000"/>
              <w:lang w:val="en-US"/>
            </w:rPr>
            <w:t>Detection Theory</w:t>
          </w:r>
          <w:r w:rsidRPr="00494D8C">
            <w:rPr>
              <w:rFonts w:ascii="Times New Roman" w:eastAsia="Times New Roman" w:hAnsi="Times New Roman" w:cs="Times New Roman"/>
              <w:color w:val="000000"/>
              <w:lang w:val="en-US"/>
            </w:rPr>
            <w:t xml:space="preserve"> (3rd ed., Issue 2004, pp. 146–166). Psychology Press. https://doi.org/10.4324/9781410611147-14</w:t>
          </w:r>
        </w:p>
        <w:p w14:paraId="7C13A3C1" w14:textId="77777777" w:rsidR="00997D6D" w:rsidRPr="00494D8C" w:rsidRDefault="00997D6D" w:rsidP="00997D6D">
          <w:pPr>
            <w:pStyle w:val="HoofdtekstA"/>
            <w:rPr>
              <w:rFonts w:ascii="Times New Roman" w:eastAsia="Century Schoolbook" w:hAnsi="Times New Roman" w:cs="Times New Roman"/>
              <w:szCs w:val="24"/>
              <w:lang w:val="en-US"/>
            </w:rPr>
          </w:pPr>
          <w:r w:rsidRPr="00494D8C">
            <w:rPr>
              <w:rFonts w:ascii="Times New Roman" w:eastAsia="Times New Roman" w:hAnsi="Times New Roman" w:cs="Times New Roman"/>
            </w:rPr>
            <w:t> </w:t>
          </w:r>
        </w:p>
      </w:sdtContent>
    </w:sdt>
    <w:p w14:paraId="187E22B8" w14:textId="77777777" w:rsidR="00997D6D" w:rsidRDefault="00997D6D" w:rsidP="00997D6D">
      <w:pPr>
        <w:pStyle w:val="HoofdtekstA"/>
        <w:rPr>
          <w:rFonts w:ascii="Times New Roman" w:eastAsia="Century Schoolbook" w:hAnsi="Times New Roman" w:cs="Times New Roman"/>
          <w:szCs w:val="24"/>
          <w:lang w:val="en-US"/>
        </w:rPr>
      </w:pPr>
    </w:p>
    <w:p w14:paraId="71022E0A" w14:textId="77777777" w:rsidR="00997D6D" w:rsidRPr="007B68F7" w:rsidRDefault="00997D6D" w:rsidP="00F74646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997D6D" w:rsidRPr="007B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D4D0" w14:textId="77777777" w:rsidR="00026183" w:rsidRDefault="00026183" w:rsidP="008624FE">
      <w:pPr>
        <w:spacing w:after="0" w:line="240" w:lineRule="auto"/>
      </w:pPr>
      <w:r>
        <w:separator/>
      </w:r>
    </w:p>
  </w:endnote>
  <w:endnote w:type="continuationSeparator" w:id="0">
    <w:p w14:paraId="0C04CF8D" w14:textId="77777777" w:rsidR="00026183" w:rsidRDefault="00026183" w:rsidP="0086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DD51" w14:textId="77777777" w:rsidR="00026183" w:rsidRDefault="00026183" w:rsidP="008624FE">
      <w:pPr>
        <w:spacing w:after="0" w:line="240" w:lineRule="auto"/>
      </w:pPr>
      <w:r>
        <w:separator/>
      </w:r>
    </w:p>
  </w:footnote>
  <w:footnote w:type="continuationSeparator" w:id="0">
    <w:p w14:paraId="12F708B1" w14:textId="77777777" w:rsidR="00026183" w:rsidRDefault="00026183" w:rsidP="008624FE">
      <w:pPr>
        <w:spacing w:after="0" w:line="240" w:lineRule="auto"/>
      </w:pPr>
      <w:r>
        <w:continuationSeparator/>
      </w:r>
    </w:p>
  </w:footnote>
  <w:footnote w:id="1">
    <w:p w14:paraId="35A28CB7" w14:textId="77777777" w:rsidR="00B2062A" w:rsidRDefault="008624FE" w:rsidP="008624FE">
      <w:pPr>
        <w:pStyle w:val="Voetnoottekst"/>
        <w:rPr>
          <w:rFonts w:ascii="Century Schoolbook" w:eastAsia="Century Schoolbook" w:hAnsi="Century Schoolbook" w:cs="Century Schoolbook"/>
          <w:szCs w:val="24"/>
        </w:rPr>
      </w:pPr>
      <w:r>
        <w:rPr>
          <w:rStyle w:val="Voetnootmarkering"/>
        </w:rPr>
        <w:footnoteRef/>
      </w:r>
      <w:r>
        <w:t xml:space="preserve"> </w:t>
      </w:r>
      <w:r w:rsidRPr="006A7ECC">
        <w:rPr>
          <w:rFonts w:ascii="Century Schoolbook" w:eastAsia="Century Schoolbook" w:hAnsi="Century Schoolbook" w:cs="Century Schoolbook"/>
          <w:szCs w:val="24"/>
        </w:rPr>
        <w:t xml:space="preserve">If the decisions are not made independently, it is always possible to rotate decision space such </w:t>
      </w:r>
    </w:p>
    <w:p w14:paraId="0E8F16B2" w14:textId="538F259B" w:rsidR="008624FE" w:rsidRPr="00E553F1" w:rsidRDefault="008624FE" w:rsidP="008624FE">
      <w:pPr>
        <w:pStyle w:val="Voetnoottekst"/>
        <w:rPr>
          <w:lang w:val="en-US"/>
        </w:rPr>
      </w:pPr>
      <w:r w:rsidRPr="006A7ECC">
        <w:rPr>
          <w:rFonts w:ascii="Century Schoolbook" w:eastAsia="Century Schoolbook" w:hAnsi="Century Schoolbook" w:cs="Century Schoolbook"/>
          <w:szCs w:val="24"/>
        </w:rPr>
        <w:t>that two orthogonal decision axes can be constructed.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FE"/>
    <w:rsid w:val="00026183"/>
    <w:rsid w:val="000E3B22"/>
    <w:rsid w:val="000F7FB1"/>
    <w:rsid w:val="00160E28"/>
    <w:rsid w:val="00266C25"/>
    <w:rsid w:val="00284330"/>
    <w:rsid w:val="002A2CDF"/>
    <w:rsid w:val="002F5D4E"/>
    <w:rsid w:val="00380094"/>
    <w:rsid w:val="003B07B3"/>
    <w:rsid w:val="003B7E14"/>
    <w:rsid w:val="003E1677"/>
    <w:rsid w:val="00446426"/>
    <w:rsid w:val="00494D8C"/>
    <w:rsid w:val="005C2541"/>
    <w:rsid w:val="00673E52"/>
    <w:rsid w:val="00741203"/>
    <w:rsid w:val="007B68F7"/>
    <w:rsid w:val="008624FE"/>
    <w:rsid w:val="008A2A0B"/>
    <w:rsid w:val="008C694C"/>
    <w:rsid w:val="00985B6B"/>
    <w:rsid w:val="00997D6D"/>
    <w:rsid w:val="009F0007"/>
    <w:rsid w:val="00AC7114"/>
    <w:rsid w:val="00B2062A"/>
    <w:rsid w:val="00BB3205"/>
    <w:rsid w:val="00C8149F"/>
    <w:rsid w:val="00DB2ABE"/>
    <w:rsid w:val="00E7342D"/>
    <w:rsid w:val="00F65978"/>
    <w:rsid w:val="00F66C17"/>
    <w:rsid w:val="00F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0AF3"/>
  <w15:chartTrackingRefBased/>
  <w15:docId w15:val="{89230E81-2244-49A1-8F12-C8AA1EA6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A">
    <w:name w:val="Hoofdtekst A"/>
    <w:qFormat/>
    <w:rsid w:val="008624F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 Unicode MS"/>
      <w:color w:val="000000"/>
      <w:kern w:val="0"/>
      <w:sz w:val="24"/>
      <w:szCs w:val="20"/>
      <w:lang w:val="en-GB"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62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0"/>
      <w:sz w:val="20"/>
      <w:szCs w:val="20"/>
      <w:lang w:val="en-GB"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624FE"/>
    <w:rPr>
      <w:rFonts w:ascii="Times New Roman" w:eastAsia="Arial Unicode MS" w:hAnsi="Times New Roman" w:cs="Times New Roman"/>
      <w:kern w:val="0"/>
      <w:sz w:val="20"/>
      <w:szCs w:val="20"/>
      <w:lang w:val="en-GB"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624FE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rsid w:val="00494D8C"/>
    <w:rPr>
      <w:color w:val="666666"/>
    </w:rPr>
  </w:style>
  <w:style w:type="paragraph" w:customStyle="1" w:styleId="msonormal0">
    <w:name w:val="msonormal"/>
    <w:basedOn w:val="Standaard"/>
    <w:rsid w:val="00494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6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07024D1E634747AFD2491923F23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1A501-A0BA-4C36-A74E-9A3250C97B11}"/>
      </w:docPartPr>
      <w:docPartBody>
        <w:p w:rsidR="00BA2317" w:rsidRDefault="005156F4" w:rsidP="005156F4">
          <w:pPr>
            <w:pStyle w:val="E407024D1E634747AFD2491923F23E2E"/>
          </w:pPr>
          <w:r w:rsidRPr="0047472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1EDB66AE6C42838F2F904889BAFA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8575A-C724-4FF8-A385-B1362B3C0F36}"/>
      </w:docPartPr>
      <w:docPartBody>
        <w:p w:rsidR="00DD2BD1" w:rsidRDefault="00960F4F" w:rsidP="00960F4F">
          <w:pPr>
            <w:pStyle w:val="061EDB66AE6C42838F2F904889BAFA29"/>
          </w:pPr>
          <w:r w:rsidRPr="00226E7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F4"/>
    <w:rsid w:val="005156F4"/>
    <w:rsid w:val="007C30A1"/>
    <w:rsid w:val="007D3680"/>
    <w:rsid w:val="00884556"/>
    <w:rsid w:val="00926A2C"/>
    <w:rsid w:val="00960F4F"/>
    <w:rsid w:val="00BA2317"/>
    <w:rsid w:val="00D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960F4F"/>
    <w:rPr>
      <w:color w:val="666666"/>
    </w:rPr>
  </w:style>
  <w:style w:type="paragraph" w:customStyle="1" w:styleId="E407024D1E634747AFD2491923F23E2E">
    <w:name w:val="E407024D1E634747AFD2491923F23E2E"/>
    <w:rsid w:val="005156F4"/>
  </w:style>
  <w:style w:type="paragraph" w:customStyle="1" w:styleId="061EDB66AE6C42838F2F904889BAFA29">
    <w:name w:val="061EDB66AE6C42838F2F904889BAFA29"/>
    <w:rsid w:val="00960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5CA795-19E5-47A8-9C9D-B886A4D2DD66}">
  <we:reference id="f78a3046-9e99-4300-aa2b-5814002b01a2" version="1.55.1.0" store="EXCatalog" storeType="EXCatalog"/>
  <we:alternateReferences>
    <we:reference id="WA104382081" version="1.55.1.0" store="nl-NL" storeType="OMEX"/>
  </we:alternateReferences>
  <we:properties>
    <we:property name="MENDELEY_CITATIONS" value="[{&quot;citationID&quot;:&quot;MENDELEY_CITATION_ec9c6489-068c-429e-8a4c-b25e0311b285&quot;,&quot;properties&quot;:{&quot;noteIndex&quot;:0},&quot;isEdited&quot;:false,&quot;manualOverride&quot;:{&quot;isManuallyOverridden&quot;:false,&quot;citeprocText&quot;:&quot;(Macmillan &amp;#38; Creelman, 2004)&quot;,&quot;manualOverrideText&quot;:&quot;&quot;},&quot;citationTag&quot;:&quot;MENDELEY_CITATION_v3_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&quot;,&quot;citationItems&quot;:[{&quot;id&quot;:&quot;3dfe4ecc-1769-3665-bd9f-b338a9865975&quot;,&quot;itemData&quot;:{&quot;type&quot;:&quot;chapter&quot;,&quot;id&quot;:&quot;3dfe4ecc-1769-3665-bd9f-b338a9865975&quot;,&quot;title&quot;:&quot;Detection and Discrimination of Compound Stimuli: Tools for Multidimensional Detection Theory&quot;,&quot;author&quot;:[{&quot;family&quot;:&quot;Macmillan&quot;,&quot;given&quot;:&quot;Neil A.&quot;,&quot;parse-names&quot;:false,&quot;dropping-particle&quot;:&quot;&quot;,&quot;non-dropping-particle&quot;:&quot;&quot;},{&quot;family&quot;:&quot;Creelman&quot;,&quot;given&quot;:&quot;C. Douglas&quot;,&quot;parse-names&quot;:false,&quot;dropping-particle&quot;:&quot;&quot;,&quot;non-dropping-particle&quot;:&quot;&quot;}],&quot;container-title&quot;:&quot;Detection Theory&quot;,&quot;chapter-number&quot;:&quot;6&quot;,&quot;DOI&quot;:&quot;10.4324/9781410611147-14&quot;,&quot;URL&quot;:&quot;https://www.taylorfrancis.com/books/9781135634575/chapters/10.4324/9781410611147-14&quot;,&quot;issued&quot;:{&quot;date-parts&quot;:[[2004,9,22]]},&quot;publisher-place&quot;:&quot;New York&quot;,&quot;page&quot;:&quot;146-166&quot;,&quot;edition&quot;:&quot;3&quot;,&quot;publisher&quot;:&quot;Psychology Press&quot;,&quot;issue&quot;:&quot;2004&quot;,&quot;container-title-short&quot;:&quot;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509</Words>
  <Characters>2905</Characters>
  <Application>Microsoft Office Word</Application>
  <DocSecurity>0</DocSecurity>
  <Lines>24</Lines>
  <Paragraphs>6</Paragraphs>
  <ScaleCrop>false</ScaleCrop>
  <Company>UMC Utrecht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Hoetink, A.E. (Alex)</dc:creator>
  <cp:keywords/>
  <dc:description/>
  <cp:lastModifiedBy>Hoetink, A.E. (Alex)</cp:lastModifiedBy>
  <cp:revision>25</cp:revision>
  <dcterms:created xsi:type="dcterms:W3CDTF">2024-11-09T13:26:00Z</dcterms:created>
  <dcterms:modified xsi:type="dcterms:W3CDTF">2024-11-13T13:32:00Z</dcterms:modified>
</cp:coreProperties>
</file>