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D59D" w14:textId="5B10F493" w:rsidR="00596BB6" w:rsidRPr="00F77044" w:rsidRDefault="00596BB6" w:rsidP="00596BB6">
      <w:pPr>
        <w:pStyle w:val="HoofdtekstA"/>
        <w:rPr>
          <w:rFonts w:ascii="Times New Roman" w:eastAsia="Cambria" w:hAnsi="Times New Roman" w:cs="Times New Roman"/>
          <w:b/>
          <w:color w:val="auto"/>
          <w:sz w:val="28"/>
          <w:szCs w:val="28"/>
          <w:lang w:val="en-US" w:eastAsia="en-US"/>
        </w:rPr>
      </w:pPr>
      <w:r w:rsidRPr="00F77044">
        <w:rPr>
          <w:rFonts w:ascii="Times New Roman" w:eastAsia="Cambria" w:hAnsi="Times New Roman" w:cs="Times New Roman"/>
          <w:b/>
          <w:color w:val="auto"/>
          <w:sz w:val="28"/>
          <w:szCs w:val="28"/>
          <w:lang w:val="en-US" w:eastAsia="en-US"/>
        </w:rPr>
        <w:t>Supplement 3</w:t>
      </w:r>
      <w:r w:rsidR="0087601A" w:rsidRPr="00F77044">
        <w:rPr>
          <w:rFonts w:ascii="Times New Roman" w:eastAsia="Cambria" w:hAnsi="Times New Roman" w:cs="Times New Roman"/>
          <w:b/>
          <w:color w:val="auto"/>
          <w:sz w:val="28"/>
          <w:szCs w:val="28"/>
          <w:lang w:val="en-US" w:eastAsia="en-US"/>
        </w:rPr>
        <w:t xml:space="preserve"> – Bayesian Inference</w:t>
      </w:r>
    </w:p>
    <w:p w14:paraId="2783CA7E" w14:textId="77777777" w:rsidR="00596BB6" w:rsidRPr="00E44891" w:rsidRDefault="00596BB6" w:rsidP="00596BB6">
      <w:pPr>
        <w:pStyle w:val="HoofdtekstA"/>
        <w:rPr>
          <w:rFonts w:ascii="Times New Roman" w:eastAsia="Cambria" w:hAnsi="Times New Roman" w:cs="Times New Roman"/>
          <w:b/>
          <w:color w:val="auto"/>
          <w:szCs w:val="24"/>
          <w:lang w:val="en-US" w:eastAsia="en-US"/>
        </w:rPr>
      </w:pPr>
    </w:p>
    <w:p w14:paraId="05FC1154" w14:textId="112C164B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>According to Bayes’ theorem</w:t>
      </w:r>
      <w:r w:rsidR="005B42F2">
        <w:rPr>
          <w:rFonts w:ascii="Times New Roman" w:eastAsia="Century Schoolbook" w:hAnsi="Times New Roman" w:cs="Times New Roman"/>
          <w:szCs w:val="24"/>
          <w:lang w:val="en-US"/>
        </w:rPr>
        <w:t>, e.g.</w:t>
      </w:r>
      <w:r w:rsidR="001F57D6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sdt>
        <w:sdtPr>
          <w:rPr>
            <w:rFonts w:ascii="Times New Roman" w:eastAsia="Century Schoolbook" w:hAnsi="Times New Roman" w:cs="Times New Roman"/>
            <w:szCs w:val="24"/>
            <w:lang w:val="en-US"/>
          </w:rPr>
          <w:tag w:val="MENDELEY_CITATION_v3_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"/>
          <w:id w:val="1020582708"/>
          <w:placeholder>
            <w:docPart w:val="DefaultPlaceholder_-1854013440"/>
          </w:placeholder>
        </w:sdtPr>
        <w:sdtEndPr/>
        <w:sdtContent>
          <w:r w:rsidR="003F7404" w:rsidRPr="003F7404">
            <w:rPr>
              <w:rFonts w:ascii="Times New Roman" w:eastAsia="Times New Roman" w:hAnsi="Times New Roman" w:cs="Times New Roman"/>
            </w:rPr>
            <w:t>Box &amp; Tiao (1992)</w:t>
          </w:r>
        </w:sdtContent>
      </w:sdt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, the joint posterior probability distribution of parameters </w:t>
      </w:r>
      <w:r w:rsidRPr="00F66FF5">
        <w:rPr>
          <w:rFonts w:ascii="Symbol" w:eastAsia="Symbol" w:hAnsi="Symbol" w:cs="Symbol"/>
          <w:b/>
          <w:bCs/>
          <w:i/>
          <w:iCs/>
          <w:szCs w:val="24"/>
          <w:lang w:val="en-US"/>
        </w:rPr>
        <w:t>q</w:t>
      </w:r>
      <w:r w:rsidRPr="00F66FF5">
        <w:rPr>
          <w:rFonts w:ascii="Times New Roman" w:eastAsia="Century Schoolbook" w:hAnsi="Times New Roman" w:cs="Times New Roman"/>
          <w:b/>
          <w:bCs/>
          <w:i/>
          <w:iCs/>
          <w:szCs w:val="24"/>
          <w:lang w:val="en-US"/>
        </w:rPr>
        <w:t xml:space="preserve">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= (</w:t>
      </w:r>
      <w:r w:rsidRPr="00F66FF5">
        <w:rPr>
          <w:rFonts w:ascii="Symbol" w:eastAsia="Symbol" w:hAnsi="Symbol" w:cs="Symbol"/>
          <w:i/>
          <w:iCs/>
          <w:szCs w:val="24"/>
          <w:lang w:val="en-US"/>
        </w:rPr>
        <w:t>q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Symbol" w:eastAsia="Symbol" w:hAnsi="Symbol" w:cs="Symbol"/>
          <w:i/>
          <w:iCs/>
          <w:szCs w:val="24"/>
          <w:lang w:val="en-US"/>
        </w:rPr>
        <w:t>q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) given observations </w:t>
      </w:r>
      <w:r w:rsidRPr="00F66FF5">
        <w:rPr>
          <w:rFonts w:ascii="Times New Roman" w:eastAsia="Century Schoolbook" w:hAnsi="Times New Roman" w:cs="Times New Roman"/>
          <w:b/>
          <w:bCs/>
          <w:i/>
          <w:iCs/>
          <w:szCs w:val="24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= (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, … ,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k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>) is given by</w:t>
      </w:r>
    </w:p>
    <w:p w14:paraId="323176EB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2EABE013" w14:textId="4FDEA91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m:oMath>
        <m:r>
          <w:rPr>
            <w:rFonts w:ascii="Cambria Math" w:eastAsia="Century Schoolbook" w:hAnsi="Cambria Math" w:cs="Times New Roman"/>
            <w:szCs w:val="24"/>
            <w:lang w:val="en-US"/>
          </w:rPr>
          <m:t>p</m:t>
        </m:r>
        <m:d>
          <m:dPr>
            <m:endChr m:val="|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Century Schoolbook" w:hAnsi="Cambria Math" w:cs="Times New Roman"/>
                <w:szCs w:val="24"/>
                <w:lang w:val="en-US"/>
              </w:rPr>
              <m:t>θ</m:t>
            </m:r>
          </m:e>
        </m:d>
        <m:r>
          <m:rPr>
            <m:sty m:val="bi"/>
          </m:rPr>
          <w:rPr>
            <w:rFonts w:ascii="Cambria Math" w:eastAsia="Century Schoolbook" w:hAnsi="Cambria Math" w:cs="Times New Roman"/>
            <w:szCs w:val="24"/>
            <w:lang w:val="en-US"/>
          </w:rPr>
          <m:t>y</m:t>
        </m:r>
        <m:r>
          <w:rPr>
            <w:rFonts w:ascii="Cambria Math" w:eastAsia="Century Schoolbook" w:hAnsi="Cambria Math" w:cs="Times New Roman"/>
            <w:szCs w:val="24"/>
            <w:lang w:val="en-US"/>
          </w:rPr>
          <m:t>)=</m:t>
        </m:r>
        <m:sSup>
          <m:s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-1</m:t>
            </m:r>
          </m:sup>
        </m:sSup>
        <m:r>
          <w:rPr>
            <w:rFonts w:ascii="Cambria Math" w:eastAsia="Century Schoolbook" w:hAnsi="Cambria Math" w:cs="Times New Roman"/>
            <w:szCs w:val="24"/>
            <w:lang w:val="en-US"/>
          </w:rPr>
          <m:t>l(</m:t>
        </m:r>
        <m:r>
          <m:rPr>
            <m:sty m:val="bi"/>
          </m:rPr>
          <w:rPr>
            <w:rFonts w:ascii="Cambria Math" w:eastAsia="Century Schoolbook" w:hAnsi="Cambria Math" w:cs="Times New Roman"/>
            <w:szCs w:val="24"/>
            <w:lang w:val="en-US"/>
          </w:rPr>
          <m:t>θ|y)</m:t>
        </m:r>
        <m:r>
          <w:rPr>
            <w:rFonts w:ascii="Cambria Math" w:eastAsia="Century Schoolbook" w:hAnsi="Cambria Math" w:cs="Times New Roman"/>
            <w:szCs w:val="24"/>
            <w:lang w:val="en-US"/>
          </w:rPr>
          <m:t>p(</m:t>
        </m:r>
        <m:r>
          <m:rPr>
            <m:sty m:val="bi"/>
          </m:rPr>
          <w:rPr>
            <w:rFonts w:ascii="Cambria Math" w:eastAsia="Century Schoolbook" w:hAnsi="Cambria Math" w:cs="Times New Roman"/>
            <w:szCs w:val="24"/>
            <w:lang w:val="en-US"/>
          </w:rPr>
          <m:t>θ)</m:t>
        </m:r>
      </m:oMath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b/>
          <w:b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(</w:t>
      </w:r>
      <w:r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>3.1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a)</w:t>
      </w:r>
    </w:p>
    <w:p w14:paraId="12C0166A" w14:textId="2C09BD8F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b/>
          <w:bCs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m:oMath>
        <m:r>
          <w:rPr>
            <w:rFonts w:ascii="Cambria Math" w:eastAsia="Century Schoolbook" w:hAnsi="Cambria Math" w:cs="Times New Roman"/>
            <w:szCs w:val="24"/>
            <w:lang w:val="en-US"/>
          </w:rPr>
          <m:t xml:space="preserve">K= </m:t>
        </m:r>
        <m:nary>
          <m:naryPr>
            <m:chr m:val="∬"/>
            <m:limLoc m:val="undOvr"/>
            <m:subHide m:val="1"/>
            <m:supHide m:val="1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l(</m:t>
            </m:r>
            <m:r>
              <m:rPr>
                <m:sty m:val="bi"/>
              </m:rPr>
              <w:rPr>
                <w:rFonts w:ascii="Cambria Math" w:eastAsia="Century Schoolbook" w:hAnsi="Cambria Math" w:cs="Times New Roman"/>
                <w:szCs w:val="24"/>
                <w:lang w:val="en-US"/>
              </w:rPr>
              <m:t>θ|y)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eastAsia="Century Schoolbook" w:hAnsi="Cambria Math" w:cs="Times New Roman"/>
                <w:szCs w:val="24"/>
                <w:lang w:val="en-US"/>
              </w:rPr>
              <m:t>θ</m:t>
            </m:r>
          </m:e>
        </m:nary>
      </m:oMath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  <w:t>(</w:t>
      </w:r>
      <w:r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>3.1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b)</w:t>
      </w:r>
    </w:p>
    <w:p w14:paraId="6E28AE5B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29B5CEB3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>
        <w:rPr>
          <w:rFonts w:ascii="Times New Roman" w:eastAsia="Century Schoolbook" w:hAnsi="Times New Roman" w:cs="Times New Roman"/>
          <w:szCs w:val="24"/>
          <w:lang w:val="en-US"/>
        </w:rPr>
        <w:t xml:space="preserve">The probability of parameter values </w:t>
      </w:r>
      <w:r w:rsidRPr="00F66FF5">
        <w:rPr>
          <w:rFonts w:ascii="Symbol" w:eastAsia="Symbol" w:hAnsi="Symbol" w:cs="Symbol"/>
          <w:b/>
          <w:bCs/>
          <w:i/>
          <w:iCs/>
          <w:szCs w:val="24"/>
          <w:lang w:val="en-US"/>
        </w:rPr>
        <w:t>q</w:t>
      </w:r>
      <w:r>
        <w:rPr>
          <w:rFonts w:ascii="Times New Roman" w:eastAsia="Century Schoolbook" w:hAnsi="Times New Roman" w:cs="Times New Roman"/>
          <w:b/>
          <w:bCs/>
          <w:szCs w:val="24"/>
          <w:lang w:val="en-US"/>
        </w:rPr>
        <w:t xml:space="preserve"> 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occurring as function of the probability </w:t>
      </w:r>
      <w:r w:rsidRPr="00F66FF5">
        <w:rPr>
          <w:rFonts w:ascii="Symbol" w:eastAsia="Symbol" w:hAnsi="Symbol" w:cs="Symbol"/>
          <w:i/>
          <w:iCs/>
          <w:szCs w:val="24"/>
          <w:lang w:val="en-US"/>
        </w:rPr>
        <w:t>p</w:t>
      </w:r>
      <w:r>
        <w:rPr>
          <w:rFonts w:ascii="Times New Roman" w:eastAsia="Century Schoolbook" w:hAnsi="Times New Roman" w:cs="Times New Roman"/>
          <w:i/>
          <w:iCs/>
          <w:szCs w:val="24"/>
          <w:lang w:val="en-US"/>
        </w:rPr>
        <w:t xml:space="preserve"> 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of a </w:t>
      </w:r>
      <w:r w:rsidRPr="00CF44B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yes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response (y = 1) is given by the Bernoulli distribution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</w:p>
    <w:p w14:paraId="3EC76366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023D06A4" w14:textId="0CB9E780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m:oMath>
        <m:r>
          <w:rPr>
            <w:rFonts w:ascii="Cambria Math" w:eastAsia="Century Schoolbook" w:hAnsi="Cambria Math" w:cs="Times New Roman"/>
            <w:szCs w:val="24"/>
            <w:lang w:val="en-US"/>
          </w:rPr>
          <m:t>p</m:t>
        </m:r>
        <m:d>
          <m:dPr>
            <m:endChr m:val="|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Century Schoolbook" w:hAnsi="Cambria Math" w:cs="Times New Roman"/>
                <w:szCs w:val="24"/>
                <w:lang w:val="en-US"/>
              </w:rPr>
              <m:t>θ</m:t>
            </m:r>
          </m:e>
        </m:d>
        <m:r>
          <w:rPr>
            <w:rFonts w:ascii="Cambria Math" w:eastAsia="Century Schoolbook" w:hAnsi="Cambria Math" w:cs="Times New Roman"/>
            <w:szCs w:val="24"/>
            <w:lang w:val="en-US"/>
          </w:rPr>
          <m:t xml:space="preserve">π)= </m:t>
        </m:r>
        <m:sSup>
          <m:s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π</m:t>
            </m:r>
          </m:e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y</m:t>
            </m:r>
          </m:sup>
        </m:sSup>
        <m:sSup>
          <m:s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(1-π)</m:t>
            </m:r>
          </m:e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1-y</m:t>
            </m:r>
          </m:sup>
        </m:sSup>
      </m:oMath>
      <w:r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>
        <w:rPr>
          <w:rFonts w:ascii="Times New Roman" w:eastAsia="Century Schoolbook" w:hAnsi="Times New Roman" w:cs="Times New Roman"/>
          <w:szCs w:val="24"/>
          <w:lang w:val="en-US"/>
        </w:rPr>
        <w:tab/>
      </w:r>
      <w:r>
        <w:rPr>
          <w:rFonts w:ascii="Times New Roman" w:eastAsia="Century Schoolbook" w:hAnsi="Times New Roman" w:cs="Times New Roman"/>
          <w:szCs w:val="24"/>
          <w:lang w:val="en-US"/>
        </w:rPr>
        <w:tab/>
      </w:r>
      <w:r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  <w:t>(</w:t>
      </w:r>
      <w:r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>3.2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)</w:t>
      </w:r>
    </w:p>
    <w:p w14:paraId="7A347919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4A16A4C7" w14:textId="77777777" w:rsidR="00596BB6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>
        <w:rPr>
          <w:rFonts w:ascii="Times New Roman" w:eastAsia="Century Schoolbook" w:hAnsi="Times New Roman" w:cs="Times New Roman"/>
          <w:szCs w:val="24"/>
          <w:lang w:val="en-US"/>
        </w:rPr>
        <w:t>w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here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y = 0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for a </w:t>
      </w:r>
      <w:r w:rsidRPr="00CF44B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no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>
        <w:rPr>
          <w:rFonts w:ascii="Times New Roman" w:eastAsia="Century Schoolbook" w:hAnsi="Times New Roman" w:cs="Times New Roman"/>
          <w:szCs w:val="24"/>
          <w:lang w:val="en-US"/>
        </w:rPr>
        <w:t>response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 The joint posterior probability distributions for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S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and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S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for all observations for a given decision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i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and stimulus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j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are therefore given by,</w:t>
      </w:r>
    </w:p>
    <w:p w14:paraId="61BC380A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0CBEB7FE" w14:textId="52F2D717" w:rsidR="00596BB6" w:rsidRDefault="001D07B8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m:oMath>
        <m:sSub>
          <m:sSub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S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Century Schoolbook" w:hAnsi="Cambria Math" w:cs="Times New Roman"/>
                    <w:b/>
                    <w:i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θ</m:t>
                </m:r>
              </m:e>
              <m:sub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ascii="Cambria Math" w:eastAsia="Century Schoolbook" w:hAnsi="Cambria Math" w:cs="Times New Roman"/>
                    <w:b/>
                    <w:i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π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1</m:t>
                </m:r>
              </m:sub>
            </m:sSub>
            <m:ctrlPr>
              <w:rPr>
                <w:rFonts w:ascii="Cambria Math" w:eastAsia="Century Schoolbook" w:hAnsi="Cambria Math" w:cs="Times New Roman"/>
                <w:b/>
                <w:bCs/>
                <w:i/>
                <w:szCs w:val="24"/>
                <w:lang w:val="en-US"/>
              </w:rPr>
            </m:ctrlPr>
          </m:e>
        </m:d>
        <m:r>
          <m:rPr>
            <m:sty m:val="bi"/>
          </m:rPr>
          <w:rPr>
            <w:rFonts w:ascii="Cambria Math" w:eastAsia="Century Schoolbook" w:hAnsi="Cambria Math" w:cs="Times New Roman"/>
            <w:szCs w:val="24"/>
            <w:lang w:val="en-US"/>
          </w:rPr>
          <m:t xml:space="preserve">= </m:t>
        </m:r>
        <m:sSup>
          <m:s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-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</m:t>
            </m:r>
          </m:sup>
        </m:sSup>
        <m:nary>
          <m:naryPr>
            <m:chr m:val="∏"/>
            <m:limLoc m:val="undOvr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naryPr>
          <m:sub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κ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=1</m:t>
            </m:r>
          </m:sub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k</m:t>
            </m:r>
          </m:sup>
          <m:e>
            <m:sSup>
              <m:sSupPr>
                <m:ctrlPr>
                  <w:rPr>
                    <w:rFonts w:ascii="Cambria Math" w:eastAsia="Century Schoolbook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entury Schoolbook" w:hAnsi="Cambria Math" w:cs="Times New Roman"/>
                        <w:i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κ</m:t>
                    </m:r>
                  </m:sub>
                  <m:sup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1</m:t>
                    </m:r>
                  </m:sup>
                </m:sSub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y</m:t>
                </m:r>
              </m:sup>
            </m:sSup>
            <m:sSup>
              <m:sSupPr>
                <m:ctrlPr>
                  <w:rPr>
                    <w:rFonts w:ascii="Cambria Math" w:eastAsia="Century Schoolbook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(1-</m:t>
                </m:r>
                <m:sSubSup>
                  <m:sSubSupPr>
                    <m:ctrlPr>
                      <w:rPr>
                        <w:rFonts w:ascii="Cambria Math" w:eastAsia="Century Schoolbook" w:hAnsi="Cambria Math" w:cs="Times New Roman"/>
                        <w:i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κ</m:t>
                    </m:r>
                  </m:sub>
                  <m:sup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1</m:t>
                    </m:r>
                  </m:sup>
                </m:sSub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1-</m:t>
                </m:r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y</m:t>
                </m:r>
              </m:sup>
            </m:sSup>
          </m:e>
        </m:nary>
      </m:oMath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  <w:t>(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3.3a</w:t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>)</w:t>
      </w:r>
    </w:p>
    <w:p w14:paraId="0BA55562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60C9365D" w14:textId="77777777" w:rsidR="00596BB6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>With</w:t>
      </w:r>
    </w:p>
    <w:p w14:paraId="22377C9B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45B41296" w14:textId="49327308" w:rsidR="00596BB6" w:rsidRPr="00F66FF5" w:rsidRDefault="001D07B8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m:oMath>
        <m:sSubSup>
          <m:sSub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κ</m:t>
            </m:r>
          </m:sub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S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</m:t>
            </m:r>
          </m:sup>
        </m:sSubSup>
        <m:r>
          <w:rPr>
            <w:rFonts w:ascii="Cambria Math" w:eastAsia="Century Schoolbook" w:hAnsi="Cambria Math" w:cs="Times New Roman"/>
            <w:szCs w:val="24"/>
            <w:lang w:val="en-US"/>
          </w:rPr>
          <m:t>=</m:t>
        </m:r>
        <m:f>
          <m:fPr>
            <m:type m:val="lin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</m:t>
            </m:r>
          </m:num>
          <m:den>
            <m:d>
              <m:dPr>
                <m:begChr m:val="{"/>
                <m:endChr m:val="}"/>
                <m:ctrlPr>
                  <w:rPr>
                    <w:rFonts w:ascii="Cambria Math" w:eastAsia="Century Schoolbook" w:hAnsi="Cambria Math" w:cs="Times New Roman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="Century Schoolbook" w:hAnsi="Cambria Math" w:cs="Times New Roman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entury Schoolbook" w:hAnsi="Cambria Math" w:cs="Times New Roman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entury Schoolbook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Century Schoolbook" w:hAnsi="Cambria Math" w:cs="Times New Roman"/>
                            <w:szCs w:val="24"/>
                            <w:lang w:val="en-US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="Century Schoolbook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Century Schoolbook" w:hAnsi="Cambria Math" w:cs="Times New Roman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sup>
                        </m:sSubSup>
                        <m:r>
                          <w:rPr>
                            <w:rFonts w:ascii="Cambria Math" w:eastAsia="Century Schoolbook" w:hAnsi="Cambria Math" w:cs="Times New Roman"/>
                            <w:szCs w:val="24"/>
                            <w:lang w:val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entury Schoolbook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Century Schoolbook" w:hAnsi="Cambria Math" w:cs="Times New Roman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sup>
                        </m:sSubSup>
                      </m:e>
                    </m:d>
                  </m:sup>
                </m:sSup>
              </m:e>
            </m:d>
          </m:den>
        </m:f>
      </m:oMath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  <w:t>(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3.3</w:t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>b)</w:t>
      </w:r>
    </w:p>
    <w:p w14:paraId="2839DAE3" w14:textId="77777777" w:rsidR="00596BB6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4E8EFA80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>and</w:t>
      </w:r>
    </w:p>
    <w:p w14:paraId="5E2CD7A4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795991EE" w14:textId="2F73E667" w:rsidR="00596BB6" w:rsidRPr="00F66FF5" w:rsidRDefault="001D07B8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m:oMath>
        <m:sSub>
          <m:sSub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S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Century Schoolbook" w:hAnsi="Cambria Math" w:cs="Times New Roman"/>
                    <w:b/>
                    <w:i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θ</m:t>
                </m:r>
              </m:e>
              <m:sub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2</m:t>
                </m:r>
              </m:sub>
            </m:sSub>
          </m:e>
          <m:e>
            <m:sSub>
              <m:sSubPr>
                <m:ctrlPr>
                  <w:rPr>
                    <w:rFonts w:ascii="Cambria Math" w:eastAsia="Century Schoolbook" w:hAnsi="Cambria Math" w:cs="Times New Roman"/>
                    <w:b/>
                    <w:i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π</m:t>
                </m:r>
              </m:e>
              <m:sub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S</m:t>
                </m:r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2</m:t>
                </m:r>
              </m:sub>
            </m:sSub>
            <m:ctrlPr>
              <w:rPr>
                <w:rFonts w:ascii="Cambria Math" w:eastAsia="Century Schoolbook" w:hAnsi="Cambria Math" w:cs="Times New Roman"/>
                <w:b/>
                <w:bCs/>
                <w:i/>
                <w:szCs w:val="24"/>
                <w:lang w:val="en-US"/>
              </w:rPr>
            </m:ctrlPr>
          </m:e>
        </m:d>
        <m:r>
          <m:rPr>
            <m:sty m:val="bi"/>
          </m:rPr>
          <w:rPr>
            <w:rFonts w:ascii="Cambria Math" w:eastAsia="Century Schoolbook" w:hAnsi="Cambria Math" w:cs="Times New Roman"/>
            <w:szCs w:val="24"/>
            <w:lang w:val="en-US"/>
          </w:rPr>
          <m:t xml:space="preserve">= </m:t>
        </m:r>
        <m:sSup>
          <m:s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K</m:t>
            </m:r>
          </m:e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-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</m:t>
            </m:r>
          </m:sup>
        </m:sSup>
        <m:nary>
          <m:naryPr>
            <m:chr m:val="∏"/>
            <m:limLoc m:val="undOvr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naryPr>
          <m:sub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κ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=1</m:t>
            </m:r>
          </m:sub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k</m:t>
            </m:r>
          </m:sup>
          <m:e>
            <m:sSup>
              <m:sSupPr>
                <m:ctrlPr>
                  <w:rPr>
                    <w:rFonts w:ascii="Cambria Math" w:eastAsia="Century Schoolbook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(</m:t>
                </m:r>
                <m:sSubSup>
                  <m:sSubSupPr>
                    <m:ctrlPr>
                      <w:rPr>
                        <w:rFonts w:ascii="Cambria Math" w:eastAsia="Century Schoolbook" w:hAnsi="Cambria Math" w:cs="Times New Roman"/>
                        <w:i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κ</m:t>
                    </m:r>
                  </m:sub>
                  <m:sup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y</m:t>
                </m:r>
              </m:sup>
            </m:sSup>
            <m:sSup>
              <m:sSupPr>
                <m:ctrlPr>
                  <w:rPr>
                    <w:rFonts w:ascii="Cambria Math" w:eastAsia="Century Schoolbook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(1-</m:t>
                </m:r>
                <m:sSubSup>
                  <m:sSubSupPr>
                    <m:ctrlPr>
                      <w:rPr>
                        <w:rFonts w:ascii="Cambria Math" w:eastAsia="Century Schoolbook" w:hAnsi="Cambria Math" w:cs="Times New Roman"/>
                        <w:i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π</m:t>
                    </m:r>
                  </m:e>
                  <m:sub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κ</m:t>
                    </m:r>
                  </m:sub>
                  <m:sup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y</m:t>
                </m:r>
              </m:sup>
            </m:sSup>
          </m:e>
        </m:nary>
      </m:oMath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>(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3.3</w:t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>c)</w:t>
      </w:r>
    </w:p>
    <w:p w14:paraId="7C40521D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</w:p>
    <w:p w14:paraId="4A9B3013" w14:textId="0C5AD7DC" w:rsidR="00596BB6" w:rsidRPr="00F66FF5" w:rsidRDefault="001D07B8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m:oMath>
        <m:sSubSup>
          <m:sSubSupPr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π</m:t>
            </m:r>
          </m:e>
          <m:sub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κ</m:t>
            </m:r>
          </m:sub>
          <m:sup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S</m:t>
            </m:r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2</m:t>
            </m:r>
          </m:sup>
        </m:sSubSup>
        <m:r>
          <w:rPr>
            <w:rFonts w:ascii="Cambria Math" w:eastAsia="Century Schoolbook" w:hAnsi="Cambria Math" w:cs="Times New Roman"/>
            <w:szCs w:val="24"/>
            <w:lang w:val="en-US"/>
          </w:rPr>
          <m:t>=</m:t>
        </m:r>
        <m:f>
          <m:fPr>
            <m:type m:val="lin"/>
            <m:ctrlPr>
              <w:rPr>
                <w:rFonts w:ascii="Cambria Math" w:eastAsia="Century Schoolbook" w:hAnsi="Cambria Math" w:cs="Times New Roman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="Century Schoolbook" w:hAnsi="Cambria Math" w:cs="Times New Roman"/>
                <w:szCs w:val="24"/>
                <w:lang w:val="en-US"/>
              </w:rPr>
              <m:t>1</m:t>
            </m:r>
          </m:num>
          <m:den>
            <m:d>
              <m:dPr>
                <m:begChr m:val="{"/>
                <m:endChr m:val="}"/>
                <m:ctrlPr>
                  <w:rPr>
                    <w:rFonts w:ascii="Cambria Math" w:eastAsia="Century Schoolbook" w:hAnsi="Cambria Math" w:cs="Times New Roman"/>
                    <w:i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Century Schoolbook" w:hAnsi="Cambria Math" w:cs="Times New Roman"/>
                    <w:szCs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="Century Schoolbook" w:hAnsi="Cambria Math" w:cs="Times New Roman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entury Schoolbook" w:hAnsi="Cambria Math" w:cs="Times New Roman"/>
                        <w:szCs w:val="24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Century Schoolbook" w:hAnsi="Cambria Math" w:cs="Times New Roman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entury Schoolbook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Century Schoolbook" w:hAnsi="Cambria Math" w:cs="Times New Roman"/>
                            <w:szCs w:val="24"/>
                            <w:lang w:val="en-US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="Century Schoolbook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Century Schoolbook" w:hAnsi="Cambria Math" w:cs="Times New Roman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sup>
                        </m:sSubSup>
                        <m:r>
                          <w:rPr>
                            <w:rFonts w:ascii="Cambria Math" w:eastAsia="Century Schoolbook" w:hAnsi="Cambria Math" w:cs="Times New Roman"/>
                            <w:szCs w:val="24"/>
                            <w:lang w:val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entury Schoolbook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entury Schoolbook" w:hAnsi="Cambria Math" w:cs="Times New Roman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Century Schoolbook" w:hAnsi="Cambria Math" w:cs="Times New Roman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entury Schoolbook" w:hAnsi="Cambria Math" w:cs="Times New Roman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sup>
                        </m:sSubSup>
                      </m:e>
                    </m:d>
                  </m:sup>
                </m:sSup>
              </m:e>
            </m:d>
          </m:den>
        </m:f>
      </m:oMath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ab/>
        <w:t>(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A536D9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596BB6">
        <w:rPr>
          <w:rFonts w:ascii="Times New Roman" w:eastAsia="Century Schoolbook" w:hAnsi="Times New Roman" w:cs="Times New Roman"/>
          <w:szCs w:val="24"/>
          <w:lang w:val="en-US"/>
        </w:rPr>
        <w:t>3.3</w:t>
      </w:r>
      <w:r w:rsidR="00596BB6" w:rsidRPr="00F66FF5">
        <w:rPr>
          <w:rFonts w:ascii="Times New Roman" w:eastAsia="Century Schoolbook" w:hAnsi="Times New Roman" w:cs="Times New Roman"/>
          <w:szCs w:val="24"/>
          <w:lang w:val="en-US"/>
        </w:rPr>
        <w:t>d)</w:t>
      </w:r>
    </w:p>
    <w:p w14:paraId="3E902763" w14:textId="77777777" w:rsidR="00596BB6" w:rsidRPr="00F66FF5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3B43DCAD" w14:textId="5F47F16E" w:rsidR="00596BB6" w:rsidRDefault="00596BB6" w:rsidP="001227C1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>W</w:t>
      </w:r>
      <w:r w:rsidR="003A26BD">
        <w:rPr>
          <w:rFonts w:ascii="Times New Roman" w:eastAsia="Century Schoolbook" w:hAnsi="Times New Roman" w:cs="Times New Roman"/>
          <w:szCs w:val="24"/>
          <w:lang w:val="en-US"/>
        </w:rPr>
        <w:t>here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 w:rsidRPr="00F66FF5">
        <w:rPr>
          <w:rFonts w:ascii="Symbol" w:eastAsia="Symbol" w:hAnsi="Symbol" w:cs="Symbol"/>
          <w:i/>
          <w:iCs/>
          <w:szCs w:val="24"/>
          <w:lang w:val="en-US"/>
        </w:rPr>
        <w:t>q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 w:rsidRPr="00F66FF5">
        <w:rPr>
          <w:rFonts w:ascii="Symbol" w:eastAsia="Symbol" w:hAnsi="Symbol" w:cs="Symbol"/>
          <w:szCs w:val="24"/>
          <w:lang w:val="en-US"/>
        </w:rPr>
        <w:t>Î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(-</w:t>
      </w:r>
      <w:r w:rsidRPr="00F66FF5">
        <w:rPr>
          <w:rFonts w:ascii="Symbol" w:eastAsia="Symbol" w:hAnsi="Symbol" w:cs="Symbol"/>
          <w:szCs w:val="24"/>
          <w:lang w:val="en-US"/>
        </w:rPr>
        <w:t>¥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Symbol" w:eastAsia="Symbol" w:hAnsi="Symbol" w:cs="Symbol"/>
          <w:szCs w:val="24"/>
          <w:lang w:val="en-US"/>
        </w:rPr>
        <w:t>¥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)</w:t>
      </w:r>
      <w:r w:rsidR="003A26BD">
        <w:rPr>
          <w:rFonts w:ascii="Times New Roman" w:eastAsia="Century Schoolbook" w:hAnsi="Times New Roman" w:cs="Times New Roman"/>
          <w:szCs w:val="24"/>
          <w:lang w:val="en-US"/>
        </w:rPr>
        <w:t xml:space="preserve"> is labeled </w:t>
      </w:r>
      <w:r w:rsidR="003A26BD" w:rsidRPr="003A26BD">
        <w:rPr>
          <w:rFonts w:ascii="Times New Roman" w:eastAsia="Century Schoolbook" w:hAnsi="Times New Roman" w:cs="Times New Roman"/>
          <w:i/>
          <w:iCs/>
          <w:szCs w:val="24"/>
          <w:lang w:val="en-US"/>
        </w:rPr>
        <w:t>intercept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and </w:t>
      </w:r>
      <w:r w:rsidRPr="00F66FF5">
        <w:rPr>
          <w:rFonts w:ascii="Symbol" w:eastAsia="Symbol" w:hAnsi="Symbol" w:cs="Symbol"/>
          <w:i/>
          <w:iCs/>
          <w:szCs w:val="24"/>
          <w:lang w:val="en-US"/>
        </w:rPr>
        <w:t>q</w:t>
      </w:r>
      <w:r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 w:rsidRPr="00F66FF5">
        <w:rPr>
          <w:rFonts w:ascii="Symbol" w:eastAsia="Symbol" w:hAnsi="Symbol" w:cs="Symbol"/>
          <w:szCs w:val="24"/>
          <w:lang w:val="en-US"/>
        </w:rPr>
        <w:t>Î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(0,</w:t>
      </w:r>
      <w:r w:rsidRPr="00F66FF5">
        <w:rPr>
          <w:rFonts w:ascii="Symbol" w:eastAsia="Symbol" w:hAnsi="Symbol" w:cs="Symbol"/>
          <w:szCs w:val="24"/>
          <w:lang w:val="en-US"/>
        </w:rPr>
        <w:t>¥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)</w:t>
      </w:r>
      <w:r w:rsidR="003A26BD">
        <w:rPr>
          <w:rFonts w:ascii="Times New Roman" w:eastAsia="Century Schoolbook" w:hAnsi="Times New Roman" w:cs="Times New Roman"/>
          <w:szCs w:val="24"/>
          <w:lang w:val="en-US"/>
        </w:rPr>
        <w:t xml:space="preserve"> is labeled </w:t>
      </w:r>
      <w:r w:rsidR="003A26BD" w:rsidRPr="003A26BD">
        <w:rPr>
          <w:rFonts w:ascii="Times New Roman" w:eastAsia="Century Schoolbook" w:hAnsi="Times New Roman" w:cs="Times New Roman"/>
          <w:i/>
          <w:iCs/>
          <w:szCs w:val="24"/>
          <w:lang w:val="en-US"/>
        </w:rPr>
        <w:t>slope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 Inserting the data </w:t>
      </w:r>
      <w:r>
        <w:rPr>
          <w:rFonts w:ascii="Times New Roman" w:eastAsia="Century Schoolbook" w:hAnsi="Times New Roman" w:cs="Times New Roman"/>
          <w:szCs w:val="24"/>
          <w:lang w:val="en-US"/>
        </w:rPr>
        <w:t>with and without imputation in Equations 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3.3a-d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yields estimates of the parameters.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Figures 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>3.1 and 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>3.2 show the graphical results.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The numerical values are presented in </w:t>
      </w:r>
      <w:r>
        <w:rPr>
          <w:rFonts w:ascii="Times New Roman" w:eastAsia="Century Schoolbook" w:hAnsi="Times New Roman" w:cs="Times New Roman"/>
          <w:szCs w:val="24"/>
          <w:lang w:val="en-US"/>
        </w:rPr>
        <w:t>T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able </w:t>
      </w:r>
      <w:r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3A26BD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>.1 (imputation) and Table 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3A26BD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>.2 (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complete case</w:t>
      </w:r>
      <w:r>
        <w:rPr>
          <w:rFonts w:ascii="Times New Roman" w:eastAsia="Century Schoolbook" w:hAnsi="Times New Roman" w:cs="Times New Roman"/>
          <w:szCs w:val="24"/>
          <w:lang w:val="en-US"/>
        </w:rPr>
        <w:t>)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.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The maximum likelihood estimate (MLE) of a 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set of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parameter</w:t>
      </w:r>
      <w:r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is determined by taking the coordinates of the mode of </w:t>
      </w:r>
      <w:r>
        <w:rPr>
          <w:rFonts w:ascii="Times New Roman" w:eastAsia="Century Schoolbook" w:hAnsi="Times New Roman" w:cs="Times New Roman"/>
          <w:szCs w:val="24"/>
          <w:lang w:val="en-US"/>
        </w:rPr>
        <w:t>the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posterior joint probability distribution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(see top panels in Figures 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.1 and 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>.2)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. The variance (Var) of a parameter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, say slope (see middle panels of Figures 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.1 and 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>.2),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is determined by calculating the variance of the marginal posterior probability distributions with the other parameter, in this case </w:t>
      </w:r>
      <w:r>
        <w:rPr>
          <w:rFonts w:ascii="Times New Roman" w:eastAsia="Century Schoolbook" w:hAnsi="Times New Roman" w:cs="Times New Roman"/>
          <w:szCs w:val="24"/>
          <w:lang w:val="en-US"/>
        </w:rPr>
        <w:t>intercept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 held constant at its MLE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(i.e. along projections a and b)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 Vice versa for the </w:t>
      </w:r>
      <w:r>
        <w:rPr>
          <w:rFonts w:ascii="Times New Roman" w:eastAsia="Century Schoolbook" w:hAnsi="Times New Roman" w:cs="Times New Roman"/>
          <w:szCs w:val="24"/>
          <w:lang w:val="en-US"/>
        </w:rPr>
        <w:t>intercept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parameter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(see bottom panels of Figures 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.1 and 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="009C1DF5">
        <w:rPr>
          <w:rFonts w:ascii="Times New Roman" w:eastAsia="Century Schoolbook" w:hAnsi="Times New Roman" w:cs="Times New Roman"/>
          <w:szCs w:val="24"/>
          <w:lang w:val="en-US"/>
        </w:rPr>
        <w:t>.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3</w:t>
      </w:r>
      <w:r>
        <w:rPr>
          <w:rFonts w:ascii="Times New Roman" w:eastAsia="Century Schoolbook" w:hAnsi="Times New Roman" w:cs="Times New Roman"/>
          <w:szCs w:val="24"/>
          <w:lang w:val="en-US"/>
        </w:rPr>
        <w:t>.2), i.e. along projections c and d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 The lower bound and upper bound of a parameter are given by MLE </w:t>
      </w:r>
      <w:r w:rsidRPr="00F66FF5">
        <w:rPr>
          <w:rFonts w:ascii="Symbol" w:eastAsia="Symbol" w:hAnsi="Symbol" w:cs="Symbol"/>
          <w:szCs w:val="24"/>
          <w:lang w:val="en-US"/>
        </w:rPr>
        <w:t>±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2*sqrt(Var). For each parameter the Bayesian Confidence Interval (BCI) give</w:t>
      </w:r>
      <w:r w:rsidR="001227C1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the probability of that parameter having a value between its lower and upper bound, conditionally on the other parameter having a value equal to its MLE</w:t>
      </w:r>
      <w:r>
        <w:rPr>
          <w:rFonts w:ascii="Times New Roman" w:eastAsia="Century Schoolbook" w:hAnsi="Times New Roman" w:cs="Times New Roman"/>
          <w:szCs w:val="24"/>
          <w:lang w:val="en-US"/>
        </w:rPr>
        <w:t>.</w:t>
      </w:r>
    </w:p>
    <w:p w14:paraId="05E0F522" w14:textId="558B0224" w:rsidR="003E1677" w:rsidRDefault="00596BB6" w:rsidP="001227C1">
      <w:pPr>
        <w:rPr>
          <w:rFonts w:eastAsia="Century Schoolbook"/>
          <w:lang w:val="en-US"/>
        </w:rPr>
      </w:pPr>
      <w:r>
        <w:rPr>
          <w:rFonts w:eastAsia="Century Schoolbook"/>
          <w:lang w:val="en-US"/>
        </w:rPr>
        <w:t xml:space="preserve">The effect of imputation is most clear from Figures </w:t>
      </w:r>
      <w:r w:rsidR="001227C1">
        <w:rPr>
          <w:rFonts w:eastAsia="Century Schoolbook"/>
          <w:lang w:val="en-US"/>
        </w:rPr>
        <w:t>S</w:t>
      </w:r>
      <w:r w:rsidR="009C1DF5">
        <w:rPr>
          <w:rFonts w:eastAsia="Century Schoolbook"/>
          <w:lang w:val="en-US"/>
        </w:rPr>
        <w:t>.</w:t>
      </w:r>
      <w:r w:rsidR="001227C1">
        <w:rPr>
          <w:rFonts w:eastAsia="Century Schoolbook"/>
          <w:lang w:val="en-US"/>
        </w:rPr>
        <w:t>3</w:t>
      </w:r>
      <w:r>
        <w:rPr>
          <w:rFonts w:eastAsia="Century Schoolbook"/>
          <w:lang w:val="en-US"/>
        </w:rPr>
        <w:t xml:space="preserve">.1 and </w:t>
      </w:r>
      <w:r w:rsidR="001227C1">
        <w:rPr>
          <w:rFonts w:eastAsia="Century Schoolbook"/>
          <w:lang w:val="en-US"/>
        </w:rPr>
        <w:t>S</w:t>
      </w:r>
      <w:r w:rsidR="009C1DF5">
        <w:rPr>
          <w:rFonts w:eastAsia="Century Schoolbook"/>
          <w:lang w:val="en-US"/>
        </w:rPr>
        <w:t>.</w:t>
      </w:r>
      <w:r w:rsidR="001227C1">
        <w:rPr>
          <w:rFonts w:eastAsia="Century Schoolbook"/>
          <w:lang w:val="en-US"/>
        </w:rPr>
        <w:t>3</w:t>
      </w:r>
      <w:r>
        <w:rPr>
          <w:rFonts w:eastAsia="Century Schoolbook"/>
          <w:lang w:val="en-US"/>
        </w:rPr>
        <w:t xml:space="preserve">.2. The left panel in the middle row of Figure </w:t>
      </w:r>
      <w:r w:rsidR="001227C1">
        <w:rPr>
          <w:rFonts w:eastAsia="Century Schoolbook"/>
          <w:lang w:val="en-US"/>
        </w:rPr>
        <w:t>S</w:t>
      </w:r>
      <w:r w:rsidR="009C1DF5">
        <w:rPr>
          <w:rFonts w:eastAsia="Century Schoolbook"/>
          <w:lang w:val="en-US"/>
        </w:rPr>
        <w:t>.</w:t>
      </w:r>
      <w:r w:rsidR="001227C1">
        <w:rPr>
          <w:rFonts w:eastAsia="Century Schoolbook"/>
          <w:lang w:val="en-US"/>
        </w:rPr>
        <w:t>3</w:t>
      </w:r>
      <w:r>
        <w:rPr>
          <w:rFonts w:eastAsia="Century Schoolbook"/>
          <w:lang w:val="en-US"/>
        </w:rPr>
        <w:t xml:space="preserve">.1 shows that imputation affects estimation of the slope parameter for SEDEP and hearing loss most. Both the MLE and variance are affected. After imputation the MLEs of the slopes of </w:t>
      </w:r>
      <w:r w:rsidRPr="00644DCA">
        <w:rPr>
          <w:rFonts w:eastAsia="Century Schoolbook"/>
          <w:i/>
          <w:iCs/>
          <w:lang w:val="en-US"/>
        </w:rPr>
        <w:t>S</w:t>
      </w:r>
      <w:r w:rsidRPr="00644DCA">
        <w:rPr>
          <w:rFonts w:eastAsia="Century Schoolbook"/>
          <w:vertAlign w:val="subscript"/>
          <w:lang w:val="en-US"/>
        </w:rPr>
        <w:t>1</w:t>
      </w:r>
      <w:r>
        <w:rPr>
          <w:rFonts w:eastAsia="Century Schoolbook"/>
          <w:lang w:val="en-US"/>
        </w:rPr>
        <w:t xml:space="preserve"> and </w:t>
      </w:r>
      <w:r w:rsidRPr="00644DCA">
        <w:rPr>
          <w:rFonts w:eastAsia="Century Schoolbook"/>
          <w:i/>
          <w:iCs/>
          <w:lang w:val="en-US"/>
        </w:rPr>
        <w:t>S</w:t>
      </w:r>
      <w:r w:rsidRPr="00644DCA">
        <w:rPr>
          <w:rFonts w:eastAsia="Century Schoolbook"/>
          <w:vertAlign w:val="subscript"/>
          <w:lang w:val="en-US"/>
        </w:rPr>
        <w:t>2</w:t>
      </w:r>
      <w:r>
        <w:rPr>
          <w:rFonts w:eastAsia="Century Schoolbook"/>
          <w:lang w:val="en-US"/>
        </w:rPr>
        <w:t xml:space="preserve"> are almost equal, and the variance of the posterior distribution has decreased compared to the result </w:t>
      </w:r>
      <w:r w:rsidR="001227C1">
        <w:rPr>
          <w:rFonts w:eastAsia="Century Schoolbook"/>
          <w:lang w:val="en-US"/>
        </w:rPr>
        <w:t>for complete case analysis</w:t>
      </w:r>
      <w:r>
        <w:rPr>
          <w:rFonts w:eastAsia="Century Schoolbook"/>
          <w:lang w:val="en-US"/>
        </w:rPr>
        <w:t xml:space="preserve">. This decreased </w:t>
      </w:r>
      <w:r>
        <w:rPr>
          <w:rFonts w:eastAsia="Century Schoolbook"/>
          <w:lang w:val="en-US"/>
        </w:rPr>
        <w:lastRenderedPageBreak/>
        <w:t>variance of the posterior probability distribution is seen for all parameters when results</w:t>
      </w:r>
      <w:r w:rsidRPr="006902F9">
        <w:rPr>
          <w:rFonts w:eastAsia="Century Schoolbook"/>
          <w:lang w:val="en-US"/>
        </w:rPr>
        <w:t xml:space="preserve"> </w:t>
      </w:r>
      <w:r>
        <w:rPr>
          <w:rFonts w:eastAsia="Century Schoolbook"/>
          <w:lang w:val="en-US"/>
        </w:rPr>
        <w:t xml:space="preserve">with imputation are compared to results </w:t>
      </w:r>
      <w:r w:rsidR="001227C1">
        <w:rPr>
          <w:rFonts w:eastAsia="Century Schoolbook"/>
          <w:lang w:val="en-US"/>
        </w:rPr>
        <w:t>for complete case analysis</w:t>
      </w:r>
      <w:r>
        <w:rPr>
          <w:rFonts w:eastAsia="Century Schoolbook"/>
          <w:lang w:val="en-US"/>
        </w:rPr>
        <w:t>.</w:t>
      </w:r>
    </w:p>
    <w:p w14:paraId="0CCF0716" w14:textId="77777777" w:rsidR="00F350D1" w:rsidRDefault="00F350D1" w:rsidP="001227C1">
      <w:pPr>
        <w:rPr>
          <w:rFonts w:eastAsia="Century Schoolbook"/>
          <w:lang w:val="en-US"/>
        </w:rPr>
      </w:pPr>
    </w:p>
    <w:p w14:paraId="6D4BD42E" w14:textId="17BBD011" w:rsidR="00F350D1" w:rsidRPr="00F350D1" w:rsidRDefault="00F350D1" w:rsidP="001227C1">
      <w:pPr>
        <w:rPr>
          <w:rFonts w:eastAsia="Century Schoolbook"/>
          <w:b/>
          <w:bCs/>
          <w:lang w:val="en-US"/>
        </w:rPr>
      </w:pPr>
      <w:r w:rsidRPr="00F350D1">
        <w:rPr>
          <w:rFonts w:eastAsia="Century Schoolbook"/>
          <w:b/>
          <w:bCs/>
          <w:lang w:val="en-US"/>
        </w:rPr>
        <w:t>References</w:t>
      </w:r>
    </w:p>
    <w:p w14:paraId="1562B6EF" w14:textId="77777777" w:rsidR="00A7224E" w:rsidRDefault="00A7224E" w:rsidP="001227C1">
      <w:pPr>
        <w:rPr>
          <w:rFonts w:eastAsia="Century Schoolbook"/>
          <w:lang w:val="en-US"/>
        </w:rPr>
      </w:pPr>
    </w:p>
    <w:sdt>
      <w:sdtPr>
        <w:rPr>
          <w:rFonts w:eastAsia="Century Schoolbook"/>
          <w:color w:val="000000"/>
          <w:sz w:val="20"/>
          <w:szCs w:val="20"/>
          <w:lang w:val="en-US"/>
        </w:rPr>
        <w:tag w:val="MENDELEY_BIBLIOGRAPHY"/>
        <w:id w:val="262652275"/>
        <w:placeholder>
          <w:docPart w:val="DefaultPlaceholder_-1854013440"/>
        </w:placeholder>
      </w:sdtPr>
      <w:sdtEndPr/>
      <w:sdtContent>
        <w:p w14:paraId="375F64B6" w14:textId="77777777" w:rsidR="003F7404" w:rsidRPr="001D07B8" w:rsidRDefault="003F7404">
          <w:pPr>
            <w:autoSpaceDE w:val="0"/>
            <w:autoSpaceDN w:val="0"/>
            <w:ind w:hanging="480"/>
            <w:divId w:val="1339962395"/>
            <w:rPr>
              <w:color w:val="000000"/>
              <w:sz w:val="22"/>
              <w:szCs w:val="22"/>
            </w:rPr>
          </w:pPr>
          <w:r w:rsidRPr="001D07B8">
            <w:rPr>
              <w:color w:val="000000"/>
              <w:sz w:val="22"/>
              <w:szCs w:val="22"/>
              <w:lang w:val="en-US"/>
            </w:rPr>
            <w:t xml:space="preserve">Box, G. E. P., &amp; Tiao, G. C. (1992). </w:t>
          </w:r>
          <w:r w:rsidRPr="001D07B8">
            <w:rPr>
              <w:i/>
              <w:iCs/>
              <w:color w:val="000000"/>
              <w:sz w:val="22"/>
              <w:szCs w:val="22"/>
              <w:lang w:val="en-US"/>
            </w:rPr>
            <w:t>Bayesian Inference in Statistical Analysis</w:t>
          </w:r>
          <w:r w:rsidRPr="001D07B8">
            <w:rPr>
              <w:color w:val="000000"/>
              <w:sz w:val="22"/>
              <w:szCs w:val="22"/>
              <w:lang w:val="en-US"/>
            </w:rPr>
            <w:t xml:space="preserve"> (Wiley Classical). </w:t>
          </w:r>
          <w:r w:rsidRPr="001D07B8">
            <w:rPr>
              <w:color w:val="000000"/>
              <w:sz w:val="22"/>
              <w:szCs w:val="22"/>
            </w:rPr>
            <w:t xml:space="preserve">John </w:t>
          </w:r>
          <w:proofErr w:type="spellStart"/>
          <w:r w:rsidRPr="001D07B8">
            <w:rPr>
              <w:color w:val="000000"/>
              <w:sz w:val="22"/>
              <w:szCs w:val="22"/>
            </w:rPr>
            <w:t>Wiley</w:t>
          </w:r>
          <w:proofErr w:type="spellEnd"/>
          <w:r w:rsidRPr="001D07B8">
            <w:rPr>
              <w:color w:val="000000"/>
              <w:sz w:val="22"/>
              <w:szCs w:val="22"/>
            </w:rPr>
            <w:t xml:space="preserve"> </w:t>
          </w:r>
          <w:proofErr w:type="spellStart"/>
          <w:r w:rsidRPr="001D07B8">
            <w:rPr>
              <w:color w:val="000000"/>
              <w:sz w:val="22"/>
              <w:szCs w:val="22"/>
            </w:rPr>
            <w:t>and</w:t>
          </w:r>
          <w:proofErr w:type="spellEnd"/>
          <w:r w:rsidRPr="001D07B8">
            <w:rPr>
              <w:color w:val="000000"/>
              <w:sz w:val="22"/>
              <w:szCs w:val="22"/>
            </w:rPr>
            <w:t xml:space="preserve"> </w:t>
          </w:r>
          <w:proofErr w:type="spellStart"/>
          <w:r w:rsidRPr="001D07B8">
            <w:rPr>
              <w:color w:val="000000"/>
              <w:sz w:val="22"/>
              <w:szCs w:val="22"/>
            </w:rPr>
            <w:t>Sons</w:t>
          </w:r>
          <w:proofErr w:type="spellEnd"/>
          <w:r w:rsidRPr="001D07B8">
            <w:rPr>
              <w:color w:val="000000"/>
              <w:sz w:val="22"/>
              <w:szCs w:val="22"/>
            </w:rPr>
            <w:t>, Inc.</w:t>
          </w:r>
        </w:p>
        <w:p w14:paraId="08FAE275" w14:textId="61C7C119" w:rsidR="007E47ED" w:rsidRPr="004855DC" w:rsidRDefault="001D07B8" w:rsidP="001227C1">
          <w:pPr>
            <w:rPr>
              <w:rFonts w:eastAsia="Century Schoolbook"/>
              <w:sz w:val="20"/>
              <w:szCs w:val="20"/>
              <w:lang w:val="en-US"/>
            </w:rPr>
          </w:pPr>
        </w:p>
      </w:sdtContent>
    </w:sdt>
    <w:p w14:paraId="31DE6055" w14:textId="2AA32E0F" w:rsidR="00C17DF6" w:rsidRPr="00C17DF6" w:rsidRDefault="00C17DF6" w:rsidP="001227C1">
      <w:pPr>
        <w:rPr>
          <w:rFonts w:eastAsia="Century Schoolbook"/>
          <w:b/>
          <w:bCs/>
          <w:lang w:val="en-US"/>
        </w:rPr>
      </w:pPr>
      <w:r>
        <w:rPr>
          <w:rFonts w:eastAsia="Century Schoolbook"/>
          <w:b/>
          <w:bCs/>
          <w:lang w:val="en-US"/>
        </w:rPr>
        <w:t xml:space="preserve">Figures </w:t>
      </w:r>
      <w:r w:rsidR="004855DC">
        <w:rPr>
          <w:rFonts w:eastAsia="Century Schoolbook"/>
          <w:b/>
          <w:bCs/>
          <w:lang w:val="en-US"/>
        </w:rPr>
        <w:t>captions</w:t>
      </w:r>
    </w:p>
    <w:p w14:paraId="2B8F8ED3" w14:textId="64E5B120" w:rsidR="00596BB6" w:rsidRDefault="00596BB6" w:rsidP="00596BB6">
      <w:pPr>
        <w:rPr>
          <w:lang w:val="en-US"/>
        </w:rPr>
      </w:pPr>
    </w:p>
    <w:p w14:paraId="7B66E924" w14:textId="51993E44" w:rsidR="00596BB6" w:rsidRPr="002D4015" w:rsidRDefault="00596BB6" w:rsidP="00596BB6">
      <w:pPr>
        <w:rPr>
          <w:lang w:val="en-US"/>
        </w:rPr>
      </w:pPr>
      <w:r w:rsidRPr="002D4015">
        <w:rPr>
          <w:lang w:val="en-US"/>
        </w:rPr>
        <w:t xml:space="preserve">Figure </w:t>
      </w:r>
      <w:r>
        <w:rPr>
          <w:lang w:val="en-US"/>
        </w:rPr>
        <w:t>S</w:t>
      </w:r>
      <w:r w:rsidR="003D3A63">
        <w:rPr>
          <w:lang w:val="en-US"/>
        </w:rPr>
        <w:t>.</w:t>
      </w:r>
      <w:r>
        <w:rPr>
          <w:lang w:val="en-US"/>
        </w:rPr>
        <w:t>3</w:t>
      </w:r>
      <w:r w:rsidRPr="002D4015">
        <w:rPr>
          <w:lang w:val="en-US"/>
        </w:rPr>
        <w:t xml:space="preserve">.1. Results of the Bayesian fitting procedure for </w:t>
      </w:r>
      <w:r>
        <w:rPr>
          <w:lang w:val="en-US"/>
        </w:rPr>
        <w:t xml:space="preserve">decisions to </w:t>
      </w:r>
      <w:r w:rsidRPr="002D4015">
        <w:rPr>
          <w:lang w:val="en-US"/>
        </w:rPr>
        <w:t xml:space="preserve">start an evaluation period (SEDEP) and psychosocial </w:t>
      </w:r>
      <w:r>
        <w:rPr>
          <w:lang w:val="en-US"/>
        </w:rPr>
        <w:t>counseling</w:t>
      </w:r>
      <w:r w:rsidRPr="002D4015">
        <w:rPr>
          <w:lang w:val="en-US"/>
        </w:rPr>
        <w:t xml:space="preserve"> (PCU) with hearing loss as driver. Top panels show contour plots of the joint posterior probability density functions of the parameters intercept (ordinate) and slope (abscissa) of populations </w:t>
      </w:r>
      <w:r w:rsidRPr="00644DCA">
        <w:rPr>
          <w:i/>
          <w:iCs/>
          <w:lang w:val="en-US"/>
        </w:rPr>
        <w:t>S</w:t>
      </w:r>
      <w:r w:rsidRPr="00644DC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(</w:t>
      </w:r>
      <w:r>
        <w:rPr>
          <w:lang w:val="en-US"/>
        </w:rPr>
        <w:t>no clinically important change</w:t>
      </w:r>
      <w:r w:rsidRPr="002D4015">
        <w:rPr>
          <w:lang w:val="en-US"/>
        </w:rPr>
        <w:t xml:space="preserve">, solid lines) and </w:t>
      </w:r>
      <w:r w:rsidRPr="00644DCA">
        <w:rPr>
          <w:i/>
          <w:iCs/>
          <w:lang w:val="en-US"/>
        </w:rPr>
        <w:t>S</w:t>
      </w:r>
      <w:r w:rsidRPr="00644DCA">
        <w:rPr>
          <w:vertAlign w:val="subscript"/>
          <w:lang w:val="en-US"/>
        </w:rPr>
        <w:t>2</w:t>
      </w:r>
      <w:r w:rsidRPr="002D4015">
        <w:rPr>
          <w:lang w:val="en-US"/>
        </w:rPr>
        <w:t xml:space="preserve"> (</w:t>
      </w:r>
      <w:r>
        <w:rPr>
          <w:lang w:val="en-US"/>
        </w:rPr>
        <w:t>clinically important change</w:t>
      </w:r>
      <w:r w:rsidRPr="002D4015">
        <w:rPr>
          <w:lang w:val="en-US"/>
        </w:rPr>
        <w:t xml:space="preserve">, dashed lines) with imputation. Circles mark the modes of the distributions and correspond to the maximum likelihood estimates of intercept and slope. The line marked </w:t>
      </w:r>
      <w:r w:rsidRPr="00644DCA">
        <w:rPr>
          <w:i/>
          <w:iCs/>
          <w:lang w:val="en-US"/>
        </w:rPr>
        <w:t>a</w:t>
      </w:r>
      <w:r w:rsidRPr="002D4015">
        <w:rPr>
          <w:lang w:val="en-US"/>
        </w:rPr>
        <w:t xml:space="preserve"> indicates the projection of the marginal distribution of the slope parameter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, conditional on the intercept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having a value equal to its maximum likelihood estimate. Likewise, line </w:t>
      </w:r>
      <w:r w:rsidRPr="00644DCA">
        <w:rPr>
          <w:i/>
          <w:iCs/>
          <w:lang w:val="en-US"/>
        </w:rPr>
        <w:t>b</w:t>
      </w:r>
      <w:r w:rsidRPr="002D4015">
        <w:rPr>
          <w:lang w:val="en-US"/>
        </w:rPr>
        <w:t xml:space="preserve"> marks the same projection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>.</w:t>
      </w:r>
    </w:p>
    <w:p w14:paraId="360B1692" w14:textId="77777777" w:rsidR="00596BB6" w:rsidRPr="002D4015" w:rsidRDefault="00596BB6" w:rsidP="00596BB6">
      <w:pPr>
        <w:rPr>
          <w:lang w:val="en-US"/>
        </w:rPr>
      </w:pPr>
      <w:r w:rsidRPr="002D4015">
        <w:rPr>
          <w:lang w:val="en-US"/>
        </w:rPr>
        <w:t>The projections along line</w:t>
      </w:r>
      <w:r>
        <w:rPr>
          <w:lang w:val="en-US"/>
        </w:rPr>
        <w:t>s</w:t>
      </w:r>
      <w:r w:rsidRPr="002D4015">
        <w:rPr>
          <w:lang w:val="en-US"/>
        </w:rPr>
        <w:t xml:space="preserve"> </w:t>
      </w:r>
      <w:r w:rsidRPr="00644DCA">
        <w:rPr>
          <w:i/>
          <w:iCs/>
          <w:lang w:val="en-US"/>
        </w:rPr>
        <w:t>a</w:t>
      </w:r>
      <w:r w:rsidRPr="002D4015">
        <w:rPr>
          <w:lang w:val="en-US"/>
        </w:rPr>
        <w:t xml:space="preserve"> and </w:t>
      </w:r>
      <w:r w:rsidRPr="00644DCA">
        <w:rPr>
          <w:i/>
          <w:iCs/>
          <w:lang w:val="en-US"/>
        </w:rPr>
        <w:t>b</w:t>
      </w:r>
      <w:r w:rsidRPr="002D4015">
        <w:rPr>
          <w:lang w:val="en-US"/>
        </w:rPr>
        <w:t xml:space="preserve"> of the marginal probability density functions for the slope parameters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 xml:space="preserve"> are shown in the middle row panels. Solid lines mark </w:t>
      </w:r>
      <w:r>
        <w:rPr>
          <w:lang w:val="en-US"/>
        </w:rPr>
        <w:t xml:space="preserve">results </w:t>
      </w:r>
      <w:r w:rsidRPr="002D4015">
        <w:rPr>
          <w:lang w:val="en-US"/>
        </w:rPr>
        <w:t xml:space="preserve">with imputation and dashed lines </w:t>
      </w:r>
      <w:r>
        <w:rPr>
          <w:lang w:val="en-US"/>
        </w:rPr>
        <w:t>for complete case analysis</w:t>
      </w:r>
      <w:r w:rsidRPr="002D4015">
        <w:rPr>
          <w:lang w:val="en-US"/>
        </w:rPr>
        <w:t>. The vertical dashed line located at slope = 0 indicates the lower bound of the integration range to calculate the probability of slope &gt;</w:t>
      </w:r>
      <w:r>
        <w:rPr>
          <w:lang w:val="en-US"/>
        </w:rPr>
        <w:t xml:space="preserve"> </w:t>
      </w:r>
      <w:r w:rsidRPr="002D4015">
        <w:rPr>
          <w:lang w:val="en-US"/>
        </w:rPr>
        <w:t>0, which is used for statistically testing the rejection of the null hypothesis.</w:t>
      </w:r>
    </w:p>
    <w:p w14:paraId="626DA8B1" w14:textId="77777777" w:rsidR="00596BB6" w:rsidRDefault="00596BB6" w:rsidP="00596BB6">
      <w:pPr>
        <w:rPr>
          <w:lang w:val="en-US"/>
        </w:rPr>
      </w:pPr>
      <w:r w:rsidRPr="002D4015">
        <w:rPr>
          <w:lang w:val="en-US"/>
        </w:rPr>
        <w:t xml:space="preserve">Lines </w:t>
      </w:r>
      <w:r w:rsidRPr="00644DCA">
        <w:rPr>
          <w:i/>
          <w:iCs/>
          <w:lang w:val="en-US"/>
        </w:rPr>
        <w:t>c</w:t>
      </w:r>
      <w:r w:rsidRPr="002D4015">
        <w:rPr>
          <w:lang w:val="en-US"/>
        </w:rPr>
        <w:t xml:space="preserve"> and </w:t>
      </w:r>
      <w:r w:rsidRPr="00644DCA">
        <w:rPr>
          <w:i/>
          <w:iCs/>
          <w:lang w:val="en-US"/>
        </w:rPr>
        <w:t>d</w:t>
      </w:r>
      <w:r w:rsidRPr="002D4015">
        <w:rPr>
          <w:lang w:val="en-US"/>
        </w:rPr>
        <w:t xml:space="preserve"> in the top panels mark the projections of the marginal probability density functions of the intercept, conditional on the slope having a value equal to its maximum likelihood estimate. The projections along line </w:t>
      </w:r>
      <w:r w:rsidRPr="00644DCA">
        <w:rPr>
          <w:i/>
          <w:iCs/>
          <w:lang w:val="en-US"/>
        </w:rPr>
        <w:t>c</w:t>
      </w:r>
      <w:r w:rsidRPr="002D4015">
        <w:rPr>
          <w:lang w:val="en-US"/>
        </w:rPr>
        <w:t xml:space="preserve"> and </w:t>
      </w:r>
      <w:r w:rsidRPr="00644DCA">
        <w:rPr>
          <w:i/>
          <w:iCs/>
          <w:lang w:val="en-US"/>
        </w:rPr>
        <w:t>d</w:t>
      </w:r>
      <w:r w:rsidRPr="002D4015">
        <w:rPr>
          <w:lang w:val="en-US"/>
        </w:rPr>
        <w:t xml:space="preserve"> of the marginal probability density functions for the intercept parameters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 xml:space="preserve"> are shown in the bottom row panels. Again, solid lines mark results with imputation and dashed</w:t>
      </w:r>
      <w:r>
        <w:rPr>
          <w:lang w:val="en-US"/>
        </w:rPr>
        <w:t xml:space="preserve"> lines</w:t>
      </w:r>
      <w:r w:rsidRPr="002D4015">
        <w:rPr>
          <w:lang w:val="en-US"/>
        </w:rPr>
        <w:t xml:space="preserve"> </w:t>
      </w:r>
      <w:r>
        <w:rPr>
          <w:lang w:val="en-US"/>
        </w:rPr>
        <w:t>for complete case analysis</w:t>
      </w:r>
      <w:r w:rsidRPr="002D4015">
        <w:rPr>
          <w:lang w:val="en-US"/>
        </w:rPr>
        <w:t>.</w:t>
      </w:r>
    </w:p>
    <w:p w14:paraId="6D2FCCDA" w14:textId="77777777" w:rsidR="00596BB6" w:rsidRDefault="00596BB6" w:rsidP="00596BB6">
      <w:pPr>
        <w:rPr>
          <w:lang w:val="en-US"/>
        </w:rPr>
      </w:pPr>
    </w:p>
    <w:p w14:paraId="1ECD7409" w14:textId="512AB1B1" w:rsidR="003A26BD" w:rsidRDefault="003A26BD" w:rsidP="00596BB6">
      <w:pPr>
        <w:rPr>
          <w:lang w:val="en-US"/>
        </w:rPr>
      </w:pPr>
    </w:p>
    <w:p w14:paraId="1B8FA237" w14:textId="575E2408" w:rsidR="003A26BD" w:rsidRPr="002D4015" w:rsidRDefault="003A26BD" w:rsidP="003A26BD">
      <w:pPr>
        <w:rPr>
          <w:lang w:val="en-US"/>
        </w:rPr>
      </w:pPr>
      <w:r w:rsidRPr="006673FB">
        <w:rPr>
          <w:lang w:val="en-US"/>
        </w:rPr>
        <w:t xml:space="preserve">Figure </w:t>
      </w:r>
      <w:r>
        <w:rPr>
          <w:lang w:val="en-US"/>
        </w:rPr>
        <w:t>S</w:t>
      </w:r>
      <w:r w:rsidR="003D3A63">
        <w:rPr>
          <w:lang w:val="en-US"/>
        </w:rPr>
        <w:t>.</w:t>
      </w:r>
      <w:r>
        <w:rPr>
          <w:lang w:val="en-US"/>
        </w:rPr>
        <w:t>3</w:t>
      </w:r>
      <w:r w:rsidRPr="006673FB">
        <w:rPr>
          <w:lang w:val="en-US"/>
        </w:rPr>
        <w:t xml:space="preserve">.2. </w:t>
      </w:r>
      <w:r w:rsidRPr="002D4015">
        <w:rPr>
          <w:lang w:val="en-US"/>
        </w:rPr>
        <w:t xml:space="preserve">Results of the Bayesian fitting procedure for </w:t>
      </w:r>
      <w:r>
        <w:rPr>
          <w:lang w:val="en-US"/>
        </w:rPr>
        <w:t>decisions to start</w:t>
      </w:r>
      <w:r w:rsidRPr="002D4015">
        <w:rPr>
          <w:lang w:val="en-US"/>
        </w:rPr>
        <w:t xml:space="preserve"> an evaluation period (SEDEP) and psychosocial </w:t>
      </w:r>
      <w:r>
        <w:rPr>
          <w:lang w:val="en-US"/>
        </w:rPr>
        <w:t>counseling</w:t>
      </w:r>
      <w:r w:rsidRPr="002D4015">
        <w:rPr>
          <w:lang w:val="en-US"/>
        </w:rPr>
        <w:t xml:space="preserve"> (PCU) with </w:t>
      </w:r>
      <w:r>
        <w:rPr>
          <w:lang w:val="en-US"/>
        </w:rPr>
        <w:t>baseline THI-score</w:t>
      </w:r>
      <w:r w:rsidRPr="002D4015">
        <w:rPr>
          <w:lang w:val="en-US"/>
        </w:rPr>
        <w:t xml:space="preserve"> as driver. Top panels show contour plots of the joint posterior probability density functions of the parameters intercept (ordinate) and slope (abscissa) of populations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(</w:t>
      </w:r>
      <w:r>
        <w:rPr>
          <w:lang w:val="en-US"/>
        </w:rPr>
        <w:t>no clinically important change</w:t>
      </w:r>
      <w:r w:rsidRPr="002D4015">
        <w:rPr>
          <w:lang w:val="en-US"/>
        </w:rPr>
        <w:t xml:space="preserve">, solid lines) and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 xml:space="preserve"> (</w:t>
      </w:r>
      <w:r>
        <w:rPr>
          <w:lang w:val="en-US"/>
        </w:rPr>
        <w:t>clinically important change</w:t>
      </w:r>
      <w:r w:rsidRPr="002D4015">
        <w:rPr>
          <w:lang w:val="en-US"/>
        </w:rPr>
        <w:t xml:space="preserve">, dashed lines) with imputation. Circles mark the modes of the distributions and correspond to the maximum likelihood estimates of intercept and slope. The line marked </w:t>
      </w:r>
      <w:r w:rsidRPr="00AB1B1A">
        <w:rPr>
          <w:i/>
          <w:iCs/>
          <w:lang w:val="en-US"/>
        </w:rPr>
        <w:t>a</w:t>
      </w:r>
      <w:r w:rsidRPr="002D4015">
        <w:rPr>
          <w:lang w:val="en-US"/>
        </w:rPr>
        <w:t xml:space="preserve"> indicates the projection of the marginal distribution of the slope parameter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, conditional on the intercept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having a value equal to its maximum likelihood estimate. Likewise, line </w:t>
      </w:r>
      <w:r w:rsidRPr="00AB1B1A">
        <w:rPr>
          <w:i/>
          <w:iCs/>
          <w:lang w:val="en-US"/>
        </w:rPr>
        <w:t>b</w:t>
      </w:r>
      <w:r w:rsidRPr="002D4015">
        <w:rPr>
          <w:lang w:val="en-US"/>
        </w:rPr>
        <w:t xml:space="preserve"> marks the same projection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>.</w:t>
      </w:r>
    </w:p>
    <w:p w14:paraId="704EDA70" w14:textId="77777777" w:rsidR="003A26BD" w:rsidRPr="002D4015" w:rsidRDefault="003A26BD" w:rsidP="003A26BD">
      <w:pPr>
        <w:rPr>
          <w:lang w:val="en-US"/>
        </w:rPr>
      </w:pPr>
      <w:r w:rsidRPr="002D4015">
        <w:rPr>
          <w:lang w:val="en-US"/>
        </w:rPr>
        <w:t>The projections along line</w:t>
      </w:r>
      <w:r>
        <w:rPr>
          <w:lang w:val="en-US"/>
        </w:rPr>
        <w:t>s</w:t>
      </w:r>
      <w:r w:rsidRPr="002D4015">
        <w:rPr>
          <w:lang w:val="en-US"/>
        </w:rPr>
        <w:t xml:space="preserve"> </w:t>
      </w:r>
      <w:r w:rsidRPr="00AB1B1A">
        <w:rPr>
          <w:i/>
          <w:iCs/>
          <w:lang w:val="en-US"/>
        </w:rPr>
        <w:t>a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b</w:t>
      </w:r>
      <w:r w:rsidRPr="002D4015">
        <w:rPr>
          <w:lang w:val="en-US"/>
        </w:rPr>
        <w:t xml:space="preserve"> of the marginal probability density functions for the slope parameters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 xml:space="preserve"> are shown in the middle row panels. Solid lines mark </w:t>
      </w:r>
      <w:r>
        <w:rPr>
          <w:lang w:val="en-US"/>
        </w:rPr>
        <w:t xml:space="preserve">results </w:t>
      </w:r>
      <w:r w:rsidRPr="002D4015">
        <w:rPr>
          <w:lang w:val="en-US"/>
        </w:rPr>
        <w:t xml:space="preserve">with imputation and dashed lines </w:t>
      </w:r>
      <w:r>
        <w:rPr>
          <w:lang w:val="en-US"/>
        </w:rPr>
        <w:t>for complete case analysis</w:t>
      </w:r>
      <w:r w:rsidRPr="002D4015">
        <w:rPr>
          <w:lang w:val="en-US"/>
        </w:rPr>
        <w:t>. The vertical dashed line located at slope = 0 indicates the lower bound of the integration range to calculate the probability of slope &gt;</w:t>
      </w:r>
      <w:r>
        <w:rPr>
          <w:lang w:val="en-US"/>
        </w:rPr>
        <w:t xml:space="preserve"> </w:t>
      </w:r>
      <w:r w:rsidRPr="002D4015">
        <w:rPr>
          <w:lang w:val="en-US"/>
        </w:rPr>
        <w:t>0, which is used for statistically testing the rejection of the null hypothesis.</w:t>
      </w:r>
    </w:p>
    <w:p w14:paraId="77EEB481" w14:textId="1C1EFF50" w:rsidR="003A26BD" w:rsidRDefault="003A26BD" w:rsidP="003A26BD">
      <w:pPr>
        <w:rPr>
          <w:lang w:val="en-US"/>
        </w:rPr>
      </w:pPr>
      <w:r w:rsidRPr="002D4015">
        <w:rPr>
          <w:lang w:val="en-US"/>
        </w:rPr>
        <w:t xml:space="preserve">Lines </w:t>
      </w:r>
      <w:r w:rsidRPr="00AB1B1A">
        <w:rPr>
          <w:i/>
          <w:iCs/>
          <w:lang w:val="en-US"/>
        </w:rPr>
        <w:t>c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d</w:t>
      </w:r>
      <w:r w:rsidRPr="002D4015">
        <w:rPr>
          <w:lang w:val="en-US"/>
        </w:rPr>
        <w:t xml:space="preserve"> in the top panels mark the projections of the marginal probability density functions of the intercept, conditional on the slope having a value equal to its maximum likelihood estimate. The projections along line </w:t>
      </w:r>
      <w:r w:rsidRPr="00AB1B1A">
        <w:rPr>
          <w:i/>
          <w:iCs/>
          <w:lang w:val="en-US"/>
        </w:rPr>
        <w:t>c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d</w:t>
      </w:r>
      <w:r w:rsidRPr="002D4015">
        <w:rPr>
          <w:lang w:val="en-US"/>
        </w:rPr>
        <w:t xml:space="preserve"> of the marginal probability density functions for the intercept parameters for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1</w:t>
      </w:r>
      <w:r w:rsidRPr="002D4015">
        <w:rPr>
          <w:lang w:val="en-US"/>
        </w:rPr>
        <w:t xml:space="preserve"> and </w:t>
      </w:r>
      <w:r w:rsidRPr="00AB1B1A">
        <w:rPr>
          <w:i/>
          <w:iCs/>
          <w:lang w:val="en-US"/>
        </w:rPr>
        <w:t>S</w:t>
      </w:r>
      <w:r w:rsidRPr="00AB1B1A">
        <w:rPr>
          <w:vertAlign w:val="subscript"/>
          <w:lang w:val="en-US"/>
        </w:rPr>
        <w:t>2</w:t>
      </w:r>
      <w:r w:rsidRPr="002D4015">
        <w:rPr>
          <w:lang w:val="en-US"/>
        </w:rPr>
        <w:t xml:space="preserve"> are shown in the bottom row panels. Again, solid lines mark results with imputation and dashed </w:t>
      </w:r>
      <w:r>
        <w:rPr>
          <w:lang w:val="en-US"/>
        </w:rPr>
        <w:t>lines for complete case analysis</w:t>
      </w:r>
      <w:r w:rsidRPr="002D4015">
        <w:rPr>
          <w:lang w:val="en-US"/>
        </w:rPr>
        <w:t>.</w:t>
      </w:r>
    </w:p>
    <w:p w14:paraId="145437D8" w14:textId="77777777" w:rsidR="003A26BD" w:rsidRDefault="003A26BD" w:rsidP="003A26BD">
      <w:pPr>
        <w:rPr>
          <w:lang w:val="en-US"/>
        </w:rPr>
        <w:sectPr w:rsidR="003A26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96DF4" w14:textId="50EFB077" w:rsidR="001227C1" w:rsidRDefault="001227C1" w:rsidP="001227C1">
      <w:pPr>
        <w:rPr>
          <w:rFonts w:ascii="Century Schoolbook" w:eastAsia="Century Schoolbook" w:hAnsi="Century Schoolbook" w:cs="Century Schoolbook"/>
          <w:sz w:val="18"/>
          <w:szCs w:val="18"/>
          <w:lang w:val="en-US"/>
        </w:rPr>
      </w:pP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lastRenderedPageBreak/>
        <w:t xml:space="preserve">Table 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S</w:t>
      </w:r>
      <w:r w:rsidR="003D3A63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.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3.1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. Numerical values of the parameters intercept and slope for populations </w:t>
      </w:r>
      <w:r w:rsidRPr="00EB5A91">
        <w:rPr>
          <w:rFonts w:ascii="Century Schoolbook" w:eastAsia="Century Schoolbook" w:hAnsi="Century Schoolbook" w:cs="Century Schoolbook"/>
          <w:i/>
          <w:iCs/>
          <w:sz w:val="18"/>
          <w:szCs w:val="18"/>
          <w:lang w:val="en-US"/>
        </w:rPr>
        <w:t>S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vertAlign w:val="subscript"/>
          <w:lang w:val="en-US"/>
        </w:rPr>
        <w:t>1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(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no clinically significant improvement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) and </w:t>
      </w:r>
      <w:r w:rsidRPr="00EB5A91">
        <w:rPr>
          <w:rFonts w:ascii="Century Schoolbook" w:eastAsia="Century Schoolbook" w:hAnsi="Century Schoolbook" w:cs="Century Schoolbook"/>
          <w:i/>
          <w:iCs/>
          <w:sz w:val="18"/>
          <w:szCs w:val="18"/>
          <w:lang w:val="en-US"/>
        </w:rPr>
        <w:t>S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vertAlign w:val="subscript"/>
          <w:lang w:val="en-US"/>
        </w:rPr>
        <w:t>2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(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clinically significant improvement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) for drivers hearing level and baseline THI-score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with imputation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. MLE is the maximum likelihood estimate, Var is the variance of the distribution of the parameter, the lower and upper bounds of a parameter are defined as MLE </w:t>
      </w:r>
      <w:r w:rsidRPr="00EB5A91">
        <w:rPr>
          <w:rFonts w:ascii="Symbol" w:eastAsia="Symbol" w:hAnsi="Symbol" w:cs="Symbol"/>
          <w:sz w:val="18"/>
          <w:szCs w:val="18"/>
          <w:lang w:val="en-US"/>
        </w:rPr>
        <w:t>±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2*sqrt(Var). BCI is the Bayesian Confidence Interval which is the probability of a parameter having a value between the upper and lower bound. The probability of slope &gt; 0, is calculated with 0 as lower bound and ∞ as upper bound.</w:t>
      </w:r>
    </w:p>
    <w:p w14:paraId="7A2C5A73" w14:textId="3FA5B68F" w:rsidR="001227C1" w:rsidRDefault="001227C1" w:rsidP="001227C1">
      <w:pPr>
        <w:rPr>
          <w:rFonts w:ascii="Century Schoolbook" w:eastAsia="Century Schoolbook" w:hAnsi="Century Schoolbook" w:cs="Century Schoolbook"/>
          <w:sz w:val="18"/>
          <w:szCs w:val="18"/>
          <w:lang w:val="en-US"/>
        </w:rPr>
      </w:pPr>
      <w:r w:rsidRPr="00EB5A91">
        <w:rPr>
          <w:rFonts w:ascii="Century Schoolbook" w:eastAsia="Century Schoolbook" w:hAnsi="Century Schoolbook" w:cs="Century Schoolbook"/>
          <w:sz w:val="18"/>
          <w:szCs w:val="18"/>
          <w:vertAlign w:val="superscript"/>
          <w:lang w:val="en-US"/>
        </w:rPr>
        <w:t>*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p &lt; 0.01.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SEDEP: starting an evaluation period; PCU: psychosocial counseling uptake.</w:t>
      </w:r>
    </w:p>
    <w:p w14:paraId="1296E7EA" w14:textId="77777777" w:rsidR="001227C1" w:rsidRPr="00EB5A91" w:rsidRDefault="001227C1" w:rsidP="001227C1">
      <w:pPr>
        <w:rPr>
          <w:rFonts w:ascii="Century Schoolbook" w:eastAsia="Century Schoolbook" w:hAnsi="Century Schoolbook" w:cs="Century Schoolbook"/>
          <w:sz w:val="18"/>
          <w:szCs w:val="18"/>
          <w:lang w:val="en-US"/>
        </w:rPr>
      </w:pPr>
    </w:p>
    <w:tbl>
      <w:tblPr>
        <w:tblW w:w="13099" w:type="dxa"/>
        <w:tblLook w:val="04A0" w:firstRow="1" w:lastRow="0" w:firstColumn="1" w:lastColumn="0" w:noHBand="0" w:noVBand="1"/>
      </w:tblPr>
      <w:tblGrid>
        <w:gridCol w:w="1280"/>
        <w:gridCol w:w="1390"/>
        <w:gridCol w:w="1280"/>
        <w:gridCol w:w="1437"/>
        <w:gridCol w:w="1276"/>
        <w:gridCol w:w="1127"/>
        <w:gridCol w:w="1280"/>
        <w:gridCol w:w="1280"/>
        <w:gridCol w:w="1249"/>
        <w:gridCol w:w="1500"/>
      </w:tblGrid>
      <w:tr w:rsidR="001227C1" w14:paraId="25F69C3C" w14:textId="77777777" w:rsidTr="00596FFB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27B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driver</w:t>
            </w:r>
          </w:p>
        </w:tc>
        <w:tc>
          <w:tcPr>
            <w:tcW w:w="1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48B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decision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CDC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parameter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1135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# participants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FD91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MLE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8F3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Var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1BC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lower bound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2E0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upper bound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EC3B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BCI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5765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prob slope &gt; 0</w:t>
            </w:r>
          </w:p>
        </w:tc>
      </w:tr>
      <w:tr w:rsidR="001227C1" w14:paraId="00FF8D14" w14:textId="77777777" w:rsidTr="00596FFB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DFC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4733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Hearing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Loss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B42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SEDEP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47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6B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63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130E-01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21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7,672E-02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5C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167E+00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ED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-5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907E-02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9F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25A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24AAE820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D3F315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6885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98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00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89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722E-02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75E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183E-05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03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787E-02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492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656E-02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FD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6D0" w14:textId="77777777" w:rsidR="001227C1" w:rsidRPr="00ED23A9" w:rsidRDefault="001227C1" w:rsidP="00596FFB">
            <w:pPr>
              <w:jc w:val="center"/>
              <w:rPr>
                <w:color w:val="000000"/>
                <w:sz w:val="20"/>
                <w:vertAlign w:val="superscript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4EFCA93A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97CFF1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132DC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16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70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967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906E-01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70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8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812E-02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C0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-9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843E-01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3D7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031E-01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7E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C7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13137E65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4E38C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44A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FD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1B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1B0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966E-02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C2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874E-05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C8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89</w:t>
            </w:r>
            <w:r>
              <w:rPr>
                <w:color w:val="000000"/>
                <w:sz w:val="20"/>
                <w:lang w:val="en-US"/>
              </w:rPr>
              <w:t>4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4E3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038E-02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15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070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6CF89528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E491A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165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011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3D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6D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-4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167E-01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01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5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861E-02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BA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-9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008E-01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5E1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754E-02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25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A81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455E8733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7F03B7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316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703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85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876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598E-03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7E6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466E-05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AC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059E-03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AB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255E-03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E3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F7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645</w:t>
            </w:r>
          </w:p>
        </w:tc>
      </w:tr>
      <w:tr w:rsidR="001227C1" w14:paraId="7B44934A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589B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0C2C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F2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B9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3B1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137E+00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B3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308E-02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D7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639E+00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3A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343E-01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2B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F93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5A1758BC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8116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BDE92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5A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40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FB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983E-03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2D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396E-05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B5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5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108E-04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647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546E-02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0C7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D112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979</w:t>
            </w:r>
          </w:p>
        </w:tc>
      </w:tr>
      <w:tr w:rsidR="001227C1" w14:paraId="2B7A2E1F" w14:textId="77777777" w:rsidTr="00596FFB">
        <w:trPr>
          <w:trHeight w:val="402"/>
        </w:trPr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926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 w:rsidRPr="0024733E">
              <w:rPr>
                <w:b/>
                <w:bCs/>
                <w:color w:val="000000"/>
                <w:sz w:val="22"/>
                <w:szCs w:val="22"/>
                <w:lang w:val="en-US"/>
              </w:rPr>
              <w:t>aseline THI-score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361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SEDEP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B4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981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98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357E-01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AC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172E-02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01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-9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994E-02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2C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713E-01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52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7D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66203361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4832B5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FC42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3C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EA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31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044E-02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91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521E-05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E5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947E-04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D2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048E-02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E7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3A5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983</w:t>
            </w:r>
          </w:p>
        </w:tc>
      </w:tr>
      <w:tr w:rsidR="001227C1" w14:paraId="25A828AF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5FF709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51C91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A9B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80F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9C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8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981E-01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08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906E-02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64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358E-01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BA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460E+00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65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1B5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446E4E64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2D8516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69B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1A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83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24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896E-03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C1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856E-05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77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721E-03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C1E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351E-02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28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F92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864</w:t>
            </w:r>
          </w:p>
        </w:tc>
      </w:tr>
      <w:tr w:rsidR="001227C1" w14:paraId="0CF6B594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C21F47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589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D47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CDA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73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199E+00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9E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627E-02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63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713E+00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0D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684E+00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B3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5A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6C3CBD38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A0B8CB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2F46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6B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3B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96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622E-02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B2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056E-05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9F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715E-02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3A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528E-02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D7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FAC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6D89BBDD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340321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8F781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0D1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31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B7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33</w:t>
            </w:r>
            <w:r>
              <w:rPr>
                <w:color w:val="000000"/>
                <w:sz w:val="20"/>
                <w:lang w:val="en-US"/>
              </w:rPr>
              <w:t>1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B5B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417E-02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D0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837E+00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3D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-8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238E-01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A6A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92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5F743C6C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F90B8A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C8986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BB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BA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D5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834E-02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498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459E-05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85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6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577E-03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BD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010E-02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0E3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42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999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</w:tbl>
    <w:p w14:paraId="2AA19815" w14:textId="77777777" w:rsidR="003A26BD" w:rsidRDefault="003A26BD" w:rsidP="003A26BD">
      <w:pPr>
        <w:rPr>
          <w:lang w:val="en-US"/>
        </w:rPr>
      </w:pPr>
    </w:p>
    <w:p w14:paraId="522008CB" w14:textId="31FE251F" w:rsidR="001227C1" w:rsidRDefault="001227C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25744DC" w14:textId="1651B374" w:rsidR="001227C1" w:rsidRDefault="001227C1" w:rsidP="001227C1">
      <w:pPr>
        <w:rPr>
          <w:rFonts w:ascii="Century Schoolbook" w:eastAsia="Century Schoolbook" w:hAnsi="Century Schoolbook" w:cs="Century Schoolbook"/>
          <w:sz w:val="18"/>
          <w:szCs w:val="18"/>
          <w:lang w:val="en-US"/>
        </w:rPr>
      </w:pP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lastRenderedPageBreak/>
        <w:t xml:space="preserve">Table 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S</w:t>
      </w:r>
      <w:r w:rsidR="003D3A63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.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3.2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. Numerical values of the parameters intercept and slope for populations </w:t>
      </w:r>
      <w:r w:rsidRPr="00EB5A91">
        <w:rPr>
          <w:rFonts w:ascii="Century Schoolbook" w:eastAsia="Century Schoolbook" w:hAnsi="Century Schoolbook" w:cs="Century Schoolbook"/>
          <w:i/>
          <w:iCs/>
          <w:sz w:val="18"/>
          <w:szCs w:val="18"/>
          <w:lang w:val="en-US"/>
        </w:rPr>
        <w:t>S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vertAlign w:val="subscript"/>
          <w:lang w:val="en-US"/>
        </w:rPr>
        <w:t>1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(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no clinically significant improvement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) and </w:t>
      </w:r>
      <w:r w:rsidRPr="00EB5A91">
        <w:rPr>
          <w:rFonts w:ascii="Century Schoolbook" w:eastAsia="Century Schoolbook" w:hAnsi="Century Schoolbook" w:cs="Century Schoolbook"/>
          <w:i/>
          <w:iCs/>
          <w:sz w:val="18"/>
          <w:szCs w:val="18"/>
          <w:lang w:val="en-US"/>
        </w:rPr>
        <w:t>S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vertAlign w:val="subscript"/>
          <w:lang w:val="en-US"/>
        </w:rPr>
        <w:t>2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(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clinically significant improvement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) for drivers hearing level and baseline THI-score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for complete case analysis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. MLE is the maximum likelihood estimate, Var is the variance of the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distribution of the parameter, the lower and upper bounds of a parameter are defined as MLE </w:t>
      </w:r>
      <w:r w:rsidRPr="00EB5A91">
        <w:rPr>
          <w:rFonts w:ascii="Symbol" w:eastAsia="Symbol" w:hAnsi="Symbol" w:cs="Symbol"/>
          <w:sz w:val="18"/>
          <w:szCs w:val="18"/>
          <w:lang w:val="en-US"/>
        </w:rPr>
        <w:t>±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2*sqrt(Var). BCI is the Bayesian Confidence Interval which is the probability of a parameter having a value between the upper and lower bound. The probability of slope &gt; 0, is calculated with 0 as lower bound and ∞ as upper bound.</w:t>
      </w:r>
    </w:p>
    <w:p w14:paraId="2EADE9AC" w14:textId="0C85C15A" w:rsidR="001227C1" w:rsidRDefault="001227C1" w:rsidP="001227C1">
      <w:pPr>
        <w:rPr>
          <w:rFonts w:ascii="Century Schoolbook" w:eastAsia="Century Schoolbook" w:hAnsi="Century Schoolbook" w:cs="Century Schoolbook"/>
          <w:sz w:val="18"/>
          <w:szCs w:val="18"/>
          <w:lang w:val="en-US"/>
        </w:rPr>
      </w:pPr>
      <w:r w:rsidRPr="00EB5A91">
        <w:rPr>
          <w:rFonts w:ascii="Century Schoolbook" w:eastAsia="Century Schoolbook" w:hAnsi="Century Schoolbook" w:cs="Century Schoolbook"/>
          <w:sz w:val="18"/>
          <w:szCs w:val="18"/>
          <w:vertAlign w:val="superscript"/>
          <w:lang w:val="en-US"/>
        </w:rPr>
        <w:t>*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</w:t>
      </w:r>
      <w:r w:rsidRPr="00EB5A91">
        <w:rPr>
          <w:rFonts w:ascii="Century Schoolbook" w:eastAsia="Century Schoolbook" w:hAnsi="Century Schoolbook" w:cs="Century Schoolbook"/>
          <w:sz w:val="18"/>
          <w:szCs w:val="18"/>
          <w:lang w:val="en-US"/>
        </w:rPr>
        <w:t>p &lt; 0.01.</w:t>
      </w:r>
      <w:r>
        <w:rPr>
          <w:rFonts w:ascii="Century Schoolbook" w:eastAsia="Century Schoolbook" w:hAnsi="Century Schoolbook" w:cs="Century Schoolbook"/>
          <w:sz w:val="18"/>
          <w:szCs w:val="18"/>
          <w:lang w:val="en-US"/>
        </w:rPr>
        <w:t xml:space="preserve"> SEDEP: starting an evaluation period; PCU: psychosocial counseling uptake. See appendix C for details.</w:t>
      </w:r>
    </w:p>
    <w:p w14:paraId="60EA2FBE" w14:textId="77777777" w:rsidR="001227C1" w:rsidRPr="00AB1B1A" w:rsidRDefault="001227C1" w:rsidP="001227C1">
      <w:pPr>
        <w:widowControl w:val="0"/>
        <w:suppressAutoHyphens/>
        <w:autoSpaceDN w:val="0"/>
        <w:textAlignment w:val="baseline"/>
        <w:rPr>
          <w:lang w:val="en-US"/>
        </w:rPr>
      </w:pPr>
    </w:p>
    <w:tbl>
      <w:tblPr>
        <w:tblW w:w="13099" w:type="dxa"/>
        <w:tblLook w:val="04A0" w:firstRow="1" w:lastRow="0" w:firstColumn="1" w:lastColumn="0" w:noHBand="0" w:noVBand="1"/>
      </w:tblPr>
      <w:tblGrid>
        <w:gridCol w:w="1280"/>
        <w:gridCol w:w="1390"/>
        <w:gridCol w:w="1280"/>
        <w:gridCol w:w="1437"/>
        <w:gridCol w:w="1276"/>
        <w:gridCol w:w="1127"/>
        <w:gridCol w:w="1280"/>
        <w:gridCol w:w="1280"/>
        <w:gridCol w:w="1249"/>
        <w:gridCol w:w="1500"/>
      </w:tblGrid>
      <w:tr w:rsidR="001227C1" w14:paraId="0C9955FA" w14:textId="77777777" w:rsidTr="00596FFB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813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driver</w:t>
            </w:r>
          </w:p>
        </w:tc>
        <w:tc>
          <w:tcPr>
            <w:tcW w:w="1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188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decision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3D4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parameter</w:t>
            </w:r>
          </w:p>
        </w:tc>
        <w:tc>
          <w:tcPr>
            <w:tcW w:w="1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231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# participants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1CA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MLE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0DE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Var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05D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lower bound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FD9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upper bound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6D49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BCI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611C" w14:textId="77777777" w:rsidR="001227C1" w:rsidRPr="0024733E" w:rsidRDefault="001227C1" w:rsidP="00596FFB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24733E">
              <w:rPr>
                <w:b/>
                <w:bCs/>
                <w:color w:val="000000"/>
                <w:sz w:val="20"/>
                <w:lang w:val="en-US"/>
              </w:rPr>
              <w:t>prob slope &gt; 0</w:t>
            </w:r>
          </w:p>
        </w:tc>
      </w:tr>
      <w:tr w:rsidR="001227C1" w14:paraId="502B05E5" w14:textId="77777777" w:rsidTr="00596FFB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363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4733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Hearing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Loss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650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SEDEP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3E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9C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B4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3.</w:t>
            </w: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7</w:t>
            </w:r>
            <w:r w:rsidRPr="0024733E">
              <w:rPr>
                <w:color w:val="000000"/>
                <w:sz w:val="20"/>
                <w:lang w:val="en-US"/>
              </w:rPr>
              <w:t>0E-01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EB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1.3</w:t>
            </w:r>
            <w:r w:rsidRPr="0024733E">
              <w:rPr>
                <w:color w:val="000000"/>
                <w:sz w:val="20"/>
                <w:lang w:val="en-US"/>
              </w:rPr>
              <w:t>6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20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4.005</w:t>
            </w:r>
            <w:r w:rsidRPr="0024733E">
              <w:rPr>
                <w:color w:val="000000"/>
                <w:sz w:val="20"/>
                <w:lang w:val="en-US"/>
              </w:rPr>
              <w:t>E</w:t>
            </w:r>
            <w:r>
              <w:rPr>
                <w:color w:val="000000"/>
                <w:sz w:val="20"/>
                <w:lang w:val="en-US"/>
              </w:rPr>
              <w:t>-</w:t>
            </w: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34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</w:t>
            </w:r>
            <w:r w:rsidRPr="0024733E">
              <w:rPr>
                <w:color w:val="000000"/>
                <w:sz w:val="20"/>
                <w:lang w:val="en-US"/>
              </w:rPr>
              <w:t>07</w:t>
            </w:r>
            <w:r>
              <w:rPr>
                <w:color w:val="000000"/>
                <w:sz w:val="20"/>
                <w:lang w:val="en-US"/>
              </w:rPr>
              <w:t>4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51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95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E4B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0E0444B3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8DF6D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3980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CB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9C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CC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1.838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FD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3.849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A5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5.969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65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.078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56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07C7" w14:textId="77777777" w:rsidR="001227C1" w:rsidRPr="00ED23A9" w:rsidRDefault="001227C1" w:rsidP="00596FFB">
            <w:pPr>
              <w:jc w:val="center"/>
              <w:rPr>
                <w:color w:val="000000"/>
                <w:sz w:val="20"/>
                <w:vertAlign w:val="superscript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1D07EFB1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CC2D9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CEC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93F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53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58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7.355</w:t>
            </w:r>
            <w:r w:rsidRPr="0024733E">
              <w:rPr>
                <w:color w:val="000000"/>
                <w:sz w:val="20"/>
                <w:lang w:val="en-US"/>
              </w:rPr>
              <w:t>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68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1.6</w:t>
            </w: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44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-1.542</w:t>
            </w:r>
            <w:r w:rsidRPr="0024733E">
              <w:rPr>
                <w:color w:val="000000"/>
                <w:sz w:val="20"/>
                <w:lang w:val="en-US"/>
              </w:rPr>
              <w:t>E-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24733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A3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7.070</w:t>
            </w:r>
            <w:r w:rsidRPr="0024733E">
              <w:rPr>
                <w:color w:val="000000"/>
                <w:sz w:val="20"/>
                <w:lang w:val="en-US"/>
              </w:rPr>
              <w:t>E-</w:t>
            </w:r>
            <w:r>
              <w:rPr>
                <w:color w:val="000000"/>
                <w:sz w:val="20"/>
                <w:lang w:val="en-US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025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BE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43AFB8B9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3286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B03E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1C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E4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D5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3.</w:t>
            </w:r>
            <w:r w:rsidRPr="0024733E">
              <w:rPr>
                <w:color w:val="000000"/>
                <w:sz w:val="20"/>
                <w:lang w:val="en-US"/>
              </w:rPr>
              <w:t>96</w:t>
            </w:r>
            <w:r>
              <w:rPr>
                <w:color w:val="000000"/>
                <w:sz w:val="20"/>
                <w:lang w:val="en-US"/>
              </w:rPr>
              <w:t>1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5DB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5.</w:t>
            </w:r>
            <w:r w:rsidRPr="0024733E">
              <w:rPr>
                <w:color w:val="000000"/>
                <w:sz w:val="20"/>
                <w:lang w:val="en-US"/>
              </w:rPr>
              <w:t>7</w:t>
            </w:r>
            <w:r>
              <w:rPr>
                <w:color w:val="000000"/>
                <w:sz w:val="20"/>
                <w:lang w:val="en-US"/>
              </w:rPr>
              <w:t>25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F0A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2.448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35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5.475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0F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754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7D07E9C0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4E772F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815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779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3A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14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2.035</w:t>
            </w:r>
            <w:r w:rsidRPr="0024733E">
              <w:rPr>
                <w:color w:val="000000"/>
                <w:sz w:val="20"/>
                <w:lang w:val="en-US"/>
              </w:rPr>
              <w:t>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5F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8.707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57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-7.936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6E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3.867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23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1E8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627EFC6A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9F657C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0DE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82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75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25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2.726</w:t>
            </w:r>
            <w:r w:rsidRPr="0024733E">
              <w:rPr>
                <w:color w:val="000000"/>
                <w:sz w:val="20"/>
                <w:lang w:val="en-US"/>
              </w:rPr>
              <w:t>E-03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7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2.174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49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-6.599</w:t>
            </w:r>
            <w:r w:rsidRPr="0024733E">
              <w:rPr>
                <w:color w:val="000000"/>
                <w:sz w:val="20"/>
                <w:lang w:val="en-US"/>
              </w:rPr>
              <w:t>E-03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05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1.205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A7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AB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.707</w:t>
            </w:r>
          </w:p>
        </w:tc>
      </w:tr>
      <w:tr w:rsidR="001227C1" w14:paraId="128CEA77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A6667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DC04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7C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ED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0B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.325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BC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1.037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70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1.970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EC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6.813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74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71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36412531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8F0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CBE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13A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4E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AD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1.236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E9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2.209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91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2.963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01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2.176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78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921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99</w:t>
            </w:r>
            <w:r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500686E2" w14:textId="77777777" w:rsidTr="00596FFB">
        <w:trPr>
          <w:trHeight w:val="402"/>
        </w:trPr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269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 w:rsidRPr="0024733E">
              <w:rPr>
                <w:b/>
                <w:bCs/>
                <w:color w:val="000000"/>
                <w:sz w:val="22"/>
                <w:szCs w:val="22"/>
                <w:lang w:val="en-US"/>
              </w:rPr>
              <w:t>aseline THI-score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FA3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SEDEP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60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81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65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1.003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E5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1.330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C12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2.740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5CF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1.73</w:t>
            </w:r>
            <w:r w:rsidRPr="0024733E">
              <w:rPr>
                <w:color w:val="000000"/>
                <w:sz w:val="20"/>
                <w:lang w:val="en-US"/>
              </w:rPr>
              <w:t>3E-0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C5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  <w:lang w:val="en-US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664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65E97FAB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715994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5591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42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FD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F9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7.746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18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4.592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34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-5.807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4D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.13</w:t>
            </w:r>
            <w:r w:rsidRPr="0024733E">
              <w:rPr>
                <w:color w:val="000000"/>
                <w:sz w:val="20"/>
                <w:lang w:val="en-US"/>
              </w:rPr>
              <w:t>0E-02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1C5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8E9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.872</w:t>
            </w:r>
          </w:p>
        </w:tc>
      </w:tr>
      <w:tr w:rsidR="001227C1" w14:paraId="0865D43A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D3B8D5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AAEE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75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7D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2C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7.449</w:t>
            </w:r>
            <w:r w:rsidRPr="0024733E">
              <w:rPr>
                <w:color w:val="000000"/>
                <w:sz w:val="20"/>
                <w:lang w:val="en-US"/>
              </w:rPr>
              <w:t>E-01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25F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1.358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5B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7.763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F0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lang w:val="en-US"/>
              </w:rPr>
              <w:t>82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D7C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938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0E8FE4FC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8B664C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0586A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61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404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FE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9.915</w:t>
            </w:r>
            <w:r w:rsidRPr="0024733E">
              <w:rPr>
                <w:color w:val="000000"/>
                <w:sz w:val="20"/>
                <w:lang w:val="en-US"/>
              </w:rPr>
              <w:t>E-03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77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4.035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928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2.790</w:t>
            </w:r>
            <w:r w:rsidRPr="0024733E">
              <w:rPr>
                <w:color w:val="000000"/>
                <w:sz w:val="20"/>
                <w:lang w:val="en-US"/>
              </w:rPr>
              <w:t>E-03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B1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2.262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6B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622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.945</w:t>
            </w:r>
          </w:p>
        </w:tc>
      </w:tr>
      <w:tr w:rsidR="001227C1" w14:paraId="268E5266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504C39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4C8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PCU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0D5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65F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6E8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-2</w:t>
            </w:r>
            <w:r>
              <w:rPr>
                <w:color w:val="000000"/>
                <w:sz w:val="20"/>
                <w:lang w:val="en-US"/>
              </w:rPr>
              <w:t>.038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01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1.006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3E4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-2</w:t>
            </w:r>
            <w:r>
              <w:rPr>
                <w:color w:val="000000"/>
                <w:sz w:val="20"/>
                <w:lang w:val="en-US"/>
              </w:rPr>
              <w:t>.673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DA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.40</w:t>
            </w:r>
            <w:r w:rsidRPr="0024733E">
              <w:rPr>
                <w:color w:val="000000"/>
                <w:sz w:val="20"/>
                <w:lang w:val="en-US"/>
              </w:rPr>
              <w:t>4E+00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5FF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E36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533AA2DC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FBD24B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F6CC7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67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C1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0A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  <w:lang w:val="en-US"/>
              </w:rPr>
              <w:t>.853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03A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3.241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C1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715E-02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7E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  <w:lang w:val="en-US"/>
              </w:rPr>
              <w:t>.992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C77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B20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  <w:tr w:rsidR="001227C1" w14:paraId="2890D1AB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86AB3D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40A6B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ABF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intercept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CFD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A5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-1</w:t>
            </w:r>
            <w:r>
              <w:rPr>
                <w:color w:val="000000"/>
                <w:sz w:val="20"/>
                <w:lang w:val="en-US"/>
              </w:rPr>
              <w:t>.794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83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1.078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D34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2.451</w:t>
            </w:r>
            <w:r w:rsidRPr="0024733E">
              <w:rPr>
                <w:color w:val="000000"/>
                <w:sz w:val="20"/>
                <w:lang w:val="en-US"/>
              </w:rPr>
              <w:t>E+00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6F0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-</w:t>
            </w:r>
            <w:r>
              <w:rPr>
                <w:color w:val="000000"/>
                <w:sz w:val="20"/>
                <w:lang w:val="en-US"/>
              </w:rPr>
              <w:t>1.137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098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94</w:t>
            </w: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436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1227C1" w14:paraId="5CC77C26" w14:textId="77777777" w:rsidTr="00596FFB">
        <w:trPr>
          <w:trHeight w:val="40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C84684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61509" w14:textId="77777777" w:rsidR="001227C1" w:rsidRPr="0024733E" w:rsidRDefault="001227C1" w:rsidP="00596FFB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E75E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 xml:space="preserve">slope </w:t>
            </w:r>
            <w:r w:rsidRPr="00927EFC">
              <w:rPr>
                <w:rFonts w:ascii="Century Schoolbook" w:eastAsia="Century Schoolbook" w:hAnsi="Century Schoolbook" w:cs="Century Schoolbook"/>
                <w:i/>
                <w:iCs/>
                <w:sz w:val="20"/>
                <w:lang w:val="en-US"/>
              </w:rPr>
              <w:t>S</w:t>
            </w:r>
            <w:r w:rsidRPr="00927EFC">
              <w:rPr>
                <w:rFonts w:ascii="Century Schoolbook" w:eastAsia="Century Schoolbook" w:hAnsi="Century Schoolbook" w:cs="Century Schoolbook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C69B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0C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2.736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44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4.376</w:t>
            </w:r>
            <w:r w:rsidRPr="0024733E">
              <w:rPr>
                <w:color w:val="000000"/>
                <w:sz w:val="20"/>
                <w:lang w:val="en-US"/>
              </w:rPr>
              <w:t>E-05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F363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1.413</w:t>
            </w:r>
            <w:r w:rsidRPr="0024733E">
              <w:rPr>
                <w:color w:val="000000"/>
                <w:sz w:val="20"/>
                <w:lang w:val="en-US"/>
              </w:rPr>
              <w:t>E-0</w:t>
            </w: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DE2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4.059</w:t>
            </w:r>
            <w:r w:rsidRPr="0024733E">
              <w:rPr>
                <w:color w:val="000000"/>
                <w:sz w:val="20"/>
                <w:lang w:val="en-US"/>
              </w:rPr>
              <w:t>E-02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66AC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 w:rsidRPr="0024733E"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  <w:lang w:val="en-US"/>
              </w:rPr>
              <w:t>.</w:t>
            </w:r>
            <w:r w:rsidRPr="0024733E">
              <w:rPr>
                <w:color w:val="000000"/>
                <w:sz w:val="20"/>
                <w:lang w:val="en-US"/>
              </w:rPr>
              <w:t>95</w:t>
            </w: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D0F1" w14:textId="77777777" w:rsidR="001227C1" w:rsidRPr="0024733E" w:rsidRDefault="001227C1" w:rsidP="00596FF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1.000</w:t>
            </w:r>
            <w:r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</w:tc>
      </w:tr>
    </w:tbl>
    <w:p w14:paraId="6BF2AC66" w14:textId="77777777" w:rsidR="001227C1" w:rsidRPr="00024E45" w:rsidRDefault="001227C1" w:rsidP="001227C1">
      <w:pPr>
        <w:rPr>
          <w:lang w:val="en-US"/>
        </w:rPr>
      </w:pPr>
    </w:p>
    <w:p w14:paraId="7DE2D3C6" w14:textId="77777777" w:rsidR="001227C1" w:rsidRPr="00596BB6" w:rsidRDefault="001227C1" w:rsidP="003A26BD">
      <w:pPr>
        <w:rPr>
          <w:lang w:val="en-US"/>
        </w:rPr>
      </w:pPr>
    </w:p>
    <w:sectPr w:rsidR="001227C1" w:rsidRPr="00596BB6" w:rsidSect="003A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B6"/>
    <w:rsid w:val="001227C1"/>
    <w:rsid w:val="001D07B8"/>
    <w:rsid w:val="001F57D6"/>
    <w:rsid w:val="003A26BD"/>
    <w:rsid w:val="003D3A63"/>
    <w:rsid w:val="003E1677"/>
    <w:rsid w:val="003F7404"/>
    <w:rsid w:val="004855DC"/>
    <w:rsid w:val="00596BB6"/>
    <w:rsid w:val="005B42F2"/>
    <w:rsid w:val="007E47ED"/>
    <w:rsid w:val="0087601A"/>
    <w:rsid w:val="009C1DF5"/>
    <w:rsid w:val="00A536D9"/>
    <w:rsid w:val="00A7224E"/>
    <w:rsid w:val="00C17DF6"/>
    <w:rsid w:val="00C8149F"/>
    <w:rsid w:val="00DD5328"/>
    <w:rsid w:val="00E7342D"/>
    <w:rsid w:val="00F350D1"/>
    <w:rsid w:val="00F65978"/>
    <w:rsid w:val="00F66C17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6816"/>
  <w15:chartTrackingRefBased/>
  <w15:docId w15:val="{C44AA9F5-C8E4-4B00-9253-E29F0C9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6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A">
    <w:name w:val="Hoofdtekst A"/>
    <w:qFormat/>
    <w:rsid w:val="00596BB6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 Unicode MS"/>
      <w:color w:val="000000"/>
      <w:kern w:val="0"/>
      <w:sz w:val="24"/>
      <w:szCs w:val="20"/>
      <w:lang w:val="en-GB"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5B42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B40AB-F600-496E-8873-025B43D953C2}"/>
      </w:docPartPr>
      <w:docPartBody>
        <w:p w:rsidR="008536AC" w:rsidRDefault="008536AC">
          <w:r w:rsidRPr="00226E7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AC"/>
    <w:rsid w:val="008536AC"/>
    <w:rsid w:val="00A7424B"/>
    <w:rsid w:val="00E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536A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4CF7F9-4A8F-4E14-BCC9-7548D14B4A0E}">
  <we:reference id="f78a3046-9e99-4300-aa2b-5814002b01a2" version="1.55.1.0" store="EXCatalog" storeType="EXCatalog"/>
  <we:alternateReferences>
    <we:reference id="WA104382081" version="1.55.1.0" store="nl-NL" storeType="OMEX"/>
  </we:alternateReferences>
  <we:properties>
    <we:property name="MENDELEY_CITATIONS" value="[{&quot;citationID&quot;:&quot;MENDELEY_CITATION_834cc93b-1c4f-425e-a610-fceff5384684&quot;,&quot;properties&quot;:{&quot;noteIndex&quot;:0},&quot;isEdited&quot;:false,&quot;manualOverride&quot;:{&quot;isManuallyOverridden&quot;:true,&quot;citeprocText&quot;:&quot;(Box &amp;#38; Tiao, 1992)&quot;,&quot;manualOverrideText&quot;:&quot;Box &amp; Tiao (1992)&quot;},&quot;citationTag&quot;:&quot;MENDELEY_CITATION_v3_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&quot;,&quot;citationItems&quot;:[{&quot;id&quot;:&quot;b13d9a3a-0219-30d0-b317-675dfd3f6c1d&quot;,&quot;itemData&quot;:{&quot;type&quot;:&quot;book&quot;,&quot;id&quot;:&quot;b13d9a3a-0219-30d0-b317-675dfd3f6c1d&quot;,&quot;title&quot;:&quot;Bayesian Inference in Statistical Analysis&quot;,&quot;author&quot;:[{&quot;family&quot;:&quot;Box&quot;,&quot;given&quot;:&quot;George E. P.&quot;,&quot;parse-names&quot;:false,&quot;dropping-particle&quot;:&quot;&quot;,&quot;non-dropping-particle&quot;:&quot;&quot;},{&quot;family&quot;:&quot;Tiao&quot;,&quot;given&quot;:&quot;George C.&quot;,&quot;parse-names&quot;:false,&quot;dropping-particle&quot;:&quot;&quot;,&quot;non-dropping-particle&quot;:&quot;&quot;}],&quot;issued&quot;:{&quot;date-parts&quot;:[[1992]]},&quot;publisher-place&quot;:&quot;Reading, Mass.&quot;,&quot;number-of-pages&quot;:&quot;36&quot;,&quot;edition&quot;:&quot;Wiley Classical&quot;,&quot;publisher&quot;:&quot;John Wiley and Sons, Inc.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Hoetink, A.E. (Alex)</dc:creator>
  <cp:keywords/>
  <dc:description/>
  <cp:lastModifiedBy>Hoetink, A.E. (Alex)</cp:lastModifiedBy>
  <cp:revision>16</cp:revision>
  <dcterms:created xsi:type="dcterms:W3CDTF">2024-11-09T13:53:00Z</dcterms:created>
  <dcterms:modified xsi:type="dcterms:W3CDTF">2024-11-13T13:36:00Z</dcterms:modified>
</cp:coreProperties>
</file>