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4800" w14:textId="77777777" w:rsidR="00CA620A" w:rsidRPr="003A17B4" w:rsidRDefault="00CA620A" w:rsidP="00CA620A">
      <w:pPr>
        <w:spacing w:after="0" w:line="240" w:lineRule="auto"/>
        <w:ind w:left="0" w:right="0" w:firstLine="0"/>
        <w:rPr>
          <w:b/>
          <w:lang w:val="en-AU" w:eastAsia="en-GB" w:bidi="ar-SA"/>
        </w:rPr>
      </w:pPr>
    </w:p>
    <w:p w14:paraId="51822967" w14:textId="77777777" w:rsidR="00CA620A" w:rsidRDefault="00CA620A" w:rsidP="00CA620A">
      <w:pPr>
        <w:pStyle w:val="Heading1"/>
        <w:ind w:left="-5" w:right="1"/>
      </w:pPr>
      <w:r>
        <w:t>Electronic Supplementary Materials</w:t>
      </w:r>
    </w:p>
    <w:p w14:paraId="097B227F" w14:textId="77777777" w:rsidR="00CA620A" w:rsidRPr="00070C5A" w:rsidRDefault="00CA620A" w:rsidP="00CA620A">
      <w:pPr>
        <w:rPr>
          <w:lang w:val="en-AU"/>
        </w:rPr>
      </w:pPr>
      <w:r w:rsidRPr="0012592C">
        <w:rPr>
          <w:b/>
          <w:bCs/>
        </w:rPr>
        <w:t>Table S1.</w:t>
      </w:r>
      <w:r w:rsidRPr="0012592C">
        <w:t xml:space="preserve"> Summary of candidate predictor variables considered in the models exploring relationships between physical and biological parameters. To identify the best set of predictor variables, we used automatic model selection methods (Burnham &amp; Anderson, 2002) ranking models based on AICc, implemented via the </w:t>
      </w:r>
      <w:r w:rsidRPr="0012592C">
        <w:rPr>
          <w:i/>
          <w:iCs/>
        </w:rPr>
        <w:t>dredge()</w:t>
      </w:r>
      <w:r w:rsidRPr="0012592C">
        <w:t xml:space="preserve"> function in the R library(MuMIn) (Barton, 2023).</w:t>
      </w:r>
      <w:r>
        <w:rPr>
          <w:lang w:val="en-AU"/>
        </w:rPr>
        <w:t xml:space="preserve"> P</w:t>
      </w:r>
      <w:r w:rsidRPr="00070C5A">
        <w:rPr>
          <w:lang w:val="en-AU"/>
        </w:rPr>
        <w:t>redictor terms retained in the highest-ranked models</w:t>
      </w:r>
      <w:r>
        <w:rPr>
          <w:lang w:val="en-AU"/>
        </w:rPr>
        <w:t xml:space="preserve"> for each response variable are shown in bold. Adjusted R</w:t>
      </w:r>
      <w:r w:rsidRPr="00C3480B">
        <w:rPr>
          <w:vertAlign w:val="superscript"/>
          <w:lang w:val="en-AU"/>
        </w:rPr>
        <w:t>2</w:t>
      </w:r>
      <w:r>
        <w:rPr>
          <w:lang w:val="en-AU"/>
        </w:rPr>
        <w:t xml:space="preserve"> values are also presented for the </w:t>
      </w:r>
      <w:r w:rsidRPr="00070C5A">
        <w:rPr>
          <w:lang w:val="en-AU"/>
        </w:rPr>
        <w:t>highest-ranked model</w:t>
      </w:r>
      <w:r>
        <w:rPr>
          <w:lang w:val="en-AU"/>
        </w:rPr>
        <w:t>.</w:t>
      </w:r>
    </w:p>
    <w:tbl>
      <w:tblPr>
        <w:tblStyle w:val="TableGrid"/>
        <w:tblW w:w="0" w:type="auto"/>
        <w:tblLook w:val="04A0" w:firstRow="1" w:lastRow="0" w:firstColumn="1" w:lastColumn="0" w:noHBand="0" w:noVBand="1"/>
      </w:tblPr>
      <w:tblGrid>
        <w:gridCol w:w="1574"/>
        <w:gridCol w:w="6076"/>
        <w:gridCol w:w="1366"/>
      </w:tblGrid>
      <w:tr w:rsidR="00CA620A" w:rsidRPr="00CE7A25" w14:paraId="761D8BA5" w14:textId="77777777" w:rsidTr="00E320B1">
        <w:tc>
          <w:tcPr>
            <w:tcW w:w="1574" w:type="dxa"/>
          </w:tcPr>
          <w:p w14:paraId="53E71FF4" w14:textId="77777777" w:rsidR="00CA620A" w:rsidRPr="00CE7A25" w:rsidRDefault="00CA620A" w:rsidP="00E320B1">
            <w:pPr>
              <w:rPr>
                <w:rFonts w:ascii="Cambria" w:hAnsi="Cambria"/>
                <w:b/>
                <w:bCs/>
                <w:sz w:val="20"/>
                <w:szCs w:val="20"/>
              </w:rPr>
            </w:pPr>
            <w:r w:rsidRPr="00CE7A25">
              <w:rPr>
                <w:rFonts w:ascii="Cambria" w:hAnsi="Cambria"/>
                <w:b/>
                <w:bCs/>
                <w:sz w:val="20"/>
                <w:szCs w:val="20"/>
              </w:rPr>
              <w:t>Response variable</w:t>
            </w:r>
          </w:p>
        </w:tc>
        <w:tc>
          <w:tcPr>
            <w:tcW w:w="6076" w:type="dxa"/>
          </w:tcPr>
          <w:p w14:paraId="64C1A7DC" w14:textId="77777777" w:rsidR="00CA620A" w:rsidRPr="00CE7A25" w:rsidRDefault="00CA620A" w:rsidP="00E320B1">
            <w:pPr>
              <w:rPr>
                <w:rFonts w:ascii="Cambria" w:hAnsi="Cambria"/>
                <w:b/>
                <w:bCs/>
                <w:sz w:val="20"/>
                <w:szCs w:val="20"/>
              </w:rPr>
            </w:pPr>
            <w:r w:rsidRPr="00CE7A25">
              <w:rPr>
                <w:rFonts w:ascii="Cambria" w:hAnsi="Cambria"/>
                <w:b/>
                <w:bCs/>
                <w:sz w:val="20"/>
                <w:szCs w:val="20"/>
              </w:rPr>
              <w:t>Predictor variables considered</w:t>
            </w:r>
          </w:p>
        </w:tc>
        <w:tc>
          <w:tcPr>
            <w:tcW w:w="1366" w:type="dxa"/>
          </w:tcPr>
          <w:p w14:paraId="7451830D" w14:textId="77777777" w:rsidR="00CA620A" w:rsidRPr="00FA23BD" w:rsidRDefault="00CA620A" w:rsidP="00E320B1">
            <w:pPr>
              <w:rPr>
                <w:rFonts w:ascii="Cambria" w:hAnsi="Cambria"/>
                <w:b/>
                <w:bCs/>
                <w:sz w:val="20"/>
                <w:szCs w:val="20"/>
                <w:lang w:val="en-AU"/>
              </w:rPr>
            </w:pPr>
            <w:r>
              <w:rPr>
                <w:rFonts w:ascii="Cambria" w:hAnsi="Cambria"/>
                <w:b/>
                <w:bCs/>
                <w:sz w:val="20"/>
                <w:szCs w:val="20"/>
                <w:lang w:val="en-AU"/>
              </w:rPr>
              <w:t>Adjusted R</w:t>
            </w:r>
            <w:r w:rsidRPr="00FA23BD">
              <w:rPr>
                <w:rFonts w:ascii="Cambria" w:hAnsi="Cambria"/>
                <w:b/>
                <w:bCs/>
                <w:sz w:val="20"/>
                <w:szCs w:val="20"/>
                <w:vertAlign w:val="superscript"/>
                <w:lang w:val="en-AU"/>
              </w:rPr>
              <w:t>2</w:t>
            </w:r>
          </w:p>
        </w:tc>
      </w:tr>
      <w:tr w:rsidR="00CA620A" w:rsidRPr="00CE7A25" w14:paraId="6A62A7F8" w14:textId="77777777" w:rsidTr="00E320B1">
        <w:tc>
          <w:tcPr>
            <w:tcW w:w="1574" w:type="dxa"/>
          </w:tcPr>
          <w:p w14:paraId="668337F1" w14:textId="77777777" w:rsidR="00CA620A" w:rsidRPr="00CE7A25" w:rsidRDefault="00CA620A" w:rsidP="00E320B1">
            <w:pPr>
              <w:rPr>
                <w:rFonts w:ascii="Cambria" w:hAnsi="Cambria"/>
                <w:sz w:val="20"/>
                <w:szCs w:val="20"/>
              </w:rPr>
            </w:pPr>
            <w:r w:rsidRPr="00CE7A25">
              <w:rPr>
                <w:rFonts w:ascii="Cambria" w:hAnsi="Cambria"/>
                <w:sz w:val="20"/>
                <w:szCs w:val="20"/>
              </w:rPr>
              <w:t>WW thickness</w:t>
            </w:r>
          </w:p>
        </w:tc>
        <w:tc>
          <w:tcPr>
            <w:tcW w:w="6076" w:type="dxa"/>
          </w:tcPr>
          <w:p w14:paraId="53061442" w14:textId="77777777" w:rsidR="00CA620A" w:rsidRPr="00CE7A25" w:rsidRDefault="00CA620A" w:rsidP="00E320B1">
            <w:pPr>
              <w:rPr>
                <w:rFonts w:ascii="Cambria" w:hAnsi="Cambria"/>
                <w:sz w:val="20"/>
                <w:szCs w:val="20"/>
              </w:rPr>
            </w:pPr>
            <w:r w:rsidRPr="00070C5A">
              <w:rPr>
                <w:rFonts w:ascii="Cambria" w:hAnsi="Cambria"/>
                <w:b/>
                <w:bCs/>
                <w:sz w:val="20"/>
                <w:szCs w:val="20"/>
              </w:rPr>
              <w:t>MLD</w:t>
            </w:r>
            <w:r w:rsidRPr="00CE7A25">
              <w:rPr>
                <w:rFonts w:ascii="Cambria" w:hAnsi="Cambria"/>
                <w:sz w:val="20"/>
                <w:szCs w:val="20"/>
              </w:rPr>
              <w:t xml:space="preserve">, </w:t>
            </w:r>
            <w:r w:rsidRPr="00070C5A">
              <w:rPr>
                <w:rFonts w:ascii="Cambria" w:hAnsi="Cambria"/>
                <w:b/>
                <w:bCs/>
                <w:sz w:val="20"/>
                <w:szCs w:val="20"/>
              </w:rPr>
              <w:t>T</w:t>
            </w:r>
            <w:r w:rsidRPr="00070C5A">
              <w:rPr>
                <w:rFonts w:ascii="Cambria" w:hAnsi="Cambria"/>
                <w:b/>
                <w:bCs/>
                <w:sz w:val="20"/>
                <w:szCs w:val="20"/>
                <w:vertAlign w:val="subscript"/>
              </w:rPr>
              <w:t>min</w:t>
            </w:r>
            <w:r w:rsidRPr="00CE7A25">
              <w:rPr>
                <w:rFonts w:ascii="Cambria" w:hAnsi="Cambria"/>
                <w:sz w:val="20"/>
                <w:szCs w:val="20"/>
              </w:rPr>
              <w:t xml:space="preserve">, </w:t>
            </w:r>
            <w:r w:rsidRPr="00070C5A">
              <w:rPr>
                <w:rFonts w:ascii="Cambria" w:hAnsi="Cambria"/>
                <w:b/>
                <w:bCs/>
                <w:sz w:val="20"/>
                <w:szCs w:val="20"/>
              </w:rPr>
              <w:t>Depth of O2</w:t>
            </w:r>
            <w:r w:rsidRPr="00070C5A">
              <w:rPr>
                <w:rFonts w:ascii="Cambria" w:hAnsi="Cambria"/>
                <w:b/>
                <w:bCs/>
                <w:sz w:val="20"/>
                <w:szCs w:val="20"/>
                <w:vertAlign w:val="subscript"/>
              </w:rPr>
              <w:t>min</w:t>
            </w:r>
            <w:r w:rsidRPr="00CE7A25">
              <w:rPr>
                <w:rFonts w:ascii="Cambria" w:hAnsi="Cambria"/>
                <w:sz w:val="20"/>
                <w:szCs w:val="20"/>
              </w:rPr>
              <w:t>, Days since ice melt</w:t>
            </w:r>
          </w:p>
        </w:tc>
        <w:tc>
          <w:tcPr>
            <w:tcW w:w="1366" w:type="dxa"/>
          </w:tcPr>
          <w:p w14:paraId="2B43FD8C" w14:textId="77777777" w:rsidR="00CA620A" w:rsidRPr="00E115C6" w:rsidRDefault="00CA620A" w:rsidP="00E320B1">
            <w:pPr>
              <w:rPr>
                <w:rFonts w:ascii="Cambria" w:hAnsi="Cambria"/>
                <w:sz w:val="20"/>
                <w:szCs w:val="20"/>
                <w:lang w:val="en-AU"/>
              </w:rPr>
            </w:pPr>
            <w:r w:rsidRPr="00E115C6">
              <w:rPr>
                <w:rFonts w:ascii="Cambria" w:hAnsi="Cambria"/>
                <w:sz w:val="20"/>
                <w:szCs w:val="20"/>
              </w:rPr>
              <w:t>0.4</w:t>
            </w:r>
            <w:r w:rsidRPr="00E115C6">
              <w:rPr>
                <w:rFonts w:ascii="Cambria" w:hAnsi="Cambria"/>
                <w:sz w:val="20"/>
                <w:szCs w:val="20"/>
                <w:lang w:val="en-AU"/>
              </w:rPr>
              <w:t>3</w:t>
            </w:r>
          </w:p>
        </w:tc>
      </w:tr>
      <w:tr w:rsidR="00CA620A" w:rsidRPr="00CE7A25" w14:paraId="0AF039D4" w14:textId="77777777" w:rsidTr="00E320B1">
        <w:tc>
          <w:tcPr>
            <w:tcW w:w="1574" w:type="dxa"/>
          </w:tcPr>
          <w:p w14:paraId="65D2B334" w14:textId="77777777" w:rsidR="00CA620A" w:rsidRPr="00CE7A25" w:rsidRDefault="00CA620A" w:rsidP="00E320B1">
            <w:pPr>
              <w:rPr>
                <w:rFonts w:ascii="Cambria" w:hAnsi="Cambria"/>
                <w:sz w:val="20"/>
                <w:szCs w:val="20"/>
              </w:rPr>
            </w:pPr>
            <w:r w:rsidRPr="00CE7A25">
              <w:rPr>
                <w:rFonts w:ascii="Cambria" w:hAnsi="Cambria"/>
                <w:sz w:val="20"/>
                <w:szCs w:val="20"/>
                <w:lang w:val="en-US"/>
              </w:rPr>
              <w:t>WW nitrate concentration</w:t>
            </w:r>
          </w:p>
        </w:tc>
        <w:tc>
          <w:tcPr>
            <w:tcW w:w="6076" w:type="dxa"/>
          </w:tcPr>
          <w:p w14:paraId="5F31B11F" w14:textId="77777777" w:rsidR="00CA620A" w:rsidRPr="00CE7A25" w:rsidRDefault="00CA620A" w:rsidP="00E320B1">
            <w:pPr>
              <w:rPr>
                <w:rFonts w:ascii="Cambria" w:hAnsi="Cambria"/>
                <w:sz w:val="20"/>
                <w:szCs w:val="20"/>
              </w:rPr>
            </w:pPr>
            <w:r w:rsidRPr="00C3480B">
              <w:rPr>
                <w:rFonts w:ascii="Cambria" w:hAnsi="Cambria"/>
                <w:b/>
                <w:bCs/>
                <w:sz w:val="20"/>
                <w:szCs w:val="20"/>
              </w:rPr>
              <w:t>WW thickness</w:t>
            </w:r>
            <w:r w:rsidRPr="00CE7A25">
              <w:rPr>
                <w:rFonts w:ascii="Cambria" w:hAnsi="Cambria"/>
                <w:sz w:val="20"/>
                <w:szCs w:val="20"/>
              </w:rPr>
              <w:t>, T</w:t>
            </w:r>
            <w:r w:rsidRPr="00CE7A25">
              <w:rPr>
                <w:rFonts w:ascii="Cambria" w:hAnsi="Cambria"/>
                <w:sz w:val="20"/>
                <w:szCs w:val="20"/>
                <w:vertAlign w:val="subscript"/>
              </w:rPr>
              <w:t>min</w:t>
            </w:r>
            <w:r w:rsidRPr="00CE7A25">
              <w:rPr>
                <w:rFonts w:ascii="Cambria" w:hAnsi="Cambria"/>
                <w:sz w:val="20"/>
                <w:szCs w:val="20"/>
              </w:rPr>
              <w:t>, Depth of T</w:t>
            </w:r>
            <w:r w:rsidRPr="00CE7A25">
              <w:rPr>
                <w:rFonts w:ascii="Cambria" w:hAnsi="Cambria"/>
                <w:sz w:val="20"/>
                <w:szCs w:val="20"/>
                <w:vertAlign w:val="subscript"/>
              </w:rPr>
              <w:t>min</w:t>
            </w:r>
            <w:r w:rsidRPr="00CE7A25">
              <w:rPr>
                <w:rFonts w:ascii="Cambria" w:hAnsi="Cambria"/>
                <w:sz w:val="20"/>
                <w:szCs w:val="20"/>
              </w:rPr>
              <w:t>, O2</w:t>
            </w:r>
            <w:r w:rsidRPr="00CE7A25">
              <w:rPr>
                <w:rFonts w:ascii="Cambria" w:hAnsi="Cambria"/>
                <w:sz w:val="20"/>
                <w:szCs w:val="20"/>
                <w:vertAlign w:val="subscript"/>
              </w:rPr>
              <w:t>min</w:t>
            </w:r>
            <w:r w:rsidRPr="00CE7A25">
              <w:rPr>
                <w:rFonts w:ascii="Cambria" w:hAnsi="Cambria"/>
                <w:sz w:val="20"/>
                <w:szCs w:val="20"/>
              </w:rPr>
              <w:t>, Depth of O2</w:t>
            </w:r>
            <w:r w:rsidRPr="00CE7A25">
              <w:rPr>
                <w:rFonts w:ascii="Cambria" w:hAnsi="Cambria"/>
                <w:sz w:val="20"/>
                <w:szCs w:val="20"/>
                <w:vertAlign w:val="subscript"/>
              </w:rPr>
              <w:t>min</w:t>
            </w:r>
            <w:r w:rsidRPr="00CE7A25">
              <w:rPr>
                <w:rFonts w:ascii="Cambria" w:hAnsi="Cambria"/>
                <w:sz w:val="20"/>
                <w:szCs w:val="20"/>
              </w:rPr>
              <w:t>, T</w:t>
            </w:r>
            <w:r w:rsidRPr="00CE7A25">
              <w:rPr>
                <w:rFonts w:ascii="Cambria" w:hAnsi="Cambria"/>
                <w:sz w:val="20"/>
                <w:szCs w:val="20"/>
                <w:vertAlign w:val="subscript"/>
              </w:rPr>
              <w:t>max</w:t>
            </w:r>
            <w:r w:rsidRPr="00CE7A25">
              <w:rPr>
                <w:rFonts w:ascii="Cambria" w:hAnsi="Cambria"/>
                <w:sz w:val="20"/>
                <w:szCs w:val="20"/>
              </w:rPr>
              <w:t>, Depth of T</w:t>
            </w:r>
            <w:r w:rsidRPr="00CE7A25">
              <w:rPr>
                <w:rFonts w:ascii="Cambria" w:hAnsi="Cambria"/>
                <w:sz w:val="20"/>
                <w:szCs w:val="20"/>
                <w:vertAlign w:val="subscript"/>
              </w:rPr>
              <w:t>max</w:t>
            </w:r>
          </w:p>
        </w:tc>
        <w:tc>
          <w:tcPr>
            <w:tcW w:w="1366" w:type="dxa"/>
          </w:tcPr>
          <w:p w14:paraId="1064ED4C" w14:textId="77777777" w:rsidR="00CA620A" w:rsidRPr="00E115C6" w:rsidRDefault="00CA620A" w:rsidP="00E320B1">
            <w:pPr>
              <w:rPr>
                <w:rFonts w:ascii="Cambria" w:hAnsi="Cambria"/>
                <w:sz w:val="20"/>
                <w:szCs w:val="20"/>
                <w:lang w:val="en-AU"/>
              </w:rPr>
            </w:pPr>
            <w:r w:rsidRPr="00E115C6">
              <w:rPr>
                <w:rFonts w:ascii="Cambria" w:hAnsi="Cambria"/>
                <w:sz w:val="20"/>
                <w:szCs w:val="20"/>
                <w:lang w:val="en-AU"/>
              </w:rPr>
              <w:t>0.09</w:t>
            </w:r>
          </w:p>
        </w:tc>
      </w:tr>
      <w:tr w:rsidR="00CA620A" w:rsidRPr="00CE7A25" w14:paraId="2D31C8A1" w14:textId="77777777" w:rsidTr="00E320B1">
        <w:tc>
          <w:tcPr>
            <w:tcW w:w="1574" w:type="dxa"/>
          </w:tcPr>
          <w:p w14:paraId="3CE73CDA" w14:textId="77777777" w:rsidR="00CA620A" w:rsidRPr="00CE7A25" w:rsidRDefault="00CA620A" w:rsidP="00E320B1">
            <w:pPr>
              <w:rPr>
                <w:rFonts w:ascii="Cambria" w:hAnsi="Cambria"/>
                <w:sz w:val="20"/>
                <w:szCs w:val="20"/>
              </w:rPr>
            </w:pPr>
            <w:r w:rsidRPr="00CE7A25">
              <w:rPr>
                <w:rFonts w:ascii="Cambria" w:hAnsi="Cambria"/>
                <w:sz w:val="20"/>
                <w:szCs w:val="20"/>
                <w:lang w:val="en-US"/>
              </w:rPr>
              <w:t>ML nitrate concentration</w:t>
            </w:r>
          </w:p>
        </w:tc>
        <w:tc>
          <w:tcPr>
            <w:tcW w:w="6076" w:type="dxa"/>
          </w:tcPr>
          <w:p w14:paraId="0E1651F0" w14:textId="77777777" w:rsidR="00CA620A" w:rsidRPr="00CE7A25" w:rsidRDefault="00CA620A" w:rsidP="00E320B1">
            <w:pPr>
              <w:rPr>
                <w:rFonts w:ascii="Cambria" w:hAnsi="Cambria"/>
                <w:sz w:val="20"/>
                <w:szCs w:val="20"/>
              </w:rPr>
            </w:pPr>
            <w:r w:rsidRPr="00CE7A25">
              <w:rPr>
                <w:rFonts w:ascii="Cambria" w:hAnsi="Cambria"/>
                <w:sz w:val="20"/>
                <w:szCs w:val="20"/>
              </w:rPr>
              <w:t xml:space="preserve">WW thickness, </w:t>
            </w:r>
            <w:r w:rsidRPr="00A301EF">
              <w:rPr>
                <w:rFonts w:ascii="Cambria" w:hAnsi="Cambria"/>
                <w:b/>
                <w:bCs/>
                <w:sz w:val="20"/>
                <w:szCs w:val="20"/>
              </w:rPr>
              <w:t>T</w:t>
            </w:r>
            <w:r w:rsidRPr="00A301EF">
              <w:rPr>
                <w:rFonts w:ascii="Cambria" w:hAnsi="Cambria"/>
                <w:b/>
                <w:bCs/>
                <w:sz w:val="20"/>
                <w:szCs w:val="20"/>
                <w:vertAlign w:val="subscript"/>
              </w:rPr>
              <w:t>MLD</w:t>
            </w:r>
            <w:r w:rsidRPr="00CE7A25">
              <w:rPr>
                <w:rFonts w:ascii="Cambria" w:hAnsi="Cambria"/>
                <w:sz w:val="20"/>
                <w:szCs w:val="20"/>
              </w:rPr>
              <w:t>, MLD, T</w:t>
            </w:r>
            <w:r w:rsidRPr="00CE7A25">
              <w:rPr>
                <w:rFonts w:ascii="Cambria" w:hAnsi="Cambria"/>
                <w:sz w:val="20"/>
                <w:szCs w:val="20"/>
                <w:vertAlign w:val="subscript"/>
              </w:rPr>
              <w:t>min</w:t>
            </w:r>
            <w:r w:rsidRPr="00CE7A25">
              <w:rPr>
                <w:rFonts w:ascii="Cambria" w:hAnsi="Cambria"/>
                <w:sz w:val="20"/>
                <w:szCs w:val="20"/>
              </w:rPr>
              <w:t xml:space="preserve">, </w:t>
            </w:r>
            <w:r w:rsidRPr="00A301EF">
              <w:rPr>
                <w:rFonts w:ascii="Cambria" w:hAnsi="Cambria"/>
                <w:b/>
                <w:bCs/>
                <w:sz w:val="20"/>
                <w:szCs w:val="20"/>
              </w:rPr>
              <w:t>Depth of T</w:t>
            </w:r>
            <w:r w:rsidRPr="00A301EF">
              <w:rPr>
                <w:rFonts w:ascii="Cambria" w:hAnsi="Cambria"/>
                <w:b/>
                <w:bCs/>
                <w:sz w:val="20"/>
                <w:szCs w:val="20"/>
                <w:vertAlign w:val="subscript"/>
              </w:rPr>
              <w:t>min</w:t>
            </w:r>
          </w:p>
        </w:tc>
        <w:tc>
          <w:tcPr>
            <w:tcW w:w="1366" w:type="dxa"/>
          </w:tcPr>
          <w:p w14:paraId="09521665" w14:textId="77777777" w:rsidR="00CA620A" w:rsidRPr="00A301EF" w:rsidRDefault="00CA620A" w:rsidP="00E320B1">
            <w:pPr>
              <w:rPr>
                <w:rFonts w:ascii="Cambria" w:hAnsi="Cambria"/>
                <w:sz w:val="20"/>
                <w:szCs w:val="20"/>
                <w:lang w:val="en-AU"/>
              </w:rPr>
            </w:pPr>
            <w:r w:rsidRPr="00EF4C25">
              <w:rPr>
                <w:rFonts w:ascii="Cambria" w:hAnsi="Cambria"/>
                <w:sz w:val="20"/>
                <w:szCs w:val="20"/>
                <w:lang w:val="en-AU"/>
              </w:rPr>
              <w:t>0.32</w:t>
            </w:r>
          </w:p>
        </w:tc>
      </w:tr>
      <w:tr w:rsidR="00CA620A" w:rsidRPr="00CE7A25" w14:paraId="387E43FB" w14:textId="77777777" w:rsidTr="00E320B1">
        <w:tc>
          <w:tcPr>
            <w:tcW w:w="1574" w:type="dxa"/>
          </w:tcPr>
          <w:p w14:paraId="69EA9B35" w14:textId="77777777" w:rsidR="00CA620A" w:rsidRPr="00CE7A25" w:rsidRDefault="00CA620A" w:rsidP="00E320B1">
            <w:pPr>
              <w:rPr>
                <w:rFonts w:ascii="Cambria" w:hAnsi="Cambria"/>
                <w:sz w:val="20"/>
                <w:szCs w:val="20"/>
                <w:lang w:val="en-US"/>
              </w:rPr>
            </w:pPr>
            <w:r w:rsidRPr="00CE7A25">
              <w:rPr>
                <w:rFonts w:ascii="Cambria" w:hAnsi="Cambria"/>
                <w:sz w:val="20"/>
                <w:szCs w:val="20"/>
                <w:lang w:val="en-US"/>
              </w:rPr>
              <w:t>Nitrate drawdown</w:t>
            </w:r>
          </w:p>
        </w:tc>
        <w:tc>
          <w:tcPr>
            <w:tcW w:w="6076" w:type="dxa"/>
          </w:tcPr>
          <w:p w14:paraId="68512E79" w14:textId="77777777" w:rsidR="00CA620A" w:rsidRPr="00CE7A25" w:rsidRDefault="00CA620A" w:rsidP="00E320B1">
            <w:pPr>
              <w:rPr>
                <w:rFonts w:ascii="Cambria" w:hAnsi="Cambria"/>
                <w:sz w:val="20"/>
                <w:szCs w:val="20"/>
              </w:rPr>
            </w:pPr>
            <w:r w:rsidRPr="00CE7A25">
              <w:rPr>
                <w:rFonts w:ascii="Cambria" w:hAnsi="Cambria"/>
                <w:sz w:val="20"/>
                <w:szCs w:val="20"/>
              </w:rPr>
              <w:t>T</w:t>
            </w:r>
            <w:r w:rsidRPr="00CE7A25">
              <w:rPr>
                <w:rFonts w:ascii="Cambria" w:hAnsi="Cambria"/>
                <w:sz w:val="20"/>
                <w:szCs w:val="20"/>
                <w:vertAlign w:val="subscript"/>
              </w:rPr>
              <w:t>MLD</w:t>
            </w:r>
            <w:r w:rsidRPr="00CE7A25">
              <w:rPr>
                <w:rFonts w:ascii="Cambria" w:hAnsi="Cambria"/>
                <w:sz w:val="20"/>
                <w:szCs w:val="20"/>
              </w:rPr>
              <w:t xml:space="preserve">, MLD, </w:t>
            </w:r>
            <w:r w:rsidRPr="00D2533E">
              <w:rPr>
                <w:rFonts w:ascii="Cambria" w:hAnsi="Cambria"/>
                <w:b/>
                <w:bCs/>
                <w:sz w:val="20"/>
                <w:szCs w:val="20"/>
              </w:rPr>
              <w:t>Days since ice melt</w:t>
            </w:r>
            <w:r w:rsidRPr="00CE7A25">
              <w:rPr>
                <w:rFonts w:ascii="Cambria" w:hAnsi="Cambria"/>
                <w:sz w:val="20"/>
                <w:szCs w:val="20"/>
              </w:rPr>
              <w:t xml:space="preserve">, Nutrient drawdown ratio (Si2N_DD_ratio), </w:t>
            </w:r>
            <w:r w:rsidRPr="00D2533E">
              <w:rPr>
                <w:rFonts w:ascii="Cambria" w:hAnsi="Cambria"/>
                <w:b/>
                <w:bCs/>
                <w:sz w:val="20"/>
                <w:szCs w:val="20"/>
              </w:rPr>
              <w:t>WW thickness</w:t>
            </w:r>
            <w:r w:rsidRPr="00CE7A25">
              <w:rPr>
                <w:rFonts w:ascii="Cambria" w:hAnsi="Cambria"/>
                <w:sz w:val="20"/>
                <w:szCs w:val="20"/>
              </w:rPr>
              <w:t>, T</w:t>
            </w:r>
            <w:r w:rsidRPr="00CE7A25">
              <w:rPr>
                <w:rFonts w:ascii="Cambria" w:hAnsi="Cambria"/>
                <w:sz w:val="20"/>
                <w:szCs w:val="20"/>
                <w:vertAlign w:val="subscript"/>
              </w:rPr>
              <w:t>min</w:t>
            </w:r>
          </w:p>
        </w:tc>
        <w:tc>
          <w:tcPr>
            <w:tcW w:w="1366" w:type="dxa"/>
          </w:tcPr>
          <w:p w14:paraId="0D70B938" w14:textId="77777777" w:rsidR="00CA620A" w:rsidRPr="00D2533E" w:rsidRDefault="00CA620A" w:rsidP="00E320B1">
            <w:pPr>
              <w:rPr>
                <w:rFonts w:ascii="Cambria" w:hAnsi="Cambria"/>
                <w:sz w:val="20"/>
                <w:szCs w:val="20"/>
                <w:lang w:val="en-AU"/>
              </w:rPr>
            </w:pPr>
            <w:r>
              <w:rPr>
                <w:rFonts w:ascii="Cambria" w:hAnsi="Cambria"/>
                <w:sz w:val="20"/>
                <w:szCs w:val="20"/>
                <w:lang w:val="en-AU"/>
              </w:rPr>
              <w:t>0.28</w:t>
            </w:r>
          </w:p>
        </w:tc>
      </w:tr>
      <w:tr w:rsidR="00CA620A" w:rsidRPr="00CE7A25" w14:paraId="35763E9A" w14:textId="77777777" w:rsidTr="00E320B1">
        <w:tc>
          <w:tcPr>
            <w:tcW w:w="1574" w:type="dxa"/>
          </w:tcPr>
          <w:p w14:paraId="5F02B538" w14:textId="77777777" w:rsidR="00CA620A" w:rsidRPr="00CE7A25" w:rsidRDefault="00CA620A" w:rsidP="00E320B1">
            <w:pPr>
              <w:rPr>
                <w:rFonts w:ascii="Cambria" w:hAnsi="Cambria"/>
                <w:sz w:val="20"/>
                <w:szCs w:val="20"/>
                <w:lang w:val="en-US"/>
              </w:rPr>
            </w:pPr>
            <w:r w:rsidRPr="00CE7A25">
              <w:rPr>
                <w:rFonts w:ascii="Cambria" w:hAnsi="Cambria"/>
                <w:sz w:val="20"/>
                <w:szCs w:val="20"/>
                <w:lang w:val="en-US"/>
              </w:rPr>
              <w:t>Nitrate-based production</w:t>
            </w:r>
          </w:p>
        </w:tc>
        <w:tc>
          <w:tcPr>
            <w:tcW w:w="6076" w:type="dxa"/>
          </w:tcPr>
          <w:p w14:paraId="05EF18AA" w14:textId="77777777" w:rsidR="00CA620A" w:rsidRPr="00CE7A25" w:rsidRDefault="00CA620A" w:rsidP="00E320B1">
            <w:pPr>
              <w:rPr>
                <w:rFonts w:ascii="Cambria" w:hAnsi="Cambria"/>
                <w:sz w:val="20"/>
                <w:szCs w:val="20"/>
              </w:rPr>
            </w:pPr>
            <w:r w:rsidRPr="00CE7A25">
              <w:rPr>
                <w:rFonts w:ascii="Cambria" w:hAnsi="Cambria"/>
                <w:sz w:val="20"/>
                <w:szCs w:val="20"/>
              </w:rPr>
              <w:t>T</w:t>
            </w:r>
            <w:r w:rsidRPr="00CE7A25">
              <w:rPr>
                <w:rFonts w:ascii="Cambria" w:hAnsi="Cambria"/>
                <w:sz w:val="20"/>
                <w:szCs w:val="20"/>
                <w:vertAlign w:val="subscript"/>
              </w:rPr>
              <w:t>MLD</w:t>
            </w:r>
            <w:r w:rsidRPr="00CE7A25">
              <w:rPr>
                <w:rFonts w:ascii="Cambria" w:hAnsi="Cambria"/>
                <w:sz w:val="20"/>
                <w:szCs w:val="20"/>
              </w:rPr>
              <w:t xml:space="preserve">, </w:t>
            </w:r>
            <w:r w:rsidRPr="00D2533E">
              <w:rPr>
                <w:rFonts w:ascii="Cambria" w:hAnsi="Cambria"/>
                <w:b/>
                <w:bCs/>
                <w:sz w:val="20"/>
                <w:szCs w:val="20"/>
              </w:rPr>
              <w:t>MLD</w:t>
            </w:r>
            <w:r w:rsidRPr="00CE7A25">
              <w:rPr>
                <w:rFonts w:ascii="Cambria" w:hAnsi="Cambria"/>
                <w:sz w:val="20"/>
                <w:szCs w:val="20"/>
              </w:rPr>
              <w:t>, Nutrient drawdown ratio (Si2N_DD_ratio), WW thickness, T</w:t>
            </w:r>
            <w:r w:rsidRPr="00CE7A25">
              <w:rPr>
                <w:rFonts w:ascii="Cambria" w:hAnsi="Cambria"/>
                <w:sz w:val="20"/>
                <w:szCs w:val="20"/>
                <w:vertAlign w:val="subscript"/>
              </w:rPr>
              <w:t>min</w:t>
            </w:r>
          </w:p>
        </w:tc>
        <w:tc>
          <w:tcPr>
            <w:tcW w:w="1366" w:type="dxa"/>
          </w:tcPr>
          <w:p w14:paraId="4091D3C7" w14:textId="77777777" w:rsidR="00CA620A" w:rsidRPr="00D2533E" w:rsidRDefault="00CA620A" w:rsidP="00E320B1">
            <w:pPr>
              <w:rPr>
                <w:rFonts w:ascii="Cambria" w:hAnsi="Cambria"/>
                <w:sz w:val="20"/>
                <w:szCs w:val="20"/>
                <w:lang w:val="en-AU"/>
              </w:rPr>
            </w:pPr>
            <w:r>
              <w:rPr>
                <w:rFonts w:ascii="Cambria" w:hAnsi="Cambria"/>
                <w:sz w:val="20"/>
                <w:szCs w:val="20"/>
                <w:lang w:val="en-AU"/>
              </w:rPr>
              <w:t>0.12</w:t>
            </w:r>
          </w:p>
        </w:tc>
      </w:tr>
    </w:tbl>
    <w:p w14:paraId="144C7476" w14:textId="77777777" w:rsidR="00CA620A" w:rsidRDefault="00CA620A" w:rsidP="00CA620A">
      <w:pPr>
        <w:pStyle w:val="Heading1"/>
        <w:ind w:left="-5" w:right="1"/>
      </w:pPr>
    </w:p>
    <w:p w14:paraId="1D74B0AD" w14:textId="77777777" w:rsidR="002C0278" w:rsidRDefault="002C0278"/>
    <w:sectPr w:rsidR="002C0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0A"/>
    <w:rsid w:val="002C0278"/>
    <w:rsid w:val="009F0148"/>
    <w:rsid w:val="00BE2707"/>
    <w:rsid w:val="00CA6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6FF3097"/>
  <w15:chartTrackingRefBased/>
  <w15:docId w15:val="{0A41CD46-A0BC-2441-85ED-24DBD101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0A"/>
    <w:pPr>
      <w:spacing w:after="203" w:line="271" w:lineRule="auto"/>
      <w:ind w:left="10" w:right="59" w:hanging="10"/>
    </w:pPr>
    <w:rPr>
      <w:rFonts w:ascii="Times New Roman" w:eastAsia="Times New Roman" w:hAnsi="Times New Roman" w:cs="Times New Roman"/>
      <w:color w:val="000000"/>
      <w:lang w:val="zh-CN" w:eastAsia="zh-CN" w:bidi="zh-CN"/>
    </w:rPr>
  </w:style>
  <w:style w:type="paragraph" w:styleId="Heading1">
    <w:name w:val="heading 1"/>
    <w:basedOn w:val="Normal"/>
    <w:next w:val="Normal"/>
    <w:link w:val="Heading1Char"/>
    <w:uiPriority w:val="9"/>
    <w:qFormat/>
    <w:rsid w:val="00CA620A"/>
    <w:pPr>
      <w:keepNext/>
      <w:keepLines/>
      <w:spacing w:before="360" w:after="80" w:line="240" w:lineRule="auto"/>
      <w:ind w:left="0" w:right="0" w:firstLine="0"/>
      <w:outlineLvl w:val="0"/>
    </w:pPr>
    <w:rPr>
      <w:rFonts w:asciiTheme="majorHAnsi" w:eastAsiaTheme="majorEastAsia" w:hAnsiTheme="majorHAnsi" w:cstheme="majorBidi"/>
      <w:color w:val="0F4761" w:themeColor="accent1" w:themeShade="BF"/>
      <w:sz w:val="40"/>
      <w:szCs w:val="40"/>
      <w:lang w:val="en-AU" w:eastAsia="en-US" w:bidi="ar-SA"/>
    </w:rPr>
  </w:style>
  <w:style w:type="paragraph" w:styleId="Heading2">
    <w:name w:val="heading 2"/>
    <w:basedOn w:val="Normal"/>
    <w:next w:val="Normal"/>
    <w:link w:val="Heading2Char"/>
    <w:uiPriority w:val="9"/>
    <w:semiHidden/>
    <w:unhideWhenUsed/>
    <w:qFormat/>
    <w:rsid w:val="00CA620A"/>
    <w:pPr>
      <w:keepNext/>
      <w:keepLines/>
      <w:spacing w:before="160" w:after="80" w:line="240" w:lineRule="auto"/>
      <w:ind w:left="0" w:right="0" w:firstLine="0"/>
      <w:outlineLvl w:val="1"/>
    </w:pPr>
    <w:rPr>
      <w:rFonts w:asciiTheme="majorHAnsi" w:eastAsiaTheme="majorEastAsia" w:hAnsiTheme="majorHAnsi" w:cstheme="majorBidi"/>
      <w:color w:val="0F4761" w:themeColor="accent1" w:themeShade="BF"/>
      <w:sz w:val="32"/>
      <w:szCs w:val="32"/>
      <w:lang w:val="en-AU" w:eastAsia="en-US" w:bidi="ar-SA"/>
    </w:rPr>
  </w:style>
  <w:style w:type="paragraph" w:styleId="Heading3">
    <w:name w:val="heading 3"/>
    <w:basedOn w:val="Normal"/>
    <w:next w:val="Normal"/>
    <w:link w:val="Heading3Char"/>
    <w:uiPriority w:val="9"/>
    <w:semiHidden/>
    <w:unhideWhenUsed/>
    <w:qFormat/>
    <w:rsid w:val="00CA620A"/>
    <w:pPr>
      <w:keepNext/>
      <w:keepLines/>
      <w:spacing w:before="160" w:after="80" w:line="240" w:lineRule="auto"/>
      <w:ind w:left="0" w:right="0" w:firstLine="0"/>
      <w:outlineLvl w:val="2"/>
    </w:pPr>
    <w:rPr>
      <w:rFonts w:asciiTheme="minorHAnsi" w:eastAsiaTheme="majorEastAsia" w:hAnsiTheme="minorHAnsi" w:cstheme="majorBidi"/>
      <w:color w:val="0F4761" w:themeColor="accent1" w:themeShade="BF"/>
      <w:sz w:val="28"/>
      <w:szCs w:val="28"/>
      <w:lang w:val="en-AU" w:eastAsia="en-US" w:bidi="ar-SA"/>
    </w:rPr>
  </w:style>
  <w:style w:type="paragraph" w:styleId="Heading4">
    <w:name w:val="heading 4"/>
    <w:basedOn w:val="Normal"/>
    <w:next w:val="Normal"/>
    <w:link w:val="Heading4Char"/>
    <w:uiPriority w:val="9"/>
    <w:semiHidden/>
    <w:unhideWhenUsed/>
    <w:qFormat/>
    <w:rsid w:val="00CA620A"/>
    <w:pPr>
      <w:keepNext/>
      <w:keepLines/>
      <w:spacing w:before="80" w:after="40" w:line="240" w:lineRule="auto"/>
      <w:ind w:left="0" w:right="0" w:firstLine="0"/>
      <w:outlineLvl w:val="3"/>
    </w:pPr>
    <w:rPr>
      <w:rFonts w:asciiTheme="minorHAnsi" w:eastAsiaTheme="majorEastAsia" w:hAnsiTheme="minorHAnsi" w:cstheme="majorBidi"/>
      <w:i/>
      <w:iCs/>
      <w:color w:val="0F4761" w:themeColor="accent1" w:themeShade="BF"/>
      <w:lang w:val="en-AU" w:eastAsia="en-US" w:bidi="ar-SA"/>
    </w:rPr>
  </w:style>
  <w:style w:type="paragraph" w:styleId="Heading5">
    <w:name w:val="heading 5"/>
    <w:basedOn w:val="Normal"/>
    <w:next w:val="Normal"/>
    <w:link w:val="Heading5Char"/>
    <w:uiPriority w:val="9"/>
    <w:semiHidden/>
    <w:unhideWhenUsed/>
    <w:qFormat/>
    <w:rsid w:val="00CA620A"/>
    <w:pPr>
      <w:keepNext/>
      <w:keepLines/>
      <w:spacing w:before="80" w:after="40" w:line="240" w:lineRule="auto"/>
      <w:ind w:left="0" w:right="0" w:firstLine="0"/>
      <w:outlineLvl w:val="4"/>
    </w:pPr>
    <w:rPr>
      <w:rFonts w:asciiTheme="minorHAnsi" w:eastAsiaTheme="majorEastAsia" w:hAnsiTheme="minorHAnsi" w:cstheme="majorBidi"/>
      <w:color w:val="0F4761" w:themeColor="accent1" w:themeShade="BF"/>
      <w:lang w:val="en-AU" w:eastAsia="en-US" w:bidi="ar-SA"/>
    </w:rPr>
  </w:style>
  <w:style w:type="paragraph" w:styleId="Heading6">
    <w:name w:val="heading 6"/>
    <w:basedOn w:val="Normal"/>
    <w:next w:val="Normal"/>
    <w:link w:val="Heading6Char"/>
    <w:uiPriority w:val="9"/>
    <w:semiHidden/>
    <w:unhideWhenUsed/>
    <w:qFormat/>
    <w:rsid w:val="00CA620A"/>
    <w:pPr>
      <w:keepNext/>
      <w:keepLines/>
      <w:spacing w:before="40" w:after="0" w:line="240" w:lineRule="auto"/>
      <w:ind w:left="0" w:right="0" w:firstLine="0"/>
      <w:outlineLvl w:val="5"/>
    </w:pPr>
    <w:rPr>
      <w:rFonts w:asciiTheme="minorHAnsi" w:eastAsiaTheme="majorEastAsia" w:hAnsiTheme="minorHAnsi" w:cstheme="majorBidi"/>
      <w:i/>
      <w:iCs/>
      <w:color w:val="595959" w:themeColor="text1" w:themeTint="A6"/>
      <w:lang w:val="en-AU" w:eastAsia="en-US" w:bidi="ar-SA"/>
    </w:rPr>
  </w:style>
  <w:style w:type="paragraph" w:styleId="Heading7">
    <w:name w:val="heading 7"/>
    <w:basedOn w:val="Normal"/>
    <w:next w:val="Normal"/>
    <w:link w:val="Heading7Char"/>
    <w:uiPriority w:val="9"/>
    <w:semiHidden/>
    <w:unhideWhenUsed/>
    <w:qFormat/>
    <w:rsid w:val="00CA620A"/>
    <w:pPr>
      <w:keepNext/>
      <w:keepLines/>
      <w:spacing w:before="40" w:after="0" w:line="240" w:lineRule="auto"/>
      <w:ind w:left="0" w:right="0" w:firstLine="0"/>
      <w:outlineLvl w:val="6"/>
    </w:pPr>
    <w:rPr>
      <w:rFonts w:asciiTheme="minorHAnsi" w:eastAsiaTheme="majorEastAsia" w:hAnsiTheme="minorHAnsi" w:cstheme="majorBidi"/>
      <w:color w:val="595959" w:themeColor="text1" w:themeTint="A6"/>
      <w:lang w:val="en-AU" w:eastAsia="en-US" w:bidi="ar-SA"/>
    </w:rPr>
  </w:style>
  <w:style w:type="paragraph" w:styleId="Heading8">
    <w:name w:val="heading 8"/>
    <w:basedOn w:val="Normal"/>
    <w:next w:val="Normal"/>
    <w:link w:val="Heading8Char"/>
    <w:uiPriority w:val="9"/>
    <w:semiHidden/>
    <w:unhideWhenUsed/>
    <w:qFormat/>
    <w:rsid w:val="00CA620A"/>
    <w:pPr>
      <w:keepNext/>
      <w:keepLines/>
      <w:spacing w:after="0" w:line="240" w:lineRule="auto"/>
      <w:ind w:left="0" w:right="0" w:firstLine="0"/>
      <w:outlineLvl w:val="7"/>
    </w:pPr>
    <w:rPr>
      <w:rFonts w:asciiTheme="minorHAnsi" w:eastAsiaTheme="majorEastAsia" w:hAnsiTheme="minorHAnsi" w:cstheme="majorBidi"/>
      <w:i/>
      <w:iCs/>
      <w:color w:val="272727" w:themeColor="text1" w:themeTint="D8"/>
      <w:lang w:val="en-AU" w:eastAsia="en-US" w:bidi="ar-SA"/>
    </w:rPr>
  </w:style>
  <w:style w:type="paragraph" w:styleId="Heading9">
    <w:name w:val="heading 9"/>
    <w:basedOn w:val="Normal"/>
    <w:next w:val="Normal"/>
    <w:link w:val="Heading9Char"/>
    <w:uiPriority w:val="9"/>
    <w:semiHidden/>
    <w:unhideWhenUsed/>
    <w:qFormat/>
    <w:rsid w:val="00CA620A"/>
    <w:pPr>
      <w:keepNext/>
      <w:keepLines/>
      <w:spacing w:after="0" w:line="240" w:lineRule="auto"/>
      <w:ind w:left="0" w:right="0" w:firstLine="0"/>
      <w:outlineLvl w:val="8"/>
    </w:pPr>
    <w:rPr>
      <w:rFonts w:asciiTheme="minorHAnsi" w:eastAsiaTheme="majorEastAsia" w:hAnsiTheme="minorHAnsi" w:cstheme="majorBidi"/>
      <w:color w:val="272727" w:themeColor="text1" w:themeTint="D8"/>
      <w:lang w:val="en-AU"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2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2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2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20A"/>
    <w:rPr>
      <w:rFonts w:eastAsiaTheme="majorEastAsia" w:cstheme="majorBidi"/>
      <w:color w:val="272727" w:themeColor="text1" w:themeTint="D8"/>
    </w:rPr>
  </w:style>
  <w:style w:type="paragraph" w:styleId="Title">
    <w:name w:val="Title"/>
    <w:basedOn w:val="Normal"/>
    <w:next w:val="Normal"/>
    <w:link w:val="TitleChar"/>
    <w:uiPriority w:val="10"/>
    <w:qFormat/>
    <w:rsid w:val="00CA620A"/>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val="en-AU" w:eastAsia="en-US" w:bidi="ar-SA"/>
    </w:rPr>
  </w:style>
  <w:style w:type="character" w:customStyle="1" w:styleId="TitleChar">
    <w:name w:val="Title Char"/>
    <w:basedOn w:val="DefaultParagraphFont"/>
    <w:link w:val="Title"/>
    <w:uiPriority w:val="10"/>
    <w:rsid w:val="00CA6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20A"/>
    <w:pPr>
      <w:numPr>
        <w:ilvl w:val="1"/>
      </w:numPr>
      <w:spacing w:after="160" w:line="240" w:lineRule="auto"/>
      <w:ind w:right="0"/>
    </w:pPr>
    <w:rPr>
      <w:rFonts w:asciiTheme="minorHAnsi" w:eastAsiaTheme="majorEastAsia" w:hAnsiTheme="minorHAnsi" w:cstheme="majorBidi"/>
      <w:color w:val="595959" w:themeColor="text1" w:themeTint="A6"/>
      <w:spacing w:val="15"/>
      <w:sz w:val="28"/>
      <w:szCs w:val="28"/>
      <w:lang w:val="en-AU" w:eastAsia="en-US" w:bidi="ar-SA"/>
    </w:rPr>
  </w:style>
  <w:style w:type="character" w:customStyle="1" w:styleId="SubtitleChar">
    <w:name w:val="Subtitle Char"/>
    <w:basedOn w:val="DefaultParagraphFont"/>
    <w:link w:val="Subtitle"/>
    <w:uiPriority w:val="11"/>
    <w:rsid w:val="00CA6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20A"/>
    <w:pPr>
      <w:spacing w:before="160" w:after="160" w:line="240" w:lineRule="auto"/>
      <w:ind w:left="0" w:right="0" w:firstLine="0"/>
      <w:jc w:val="center"/>
    </w:pPr>
    <w:rPr>
      <w:rFonts w:asciiTheme="minorHAnsi" w:eastAsiaTheme="minorHAnsi" w:hAnsiTheme="minorHAnsi" w:cstheme="minorBidi"/>
      <w:i/>
      <w:iCs/>
      <w:color w:val="404040" w:themeColor="text1" w:themeTint="BF"/>
      <w:lang w:val="en-AU" w:eastAsia="en-US" w:bidi="ar-SA"/>
    </w:rPr>
  </w:style>
  <w:style w:type="character" w:customStyle="1" w:styleId="QuoteChar">
    <w:name w:val="Quote Char"/>
    <w:basedOn w:val="DefaultParagraphFont"/>
    <w:link w:val="Quote"/>
    <w:uiPriority w:val="29"/>
    <w:rsid w:val="00CA620A"/>
    <w:rPr>
      <w:i/>
      <w:iCs/>
      <w:color w:val="404040" w:themeColor="text1" w:themeTint="BF"/>
    </w:rPr>
  </w:style>
  <w:style w:type="paragraph" w:styleId="ListParagraph">
    <w:name w:val="List Paragraph"/>
    <w:basedOn w:val="Normal"/>
    <w:uiPriority w:val="34"/>
    <w:qFormat/>
    <w:rsid w:val="00CA620A"/>
    <w:pPr>
      <w:spacing w:after="0" w:line="240" w:lineRule="auto"/>
      <w:ind w:left="720" w:right="0" w:firstLine="0"/>
      <w:contextualSpacing/>
    </w:pPr>
    <w:rPr>
      <w:rFonts w:asciiTheme="minorHAnsi" w:eastAsiaTheme="minorHAnsi" w:hAnsiTheme="minorHAnsi" w:cstheme="minorBidi"/>
      <w:color w:val="auto"/>
      <w:lang w:val="en-AU" w:eastAsia="en-US" w:bidi="ar-SA"/>
    </w:rPr>
  </w:style>
  <w:style w:type="character" w:styleId="IntenseEmphasis">
    <w:name w:val="Intense Emphasis"/>
    <w:basedOn w:val="DefaultParagraphFont"/>
    <w:uiPriority w:val="21"/>
    <w:qFormat/>
    <w:rsid w:val="00CA620A"/>
    <w:rPr>
      <w:i/>
      <w:iCs/>
      <w:color w:val="0F4761" w:themeColor="accent1" w:themeShade="BF"/>
    </w:rPr>
  </w:style>
  <w:style w:type="paragraph" w:styleId="IntenseQuote">
    <w:name w:val="Intense Quote"/>
    <w:basedOn w:val="Normal"/>
    <w:next w:val="Normal"/>
    <w:link w:val="IntenseQuoteChar"/>
    <w:uiPriority w:val="30"/>
    <w:qFormat/>
    <w:rsid w:val="00CA620A"/>
    <w:pPr>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asciiTheme="minorHAnsi" w:eastAsiaTheme="minorHAnsi" w:hAnsiTheme="minorHAnsi" w:cstheme="minorBidi"/>
      <w:i/>
      <w:iCs/>
      <w:color w:val="0F4761" w:themeColor="accent1" w:themeShade="BF"/>
      <w:lang w:val="en-AU" w:eastAsia="en-US" w:bidi="ar-SA"/>
    </w:rPr>
  </w:style>
  <w:style w:type="character" w:customStyle="1" w:styleId="IntenseQuoteChar">
    <w:name w:val="Intense Quote Char"/>
    <w:basedOn w:val="DefaultParagraphFont"/>
    <w:link w:val="IntenseQuote"/>
    <w:uiPriority w:val="30"/>
    <w:rsid w:val="00CA620A"/>
    <w:rPr>
      <w:i/>
      <w:iCs/>
      <w:color w:val="0F4761" w:themeColor="accent1" w:themeShade="BF"/>
    </w:rPr>
  </w:style>
  <w:style w:type="character" w:styleId="IntenseReference">
    <w:name w:val="Intense Reference"/>
    <w:basedOn w:val="DefaultParagraphFont"/>
    <w:uiPriority w:val="32"/>
    <w:qFormat/>
    <w:rsid w:val="00CA620A"/>
    <w:rPr>
      <w:b/>
      <w:bCs/>
      <w:smallCaps/>
      <w:color w:val="0F4761" w:themeColor="accent1" w:themeShade="BF"/>
      <w:spacing w:val="5"/>
    </w:rPr>
  </w:style>
  <w:style w:type="table" w:styleId="TableGrid">
    <w:name w:val="Table Grid"/>
    <w:basedOn w:val="TableNormal"/>
    <w:uiPriority w:val="39"/>
    <w:rsid w:val="00CA620A"/>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Foppert</dc:creator>
  <cp:keywords/>
  <dc:description/>
  <cp:lastModifiedBy>Annie Foppert</cp:lastModifiedBy>
  <cp:revision>1</cp:revision>
  <dcterms:created xsi:type="dcterms:W3CDTF">2025-01-07T03:59:00Z</dcterms:created>
  <dcterms:modified xsi:type="dcterms:W3CDTF">2025-01-07T03:59:00Z</dcterms:modified>
</cp:coreProperties>
</file>