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FE79C">
      <w:pPr>
        <w:pStyle w:val="52"/>
        <w:rPr>
          <w:b w:val="0"/>
        </w:rPr>
      </w:pPr>
      <w:r>
        <w:t>Supplementary Material</w:t>
      </w:r>
    </w:p>
    <w:p w14:paraId="01A3BF55">
      <w:pPr>
        <w:pStyle w:val="2"/>
        <w:rPr>
          <w:rFonts w:hint="default" w:ascii="Times New Roman" w:hAnsi="Times New Roman" w:cs="Times New Roman"/>
          <w:b/>
          <w:bCs/>
          <w:sz w:val="24"/>
          <w:szCs w:val="24"/>
        </w:rPr>
      </w:pPr>
      <w:r>
        <w:t xml:space="preserve">Supplementary </w:t>
      </w:r>
      <w:r>
        <w:rPr>
          <w:rFonts w:hint="eastAsia" w:eastAsia="宋体" w:cs="Times New Roman"/>
          <w:b/>
          <w:bCs/>
          <w:sz w:val="24"/>
          <w:szCs w:val="24"/>
          <w:lang w:val="en-US" w:eastAsia="zh-CN"/>
        </w:rPr>
        <w:t>Table</w:t>
      </w:r>
      <w:r>
        <w:rPr>
          <w:rFonts w:hint="eastAsia" w:eastAsia="宋体"/>
          <w:lang w:val="en-US" w:eastAsia="zh-CN"/>
        </w:rPr>
        <w:t xml:space="preserve">: </w:t>
      </w:r>
      <w:r>
        <w:rPr>
          <w:rFonts w:hint="default" w:ascii="Times New Roman" w:hAnsi="Times New Roman" w:cs="Times New Roman"/>
          <w:b w:val="0"/>
          <w:bCs w:val="0"/>
          <w:sz w:val="24"/>
          <w:szCs w:val="24"/>
        </w:rPr>
        <w:t>Search strategy</w:t>
      </w:r>
    </w:p>
    <w:tbl>
      <w:tblPr>
        <w:tblStyle w:val="2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709"/>
        <w:gridCol w:w="1556"/>
      </w:tblGrid>
      <w:tr w14:paraId="6BEC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14:paraId="3572BA79">
            <w:pPr>
              <w:rPr>
                <w:rFonts w:hint="default"/>
                <w:b/>
                <w:bCs/>
                <w:szCs w:val="24"/>
                <w:lang w:val="en-US" w:eastAsia="zh-CN"/>
              </w:rPr>
            </w:pPr>
            <w:r>
              <w:rPr>
                <w:rFonts w:hint="default"/>
                <w:b/>
                <w:bCs/>
                <w:szCs w:val="24"/>
                <w:lang w:val="en-US" w:eastAsia="zh-CN"/>
              </w:rPr>
              <w:t xml:space="preserve">Database </w:t>
            </w:r>
          </w:p>
        </w:tc>
        <w:tc>
          <w:tcPr>
            <w:tcW w:w="5710" w:type="dxa"/>
            <w:vAlign w:val="top"/>
          </w:tcPr>
          <w:p w14:paraId="4BE93084">
            <w:pPr>
              <w:rPr>
                <w:rFonts w:hint="default"/>
                <w:b/>
                <w:bCs/>
                <w:szCs w:val="24"/>
                <w:lang w:val="en-US" w:eastAsia="zh-CN"/>
              </w:rPr>
            </w:pPr>
            <w:r>
              <w:rPr>
                <w:rFonts w:hint="default"/>
                <w:b/>
                <w:bCs/>
                <w:szCs w:val="24"/>
                <w:lang w:val="en-US" w:eastAsia="zh-CN"/>
              </w:rPr>
              <w:t>Search strategy</w:t>
            </w:r>
          </w:p>
        </w:tc>
        <w:tc>
          <w:tcPr>
            <w:tcW w:w="1555" w:type="dxa"/>
            <w:vAlign w:val="top"/>
          </w:tcPr>
          <w:p w14:paraId="0931B16B">
            <w:pPr>
              <w:rPr>
                <w:rFonts w:hint="default"/>
                <w:b/>
                <w:bCs/>
                <w:szCs w:val="24"/>
                <w:lang w:val="en-US" w:eastAsia="zh-CN"/>
              </w:rPr>
            </w:pPr>
            <w:r>
              <w:rPr>
                <w:rFonts w:hint="default"/>
                <w:b/>
                <w:bCs/>
                <w:szCs w:val="24"/>
                <w:lang w:val="en-US" w:eastAsia="zh-CN"/>
              </w:rPr>
              <w:t>Count</w:t>
            </w:r>
          </w:p>
        </w:tc>
      </w:tr>
      <w:tr w14:paraId="6287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14:paraId="7541C9C5">
            <w:pPr>
              <w:rPr>
                <w:rFonts w:hint="default"/>
                <w:szCs w:val="24"/>
                <w:lang w:val="en-US" w:eastAsia="zh-CN"/>
              </w:rPr>
            </w:pPr>
            <w:r>
              <w:rPr>
                <w:rFonts w:hint="default"/>
                <w:szCs w:val="24"/>
                <w:lang w:val="en-US" w:eastAsia="zh-CN"/>
              </w:rPr>
              <w:t>Web of science</w:t>
            </w:r>
          </w:p>
        </w:tc>
        <w:tc>
          <w:tcPr>
            <w:tcW w:w="5710" w:type="dxa"/>
            <w:vAlign w:val="top"/>
          </w:tcPr>
          <w:p w14:paraId="41F292C1">
            <w:pPr>
              <w:rPr>
                <w:rFonts w:hint="default"/>
                <w:szCs w:val="24"/>
                <w:lang w:val="en-US" w:eastAsia="zh-CN"/>
              </w:rPr>
            </w:pPr>
            <w:r>
              <w:rPr>
                <w:rFonts w:hint="default"/>
                <w:szCs w:val="24"/>
                <w:lang w:val="en-US" w:eastAsia="zh-CN"/>
              </w:rPr>
              <w:t>TS=(“Myocardial Infarction” OR “Myocardial Ischemia” OR “Myocardial Ischemia/Reperfusion Injury” OR “Myocardial I/R” OR “Myocardial I/R Injury” OR “Myocardial Revascularization” OR “Myocardial Reperfusion” OR “Myocardial Stunning” OR “Myocardial Ischemic Preconditioning” OR “Coronary Artery Bypass” OR “Percutaneous Coronary Intervention” OR “Percutaneous Coronary Revascularizations” OR “Percutaneous Transluminal Coronary Intervention”) AND TS=(“Salvianolic acid” OR “Salvianic acid ”)</w:t>
            </w:r>
          </w:p>
        </w:tc>
        <w:tc>
          <w:tcPr>
            <w:tcW w:w="1555" w:type="dxa"/>
            <w:vAlign w:val="top"/>
          </w:tcPr>
          <w:p w14:paraId="6A70C2CB">
            <w:pPr>
              <w:rPr>
                <w:rFonts w:hint="default"/>
                <w:szCs w:val="24"/>
                <w:lang w:val="en-US" w:eastAsia="zh-CN"/>
              </w:rPr>
            </w:pPr>
            <w:r>
              <w:rPr>
                <w:rFonts w:hint="default"/>
                <w:szCs w:val="24"/>
                <w:lang w:val="en-US" w:eastAsia="zh-CN"/>
              </w:rPr>
              <w:t>174</w:t>
            </w:r>
          </w:p>
        </w:tc>
      </w:tr>
      <w:tr w14:paraId="06D1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14:paraId="3E609B06">
            <w:pPr>
              <w:rPr>
                <w:rFonts w:hint="default"/>
                <w:szCs w:val="24"/>
                <w:lang w:val="en-US" w:eastAsia="zh-CN"/>
              </w:rPr>
            </w:pPr>
            <w:r>
              <w:rPr>
                <w:rFonts w:hint="default"/>
                <w:szCs w:val="24"/>
                <w:lang w:val="en-US" w:eastAsia="zh-CN"/>
              </w:rPr>
              <w:t>Pubmed</w:t>
            </w:r>
          </w:p>
        </w:tc>
        <w:tc>
          <w:tcPr>
            <w:tcW w:w="5710" w:type="dxa"/>
            <w:vAlign w:val="top"/>
          </w:tcPr>
          <w:p w14:paraId="0554D4E3">
            <w:pPr>
              <w:rPr>
                <w:rFonts w:hint="default"/>
                <w:szCs w:val="24"/>
                <w:lang w:val="en-US" w:eastAsia="zh-CN"/>
              </w:rPr>
            </w:pPr>
            <w:r>
              <w:rPr>
                <w:rFonts w:hint="default"/>
                <w:szCs w:val="24"/>
                <w:lang w:val="en-US" w:eastAsia="zh-CN"/>
              </w:rPr>
              <w:t>("Salvianolic acid" OR "Salvianic acid") AND ("Myocardial Infarction" OR "Myocardial Ischemia" OR "Myocardial Ischemia/Reperfusion Injury" OR "Myocardial I/R" OR "Myocardial I/R Injury" OR "Myocardial Revascularization" OR "Myocardial Reperfusion" OR "Myocardial Stunning" OR "Myocardial Ischemic Preconditioning" OR "Coronary Artery Bypass" OR "Percutaneous Coronary Intervention" OR "Percutaneous Coronary Revascularizations" OR "Percutaneous Transluminal Coronary Intervention")</w:t>
            </w:r>
          </w:p>
        </w:tc>
        <w:tc>
          <w:tcPr>
            <w:tcW w:w="1555" w:type="dxa"/>
            <w:vAlign w:val="top"/>
          </w:tcPr>
          <w:p w14:paraId="4310230E">
            <w:pPr>
              <w:rPr>
                <w:rFonts w:hint="default"/>
                <w:szCs w:val="24"/>
                <w:lang w:val="en-US" w:eastAsia="zh-CN"/>
              </w:rPr>
            </w:pPr>
            <w:r>
              <w:rPr>
                <w:rFonts w:hint="default"/>
                <w:szCs w:val="24"/>
                <w:lang w:val="en-US" w:eastAsia="zh-CN"/>
              </w:rPr>
              <w:t>105</w:t>
            </w:r>
          </w:p>
        </w:tc>
      </w:tr>
      <w:tr w14:paraId="4665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14:paraId="39E475EC">
            <w:pPr>
              <w:rPr>
                <w:rFonts w:hint="default"/>
                <w:szCs w:val="24"/>
                <w:lang w:val="en-US" w:eastAsia="zh-CN"/>
              </w:rPr>
            </w:pPr>
            <w:r>
              <w:rPr>
                <w:rFonts w:hint="default"/>
                <w:szCs w:val="24"/>
                <w:lang w:val="en-US" w:eastAsia="zh-CN"/>
              </w:rPr>
              <w:t>Embase</w:t>
            </w:r>
          </w:p>
        </w:tc>
        <w:tc>
          <w:tcPr>
            <w:tcW w:w="5710" w:type="dxa"/>
            <w:vAlign w:val="top"/>
          </w:tcPr>
          <w:p w14:paraId="64DB05BE">
            <w:pPr>
              <w:rPr>
                <w:rFonts w:hint="default"/>
                <w:szCs w:val="24"/>
                <w:lang w:val="en-US" w:eastAsia="zh-CN"/>
              </w:rPr>
            </w:pPr>
            <w:r>
              <w:rPr>
                <w:rFonts w:hint="default"/>
                <w:szCs w:val="24"/>
                <w:lang w:val="en-US" w:eastAsia="zh-CN"/>
              </w:rPr>
              <w:t>#1: "Myocardial Infarction" OR "Myocardial Ischemia" OR "Myocardial Ischemia/Reperfusion Injury" OR "Myocardial I/R" OR "Myocardial I/R Injury" OR "Myocardial Revascularization" OR "Myocardial Reperfusion" OR "Myocardial Stunning" OR "Myocardial Ischemic Preconditioning" OR "Coronary Artery Bypass" OR "Percutaneous Coronary Intervention" OR "Percutaneous Coronary Revascularizations" OR "Percutaneous Transluminal Coronary Intervention":ab,ti</w:t>
            </w:r>
          </w:p>
          <w:p w14:paraId="6E2E2943">
            <w:pPr>
              <w:rPr>
                <w:rFonts w:hint="default"/>
                <w:szCs w:val="24"/>
                <w:lang w:val="en-US" w:eastAsia="zh-CN"/>
              </w:rPr>
            </w:pPr>
            <w:r>
              <w:rPr>
                <w:rFonts w:hint="default"/>
                <w:szCs w:val="24"/>
                <w:lang w:val="en-US" w:eastAsia="zh-CN"/>
              </w:rPr>
              <w:t>#2: "Salvianolic acid" OR "Salvianic acid":ab,ti</w:t>
            </w:r>
          </w:p>
          <w:p w14:paraId="2CDF3A30">
            <w:pPr>
              <w:rPr>
                <w:rFonts w:hint="default"/>
                <w:szCs w:val="24"/>
                <w:lang w:val="en-US" w:eastAsia="zh-CN"/>
              </w:rPr>
            </w:pPr>
            <w:r>
              <w:rPr>
                <w:rFonts w:hint="default"/>
                <w:szCs w:val="24"/>
                <w:lang w:val="en-US" w:eastAsia="zh-CN"/>
              </w:rPr>
              <w:t>#3: #1 AND #2</w:t>
            </w:r>
          </w:p>
        </w:tc>
        <w:tc>
          <w:tcPr>
            <w:tcW w:w="1555" w:type="dxa"/>
            <w:vAlign w:val="top"/>
          </w:tcPr>
          <w:p w14:paraId="491738D3">
            <w:pPr>
              <w:rPr>
                <w:rFonts w:hint="default"/>
                <w:szCs w:val="24"/>
                <w:lang w:val="en-US" w:eastAsia="zh-CN"/>
              </w:rPr>
            </w:pPr>
            <w:r>
              <w:rPr>
                <w:rFonts w:hint="default"/>
                <w:szCs w:val="24"/>
                <w:lang w:val="en-US" w:eastAsia="zh-CN"/>
              </w:rPr>
              <w:t>218</w:t>
            </w:r>
          </w:p>
        </w:tc>
      </w:tr>
      <w:tr w14:paraId="199D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14:paraId="25352887">
            <w:pPr>
              <w:rPr>
                <w:rFonts w:hint="default"/>
                <w:szCs w:val="24"/>
                <w:lang w:val="en-US" w:eastAsia="zh-CN"/>
              </w:rPr>
            </w:pPr>
            <w:r>
              <w:rPr>
                <w:rFonts w:hint="default"/>
                <w:szCs w:val="24"/>
                <w:lang w:val="en-US" w:eastAsia="zh-CN"/>
              </w:rPr>
              <w:t>CNKI, Wanfang, VIP</w:t>
            </w:r>
          </w:p>
        </w:tc>
        <w:tc>
          <w:tcPr>
            <w:tcW w:w="5710" w:type="dxa"/>
            <w:vAlign w:val="top"/>
          </w:tcPr>
          <w:p w14:paraId="12041A5E">
            <w:pPr>
              <w:rPr>
                <w:rFonts w:hint="default"/>
                <w:szCs w:val="24"/>
                <w:lang w:val="en-US" w:eastAsia="zh-CN"/>
              </w:rPr>
            </w:pPr>
            <w:r>
              <w:rPr>
                <w:rFonts w:hint="default"/>
                <w:szCs w:val="24"/>
                <w:lang w:val="en-US" w:eastAsia="zh-CN"/>
              </w:rPr>
              <w:t xml:space="preserve"> TKA=(丹酚酸 + 丹参多酚酸 + 丹参丹酚酸) AND TKA=(缺血再灌注损伤 + 心肌梗死 + 心肌梗塞 + 心梗 + 再灌注 + 心肌缺血 + 血运重建 + CABG + 冠脉搭桥 + 冠状动脉搭桥 + 冠状动脉旁路移植术 + PCI + 冠脉支架 + 经皮冠状动脉介入术)</w:t>
            </w:r>
          </w:p>
        </w:tc>
        <w:tc>
          <w:tcPr>
            <w:tcW w:w="1555" w:type="dxa"/>
            <w:vAlign w:val="top"/>
          </w:tcPr>
          <w:p w14:paraId="2FA7C2DB">
            <w:pPr>
              <w:rPr>
                <w:rFonts w:hint="default"/>
                <w:szCs w:val="24"/>
                <w:lang w:val="en-US" w:eastAsia="zh-CN"/>
              </w:rPr>
            </w:pPr>
            <w:r>
              <w:rPr>
                <w:rFonts w:hint="default"/>
                <w:szCs w:val="24"/>
                <w:lang w:val="en-US" w:eastAsia="zh-CN"/>
              </w:rPr>
              <w:t>CNKI(183), Wanfang(89), VIP(119)</w:t>
            </w:r>
          </w:p>
        </w:tc>
      </w:tr>
    </w:tbl>
    <w:p w14:paraId="18417585">
      <w:pPr>
        <w:pStyle w:val="2"/>
      </w:pPr>
      <w:r>
        <w:t>Supplementary Figures</w:t>
      </w:r>
      <w:bookmarkStart w:id="0" w:name="_GoBack"/>
      <w:bookmarkEnd w:id="0"/>
    </w:p>
    <w:p w14:paraId="5C4591EC">
      <w:pPr>
        <w:rPr>
          <w:rFonts w:hint="default" w:ascii="Times New Roman" w:hAnsi="Times New Roman" w:cs="Times New Roman"/>
          <w:sz w:val="24"/>
          <w:szCs w:val="24"/>
        </w:rPr>
      </w:pPr>
      <w:r>
        <w:rPr>
          <w:rFonts w:hint="default"/>
          <w:b/>
          <w:bCs/>
          <w:szCs w:val="24"/>
        </w:rPr>
        <w:t xml:space="preserve">Supplementary Figure 1: </w:t>
      </w:r>
      <w:r>
        <w:rPr>
          <w:rFonts w:hint="default"/>
          <w:szCs w:val="24"/>
        </w:rPr>
        <w:t>Sensitivity analyses of infarct size.</w:t>
      </w:r>
    </w:p>
    <w:p w14:paraId="4A54A4D8">
      <w:pPr>
        <w:spacing w:before="120" w:after="240"/>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drawing>
          <wp:inline distT="0" distB="0" distL="114300" distR="114300">
            <wp:extent cx="6198870" cy="3636010"/>
            <wp:effectExtent l="0" t="0" r="11430" b="8890"/>
            <wp:docPr id="5" name="图片 5" descr="Supplementary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upplementary Figure 1"/>
                    <pic:cNvPicPr>
                      <a:picLocks noChangeAspect="1"/>
                    </pic:cNvPicPr>
                  </pic:nvPicPr>
                  <pic:blipFill>
                    <a:blip r:embed="rId10"/>
                    <a:stretch>
                      <a:fillRect/>
                    </a:stretch>
                  </pic:blipFill>
                  <pic:spPr>
                    <a:xfrm>
                      <a:off x="0" y="0"/>
                      <a:ext cx="6198870" cy="3636010"/>
                    </a:xfrm>
                    <a:prstGeom prst="rect">
                      <a:avLst/>
                    </a:prstGeom>
                  </pic:spPr>
                </pic:pic>
              </a:graphicData>
            </a:graphic>
          </wp:inline>
        </w:drawing>
      </w:r>
    </w:p>
    <w:p w14:paraId="73B70AFA">
      <w:pPr>
        <w:rPr>
          <w:rFonts w:hint="default"/>
          <w:b w:val="0"/>
          <w:bCs w:val="0"/>
          <w:szCs w:val="24"/>
        </w:rPr>
      </w:pPr>
      <w:r>
        <w:rPr>
          <w:rFonts w:hint="default"/>
          <w:b/>
          <w:bCs/>
          <w:szCs w:val="24"/>
        </w:rPr>
        <w:t>Supplementary Figure 2:</w:t>
      </w:r>
      <w:r>
        <w:rPr>
          <w:rFonts w:hint="default"/>
          <w:b w:val="0"/>
          <w:bCs w:val="0"/>
          <w:szCs w:val="24"/>
        </w:rPr>
        <w:t xml:space="preserve"> Sensitivity analysis of LDH.</w:t>
      </w:r>
    </w:p>
    <w:p w14:paraId="2C148CAF">
      <w:pPr>
        <w:spacing w:before="120" w:after="240"/>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drawing>
          <wp:inline distT="0" distB="0" distL="114300" distR="114300">
            <wp:extent cx="6203315" cy="4560570"/>
            <wp:effectExtent l="0" t="0" r="6985" b="11430"/>
            <wp:docPr id="8" name="图片 8" descr="Supplementary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upplementary Figure 2"/>
                    <pic:cNvPicPr>
                      <a:picLocks noChangeAspect="1"/>
                    </pic:cNvPicPr>
                  </pic:nvPicPr>
                  <pic:blipFill>
                    <a:blip r:embed="rId11"/>
                    <a:stretch>
                      <a:fillRect/>
                    </a:stretch>
                  </pic:blipFill>
                  <pic:spPr>
                    <a:xfrm>
                      <a:off x="0" y="0"/>
                      <a:ext cx="6203315" cy="4560570"/>
                    </a:xfrm>
                    <a:prstGeom prst="rect">
                      <a:avLst/>
                    </a:prstGeom>
                  </pic:spPr>
                </pic:pic>
              </a:graphicData>
            </a:graphic>
          </wp:inline>
        </w:drawing>
      </w:r>
    </w:p>
    <w:p w14:paraId="139D74CF">
      <w:pPr>
        <w:spacing w:before="120" w:after="240"/>
        <w:jc w:val="left"/>
        <w:rPr>
          <w:rFonts w:cs="Times New Roman"/>
          <w:szCs w:val="24"/>
        </w:rPr>
      </w:pPr>
      <w:r>
        <w:rPr>
          <w:rFonts w:hint="default" w:ascii="Times New Roman" w:hAnsi="Times New Roman" w:cs="Times New Roman"/>
          <w:b/>
          <w:bCs/>
          <w:sz w:val="24"/>
          <w:szCs w:val="24"/>
        </w:rPr>
        <w:t xml:space="preserve">Supplementary Figure 3: </w:t>
      </w:r>
      <w:r>
        <w:rPr>
          <w:rFonts w:hint="default" w:ascii="Times New Roman" w:hAnsi="Times New Roman" w:cs="Times New Roman"/>
          <w:sz w:val="24"/>
          <w:szCs w:val="24"/>
        </w:rPr>
        <w:t>Funnel plot</w:t>
      </w:r>
      <w:r>
        <w:rPr>
          <w:rFonts w:hint="eastAsia" w:eastAsia="宋体" w:cs="Times New Roman"/>
          <w:sz w:val="24"/>
          <w:szCs w:val="24"/>
          <w:lang w:val="en-US" w:eastAsia="zh-CN"/>
        </w:rPr>
        <w:t xml:space="preserve">(A), </w:t>
      </w:r>
      <w:r>
        <w:rPr>
          <w:rFonts w:hint="default" w:ascii="Times New Roman" w:hAnsi="Times New Roman" w:cs="Times New Roman"/>
          <w:sz w:val="24"/>
          <w:szCs w:val="24"/>
        </w:rPr>
        <w:t>Egger’s test of Infarct size(</w:t>
      </w:r>
      <w:r>
        <w:rPr>
          <w:rFonts w:hint="eastAsia" w:eastAsia="宋体" w:cs="Times New Roman"/>
          <w:sz w:val="24"/>
          <w:szCs w:val="24"/>
          <w:lang w:val="en-US" w:eastAsia="zh-CN"/>
        </w:rPr>
        <w:t>B</w:t>
      </w:r>
      <w:r>
        <w:rPr>
          <w:rFonts w:hint="default" w:ascii="Times New Roman" w:hAnsi="Times New Roman" w:cs="Times New Roman"/>
          <w:sz w:val="24"/>
          <w:szCs w:val="24"/>
        </w:rPr>
        <w:t>) and Funnel plot of standard error following trim-and-fill method(</w:t>
      </w:r>
      <w:r>
        <w:rPr>
          <w:rFonts w:hint="eastAsia" w:eastAsia="宋体" w:cs="Times New Roman"/>
          <w:sz w:val="24"/>
          <w:szCs w:val="24"/>
          <w:lang w:val="en-US" w:eastAsia="zh-CN"/>
        </w:rPr>
        <w:t>C</w:t>
      </w:r>
      <w:r>
        <w:rPr>
          <w:rFonts w:hint="default" w:ascii="Times New Roman" w:hAnsi="Times New Roman" w:cs="Times New Roman"/>
          <w:sz w:val="24"/>
          <w:szCs w:val="24"/>
        </w:rPr>
        <w:t>).</w:t>
      </w:r>
    </w:p>
    <w:p w14:paraId="3F34B7F5">
      <w:pPr>
        <w:keepNext/>
        <w:rPr>
          <w:rFonts w:hint="eastAsia" w:eastAsia="宋体" w:cs="Times New Roman"/>
          <w:szCs w:val="24"/>
          <w:lang w:eastAsia="zh-CN"/>
        </w:rPr>
      </w:pPr>
      <w:r>
        <w:rPr>
          <w:rFonts w:hint="eastAsia" w:eastAsia="宋体" w:cs="Times New Roman"/>
          <w:szCs w:val="24"/>
          <w:lang w:eastAsia="zh-CN"/>
        </w:rPr>
        <w:drawing>
          <wp:inline distT="0" distB="0" distL="114300" distR="114300">
            <wp:extent cx="5401310" cy="8342630"/>
            <wp:effectExtent l="0" t="0" r="8890" b="1270"/>
            <wp:docPr id="2" name="图片 2" descr="Supplementary Figure 3-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pplementary Figure 3-new"/>
                    <pic:cNvPicPr>
                      <a:picLocks noChangeAspect="1"/>
                    </pic:cNvPicPr>
                  </pic:nvPicPr>
                  <pic:blipFill>
                    <a:blip r:embed="rId12"/>
                    <a:stretch>
                      <a:fillRect/>
                    </a:stretch>
                  </pic:blipFill>
                  <pic:spPr>
                    <a:xfrm>
                      <a:off x="0" y="0"/>
                      <a:ext cx="5401310" cy="8342630"/>
                    </a:xfrm>
                    <a:prstGeom prst="rect">
                      <a:avLst/>
                    </a:prstGeom>
                  </pic:spPr>
                </pic:pic>
              </a:graphicData>
            </a:graphic>
          </wp:inline>
        </w:drawing>
      </w:r>
    </w:p>
    <w:p w14:paraId="0696B3FA">
      <w:pPr>
        <w:spacing w:before="240"/>
      </w:pPr>
    </w:p>
    <w:p w14:paraId="07BD1942">
      <w:pPr>
        <w:spacing w:before="240"/>
      </w:pPr>
    </w:p>
    <w:sectPr>
      <w:headerReference r:id="rId6" w:type="first"/>
      <w:footerReference r:id="rId7" w:type="default"/>
      <w:headerReference r:id="rId5" w:type="even"/>
      <w:footerReference r:id="rId8" w:type="even"/>
      <w:pgSz w:w="12240" w:h="15840"/>
      <w:pgMar w:top="1138" w:right="1181" w:bottom="1138" w:left="1282"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003B">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6FBD02F">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26.5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14:paraId="46FBD02F">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0388">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12C9613">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24.2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712C9613">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EF7F">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FC56">
    <w:r>
      <w:rPr>
        <w:b/>
        <w:color w:val="A6A6A6" w:themeColor="background1" w:themeShade="A6"/>
        <w:lang w:val="en-GB" w:eastAsia="en-GB"/>
      </w:rPr>
      <w:drawing>
        <wp:inline distT="0" distB="0" distL="0" distR="0">
          <wp:extent cx="1382395" cy="496570"/>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803D24"/>
    <w:rsid w:val="0001436A"/>
    <w:rsid w:val="00034304"/>
    <w:rsid w:val="00035434"/>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D47"/>
    <w:rsid w:val="003D2F2D"/>
    <w:rsid w:val="00401590"/>
    <w:rsid w:val="00447801"/>
    <w:rsid w:val="00452E9C"/>
    <w:rsid w:val="004735C8"/>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5EE2"/>
    <w:rsid w:val="00AB6715"/>
    <w:rsid w:val="00B1671E"/>
    <w:rsid w:val="00B25EB8"/>
    <w:rsid w:val="00B354E1"/>
    <w:rsid w:val="00B37F4D"/>
    <w:rsid w:val="00C52A7B"/>
    <w:rsid w:val="00C56BAF"/>
    <w:rsid w:val="00C679AA"/>
    <w:rsid w:val="00C75972"/>
    <w:rsid w:val="00CC0A3A"/>
    <w:rsid w:val="00CD066B"/>
    <w:rsid w:val="00CE4FEE"/>
    <w:rsid w:val="00DB59C3"/>
    <w:rsid w:val="00DC259A"/>
    <w:rsid w:val="00DE23E8"/>
    <w:rsid w:val="00E52377"/>
    <w:rsid w:val="00E64E17"/>
    <w:rsid w:val="00E866C9"/>
    <w:rsid w:val="00EA3D3C"/>
    <w:rsid w:val="00F46900"/>
    <w:rsid w:val="00F61D89"/>
    <w:rsid w:val="2A3411F8"/>
    <w:rsid w:val="3BD17677"/>
    <w:rsid w:val="3E2E02EE"/>
    <w:rsid w:val="44772CAE"/>
    <w:rsid w:val="4F1F6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0">
    <w:name w:val="annotation text"/>
    <w:basedOn w:val="1"/>
    <w:link w:val="37"/>
    <w:semiHidden/>
    <w:unhideWhenUsed/>
    <w:qFormat/>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qFormat/>
    <w:uiPriority w:val="99"/>
    <w:pPr>
      <w:tabs>
        <w:tab w:val="center" w:pos="4844"/>
        <w:tab w:val="right" w:pos="9689"/>
      </w:tabs>
      <w:spacing w:after="0"/>
    </w:pPr>
  </w:style>
  <w:style w:type="paragraph" w:styleId="14">
    <w:name w:val="header"/>
    <w:basedOn w:val="1"/>
    <w:link w:val="42"/>
    <w:unhideWhenUsed/>
    <w:qFormat/>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Heading 1 Char"/>
    <w:basedOn w:val="22"/>
    <w:link w:val="2"/>
    <w:qFormat/>
    <w:uiPriority w:val="2"/>
    <w:rPr>
      <w:rFonts w:ascii="Times New Roman" w:hAnsi="Times New Roman" w:eastAsia="Cambria" w:cs="Times New Roman"/>
      <w:b/>
      <w:sz w:val="24"/>
      <w:szCs w:val="24"/>
    </w:rPr>
  </w:style>
  <w:style w:type="character" w:customStyle="1" w:styleId="32">
    <w:name w:val="Heading 2 Char"/>
    <w:basedOn w:val="22"/>
    <w:link w:val="4"/>
    <w:qFormat/>
    <w:uiPriority w:val="2"/>
    <w:rPr>
      <w:rFonts w:ascii="Times New Roman" w:hAnsi="Times New Roman" w:eastAsia="Cambria" w:cs="Times New Roman"/>
      <w:b/>
      <w:sz w:val="24"/>
      <w:szCs w:val="24"/>
    </w:rPr>
  </w:style>
  <w:style w:type="character" w:customStyle="1" w:styleId="33">
    <w:name w:val="Subtitle Char"/>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Balloon Text Char"/>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Comment Text Char"/>
    <w:basedOn w:val="22"/>
    <w:link w:val="10"/>
    <w:semiHidden/>
    <w:qFormat/>
    <w:uiPriority w:val="99"/>
    <w:rPr>
      <w:rFonts w:ascii="Times New Roman" w:hAnsi="Times New Roman"/>
      <w:sz w:val="20"/>
      <w:szCs w:val="20"/>
    </w:rPr>
  </w:style>
  <w:style w:type="character" w:customStyle="1" w:styleId="38">
    <w:name w:val="Comment Subject Char"/>
    <w:basedOn w:val="37"/>
    <w:link w:val="19"/>
    <w:semiHidden/>
    <w:qFormat/>
    <w:uiPriority w:val="99"/>
    <w:rPr>
      <w:rFonts w:ascii="Times New Roman" w:hAnsi="Times New Roman"/>
      <w:b/>
      <w:bCs/>
      <w:sz w:val="20"/>
      <w:szCs w:val="20"/>
    </w:rPr>
  </w:style>
  <w:style w:type="character" w:customStyle="1" w:styleId="39">
    <w:name w:val="Endnote Text Char"/>
    <w:basedOn w:val="22"/>
    <w:link w:val="11"/>
    <w:semiHidden/>
    <w:qFormat/>
    <w:uiPriority w:val="99"/>
    <w:rPr>
      <w:rFonts w:ascii="Times New Roman" w:hAnsi="Times New Roman"/>
      <w:sz w:val="20"/>
      <w:szCs w:val="20"/>
    </w:rPr>
  </w:style>
  <w:style w:type="character" w:customStyle="1" w:styleId="40">
    <w:name w:val="Footer Char"/>
    <w:basedOn w:val="22"/>
    <w:link w:val="13"/>
    <w:qFormat/>
    <w:uiPriority w:val="99"/>
    <w:rPr>
      <w:rFonts w:ascii="Times New Roman" w:hAnsi="Times New Roman"/>
      <w:sz w:val="24"/>
    </w:rPr>
  </w:style>
  <w:style w:type="character" w:customStyle="1" w:styleId="41">
    <w:name w:val="Footnote Text Char"/>
    <w:basedOn w:val="22"/>
    <w:link w:val="16"/>
    <w:semiHidden/>
    <w:qFormat/>
    <w:uiPriority w:val="99"/>
    <w:rPr>
      <w:rFonts w:ascii="Times New Roman" w:hAnsi="Times New Roman"/>
      <w:sz w:val="20"/>
      <w:szCs w:val="20"/>
    </w:rPr>
  </w:style>
  <w:style w:type="character" w:customStyle="1" w:styleId="42">
    <w:name w:val="Header Char"/>
    <w:basedOn w:val="22"/>
    <w:link w:val="14"/>
    <w:qFormat/>
    <w:uiPriority w:val="99"/>
    <w:rPr>
      <w:rFonts w:ascii="Times New Roman" w:hAnsi="Times New Roman"/>
      <w:b/>
      <w:sz w:val="24"/>
    </w:rPr>
  </w:style>
  <w:style w:type="character" w:customStyle="1" w:styleId="43">
    <w:name w:val="Intense Emphasis"/>
    <w:basedOn w:val="22"/>
    <w:unhideWhenUsed/>
    <w:qFormat/>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Heading 3 Char"/>
    <w:basedOn w:val="22"/>
    <w:link w:val="5"/>
    <w:qFormat/>
    <w:uiPriority w:val="2"/>
    <w:rPr>
      <w:rFonts w:ascii="Times New Roman" w:hAnsi="Times New Roman" w:eastAsiaTheme="majorEastAsia" w:cstheme="majorBidi"/>
      <w:b/>
      <w:sz w:val="24"/>
      <w:szCs w:val="24"/>
    </w:rPr>
  </w:style>
  <w:style w:type="character" w:customStyle="1" w:styleId="46">
    <w:name w:val="Heading 4 Char"/>
    <w:basedOn w:val="22"/>
    <w:link w:val="6"/>
    <w:qFormat/>
    <w:uiPriority w:val="2"/>
    <w:rPr>
      <w:rFonts w:ascii="Times New Roman" w:hAnsi="Times New Roman" w:eastAsiaTheme="majorEastAsia" w:cstheme="majorBidi"/>
      <w:b/>
      <w:iCs/>
      <w:sz w:val="24"/>
      <w:szCs w:val="24"/>
    </w:rPr>
  </w:style>
  <w:style w:type="character" w:customStyle="1" w:styleId="47">
    <w:name w:val="Heading 5 Char"/>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2"/>
    <w:link w:val="18"/>
    <w:qFormat/>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paragraph" w:customStyle="1" w:styleId="53">
    <w:name w:val="Revision"/>
    <w:hidden/>
    <w:semiHidden/>
    <w:qFormat/>
    <w:uiPriority w:val="99"/>
    <w:pPr>
      <w:spacing w:after="0" w:line="240" w:lineRule="auto"/>
    </w:pPr>
    <w:rPr>
      <w:rFonts w:ascii="Times New Roman" w:hAnsi="Times New Roman"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tiff"/><Relationship Id="rId11" Type="http://schemas.openxmlformats.org/officeDocument/2006/relationships/image" Target="media/image3.tiff"/><Relationship Id="rId10" Type="http://schemas.openxmlformats.org/officeDocument/2006/relationships/image" Target="media/image2.tiff"/><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4929F-83D0-432F-8F82-6D4423C25F5E}">
  <ds:schemaRefs/>
</ds:datastoreItem>
</file>

<file path=customXml/itemProps3.xml><?xml version="1.0" encoding="utf-8"?>
<ds:datastoreItem xmlns:ds="http://schemas.openxmlformats.org/officeDocument/2006/customXml" ds:itemID="{4B2E0E22-D442-4EBE-AAA2-EDC8871E7B41}">
  <ds:schemaRefs/>
</ds:datastoreItem>
</file>

<file path=customXml/itemProps4.xml><?xml version="1.0" encoding="utf-8"?>
<ds:datastoreItem xmlns:ds="http://schemas.openxmlformats.org/officeDocument/2006/customXml" ds:itemID="{2558679B-78FB-42CD-A1EA-A99096AF5568}">
  <ds:schemaRefs/>
</ds:datastoreItem>
</file>

<file path=customXml/itemProps5.xml><?xml version="1.0" encoding="utf-8"?>
<ds:datastoreItem xmlns:ds="http://schemas.openxmlformats.org/officeDocument/2006/customXml" ds:itemID="{114314AF-3C36-4C2C-B599-40A76C6FFFC1}">
  <ds:schemaRefs/>
</ds:datastoreItem>
</file>

<file path=customXml/itemProps6.xml><?xml version="1.0" encoding="utf-8"?>
<ds:datastoreItem xmlns:ds="http://schemas.openxmlformats.org/officeDocument/2006/customXml" ds:itemID="{DFF441E3-103C-4487-877D-08CD22337C19}">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5</Pages>
  <Words>319</Words>
  <Characters>1838</Characters>
  <Lines>6</Lines>
  <Paragraphs>1</Paragraphs>
  <TotalTime>1</TotalTime>
  <ScaleCrop>false</ScaleCrop>
  <LinksUpToDate>false</LinksUpToDate>
  <CharactersWithSpaces>2074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2022-11-17T16:58:00Z</dcterms:created>
  <dc:creator>Frontiers</dc:creator>
  <cp:lastModifiedBy>杨玉涵</cp:lastModifiedBy>
  <cp:lastPrinted>2013-10-03T12:51:00Z</cp:lastPrinted>
  <dcterms:modified xsi:type="dcterms:W3CDTF">2024-09-04T06:48:36Z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2052-12.1.0.17827</vt:lpwstr>
  </property>
  <property fmtid="{D5CDD505-2E9C-101B-9397-08002B2CF9AE}" pid="11" name="ICV">
    <vt:lpwstr>DC6208AF040141E29F6346A4B4700CF4_12</vt:lpwstr>
  </property>
</Properties>
</file>