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662D9" w14:textId="108B48EB" w:rsidR="00C75276" w:rsidRPr="00CD6EA3" w:rsidRDefault="00C75276" w:rsidP="008617FB">
      <w:pPr>
        <w:spacing w:line="480" w:lineRule="auto"/>
        <w:rPr>
          <w:rFonts w:ascii="Calibri" w:hAnsi="Calibri" w:cs="Calibri"/>
          <w:lang w:val="en-US"/>
        </w:rPr>
      </w:pPr>
      <w:r w:rsidRPr="00C75276">
        <w:rPr>
          <w:rFonts w:ascii="Calibri" w:hAnsi="Calibri" w:cs="Calibri"/>
          <w:b/>
          <w:bCs/>
        </w:rPr>
        <w:t xml:space="preserve">Suppl. </w:t>
      </w:r>
      <w:r w:rsidRPr="00C75276">
        <w:rPr>
          <w:rFonts w:ascii="Calibri" w:hAnsi="Calibri" w:cs="Calibri"/>
          <w:b/>
          <w:bCs/>
          <w:lang w:val="en-US"/>
        </w:rPr>
        <w:t>figure</w:t>
      </w:r>
      <w:r w:rsidRPr="00C75276">
        <w:rPr>
          <w:rFonts w:ascii="Calibri" w:hAnsi="Calibri" w:cs="Calibri"/>
          <w:b/>
          <w:bCs/>
        </w:rPr>
        <w:t xml:space="preserve"> </w:t>
      </w:r>
      <w:r w:rsidRPr="00C75276">
        <w:rPr>
          <w:rFonts w:ascii="Calibri" w:hAnsi="Calibri" w:cs="Calibri"/>
          <w:b/>
          <w:bCs/>
          <w:lang w:val="en-US"/>
        </w:rPr>
        <w:t>1</w:t>
      </w:r>
      <w:r w:rsidRPr="00C75276">
        <w:rPr>
          <w:rFonts w:ascii="Calibri" w:hAnsi="Calibri" w:cs="Calibri"/>
          <w:b/>
          <w:bCs/>
        </w:rPr>
        <w:t>:</w:t>
      </w:r>
      <w:r w:rsidRPr="00C75276">
        <w:rPr>
          <w:rFonts w:ascii="Calibri" w:hAnsi="Calibri" w:cs="Calibri"/>
        </w:rPr>
        <w:t xml:space="preserve"> </w:t>
      </w:r>
      <w:r w:rsidRPr="00C75276">
        <w:rPr>
          <w:rFonts w:ascii="Calibri" w:hAnsi="Calibri" w:cs="Calibri"/>
          <w:lang w:val="en-US"/>
        </w:rPr>
        <w:t xml:space="preserve">Risk of bias assessment of included studies, using adapted version of Critical Appraisal Skills </w:t>
      </w:r>
      <w:proofErr w:type="spellStart"/>
      <w:r w:rsidRPr="00C75276">
        <w:rPr>
          <w:rFonts w:ascii="Calibri" w:hAnsi="Calibri" w:cs="Calibri"/>
          <w:lang w:val="en-US"/>
        </w:rPr>
        <w:t>Programme</w:t>
      </w:r>
      <w:proofErr w:type="spellEnd"/>
      <w:r w:rsidRPr="00C75276">
        <w:rPr>
          <w:rFonts w:ascii="Calibri" w:hAnsi="Calibri" w:cs="Calibri"/>
          <w:lang w:val="en-US"/>
        </w:rPr>
        <w:t xml:space="preserve"> (CASP) cohort study checklist</w:t>
      </w:r>
      <w:r w:rsidR="004902DC">
        <w:rPr>
          <w:rFonts w:ascii="Calibri" w:hAnsi="Calibri" w:cs="Calibri"/>
          <w:lang w:val="en-US"/>
        </w:rPr>
        <w:t xml:space="preserve"> and display conventions of </w:t>
      </w:r>
      <w:proofErr w:type="spellStart"/>
      <w:r w:rsidR="004902DC">
        <w:rPr>
          <w:rFonts w:ascii="Calibri" w:hAnsi="Calibri" w:cs="Calibri"/>
          <w:lang w:val="en-US"/>
        </w:rPr>
        <w:t>Arrias</w:t>
      </w:r>
      <w:proofErr w:type="spellEnd"/>
      <w:r w:rsidR="004902DC">
        <w:rPr>
          <w:rFonts w:ascii="Calibri" w:hAnsi="Calibri" w:cs="Calibri"/>
          <w:lang w:val="en-US"/>
        </w:rPr>
        <w:t xml:space="preserve"> et </w:t>
      </w:r>
      <w:proofErr w:type="spellStart"/>
      <w:proofErr w:type="gramStart"/>
      <w:r w:rsidR="004902DC">
        <w:rPr>
          <w:rFonts w:ascii="Calibri" w:hAnsi="Calibri" w:cs="Calibri"/>
          <w:lang w:val="en-US"/>
        </w:rPr>
        <w:t>al</w:t>
      </w:r>
      <w:r w:rsidRPr="00C75276">
        <w:rPr>
          <w:rFonts w:ascii="Calibri" w:hAnsi="Calibri" w:cs="Calibri"/>
          <w:lang w:val="en-US"/>
        </w:rPr>
        <w:t>.</w:t>
      </w:r>
      <w:r w:rsidR="00376D81">
        <w:rPr>
          <w:rFonts w:ascii="Calibri" w:hAnsi="Calibri" w:cs="Calibri"/>
          <w:vertAlign w:val="superscript"/>
          <w:lang w:val="en-US"/>
        </w:rPr>
        <w:t>a</w:t>
      </w:r>
      <w:proofErr w:type="spellEnd"/>
      <w:proofErr w:type="gramEnd"/>
      <w:r w:rsidRPr="00C75276">
        <w:rPr>
          <w:rFonts w:ascii="Calibri" w:hAnsi="Calibri" w:cs="Calibri"/>
          <w:lang w:val="en-US"/>
        </w:rPr>
        <w:t xml:space="preserve"> 1. Study population; 2. Selection </w:t>
      </w:r>
      <w:r w:rsidRPr="00CD6EA3">
        <w:rPr>
          <w:rFonts w:ascii="Calibri" w:hAnsi="Calibri" w:cs="Calibri"/>
          <w:lang w:val="en-US"/>
        </w:rPr>
        <w:t>bias; 3. Ascertainment of diagnosis; 4. Outcomes; 5. Results.</w:t>
      </w:r>
    </w:p>
    <w:p w14:paraId="4FEA184F" w14:textId="1CACF519" w:rsidR="000C2B89" w:rsidRPr="00A064E6" w:rsidRDefault="000C2B89" w:rsidP="004B07BF">
      <w:pPr>
        <w:spacing w:before="120"/>
        <w:rPr>
          <w:b/>
          <w:bCs/>
          <w:noProof/>
          <w:lang w:val="en-US"/>
          <w14:ligatures w14:val="standardContextual"/>
        </w:rPr>
      </w:pPr>
      <w:r w:rsidRPr="000C2B89">
        <w:rPr>
          <w:b/>
          <w:bCs/>
          <w:noProof/>
          <w:lang w:val="en-US"/>
          <w14:ligatures w14:val="standardContextual"/>
        </w:rPr>
        <w:drawing>
          <wp:inline distT="0" distB="0" distL="0" distR="0" wp14:anchorId="324375CF" wp14:editId="351D6C84">
            <wp:extent cx="5731510" cy="6800215"/>
            <wp:effectExtent l="0" t="0" r="0" b="0"/>
            <wp:docPr id="1548117725" name="Picture 1"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17725" name="Picture 1" descr="A table with numbers and text&#10;&#10;Description automatically generated with medium confidence"/>
                    <pic:cNvPicPr/>
                  </pic:nvPicPr>
                  <pic:blipFill>
                    <a:blip r:embed="rId5"/>
                    <a:stretch>
                      <a:fillRect/>
                    </a:stretch>
                  </pic:blipFill>
                  <pic:spPr>
                    <a:xfrm>
                      <a:off x="0" y="0"/>
                      <a:ext cx="5731510" cy="6800215"/>
                    </a:xfrm>
                    <a:prstGeom prst="rect">
                      <a:avLst/>
                    </a:prstGeom>
                  </pic:spPr>
                </pic:pic>
              </a:graphicData>
            </a:graphic>
          </wp:inline>
        </w:drawing>
      </w:r>
    </w:p>
    <w:p w14:paraId="4C0705D8" w14:textId="77777777" w:rsidR="000C2B89" w:rsidRDefault="000C2B89" w:rsidP="001B52B5">
      <w:pPr>
        <w:spacing w:before="120" w:line="480" w:lineRule="auto"/>
        <w:rPr>
          <w:rFonts w:ascii="Calibri" w:hAnsi="Calibri" w:cs="Calibri"/>
          <w:b/>
          <w:bCs/>
          <w:lang w:val="fr-FR"/>
        </w:rPr>
      </w:pPr>
    </w:p>
    <w:p w14:paraId="57749F14" w14:textId="1B6BD1BB" w:rsidR="002B7917" w:rsidRPr="002B7917" w:rsidRDefault="002B7917" w:rsidP="001B52B5">
      <w:pPr>
        <w:spacing w:before="120" w:line="480" w:lineRule="auto"/>
        <w:rPr>
          <w:rFonts w:ascii="Calibri" w:hAnsi="Calibri" w:cs="Calibri"/>
          <w:lang w:val="en-US"/>
        </w:rPr>
      </w:pPr>
      <w:r w:rsidRPr="00C75276">
        <w:rPr>
          <w:rFonts w:ascii="Calibri" w:hAnsi="Calibri" w:cs="Calibri"/>
          <w:b/>
          <w:bCs/>
        </w:rPr>
        <w:lastRenderedPageBreak/>
        <w:t xml:space="preserve">Suppl. </w:t>
      </w:r>
      <w:r w:rsidRPr="002B7917">
        <w:rPr>
          <w:rFonts w:ascii="Calibri" w:hAnsi="Calibri" w:cs="Calibri"/>
          <w:b/>
          <w:bCs/>
          <w:lang w:val="en-US"/>
        </w:rPr>
        <w:t>figure</w:t>
      </w:r>
      <w:r w:rsidRPr="00C75276">
        <w:rPr>
          <w:rFonts w:ascii="Calibri" w:hAnsi="Calibri" w:cs="Calibri"/>
          <w:b/>
          <w:bCs/>
        </w:rPr>
        <w:t xml:space="preserve"> </w:t>
      </w:r>
      <w:r w:rsidRPr="002B7917">
        <w:rPr>
          <w:rFonts w:ascii="Calibri" w:hAnsi="Calibri" w:cs="Calibri"/>
          <w:b/>
          <w:bCs/>
          <w:lang w:val="en-US"/>
        </w:rPr>
        <w:t>2</w:t>
      </w:r>
      <w:r w:rsidRPr="00C75276">
        <w:rPr>
          <w:rFonts w:ascii="Calibri" w:hAnsi="Calibri" w:cs="Calibri"/>
          <w:b/>
          <w:bCs/>
        </w:rPr>
        <w:t>:</w:t>
      </w:r>
      <w:r w:rsidRPr="00C75276">
        <w:rPr>
          <w:rFonts w:ascii="Calibri" w:hAnsi="Calibri" w:cs="Calibri"/>
        </w:rPr>
        <w:t xml:space="preserve"> </w:t>
      </w:r>
      <w:r w:rsidR="00C7696D">
        <w:rPr>
          <w:rFonts w:ascii="Calibri" w:hAnsi="Calibri" w:cs="Calibri"/>
          <w:lang w:val="en-US"/>
        </w:rPr>
        <w:t>Motor p</w:t>
      </w:r>
      <w:r w:rsidRPr="002B7917">
        <w:rPr>
          <w:rFonts w:ascii="Calibri" w:hAnsi="Calibri" w:cs="Calibri"/>
          <w:lang w:val="en-US"/>
        </w:rPr>
        <w:t>rogression rate</w:t>
      </w:r>
      <w:r w:rsidR="00C7696D">
        <w:rPr>
          <w:rFonts w:ascii="Calibri" w:hAnsi="Calibri" w:cs="Calibri"/>
          <w:lang w:val="en-US"/>
        </w:rPr>
        <w:t xml:space="preserve"> (% p.a.) </w:t>
      </w:r>
      <w:r w:rsidRPr="002B7917">
        <w:rPr>
          <w:rFonts w:ascii="Calibri" w:hAnsi="Calibri" w:cs="Calibri"/>
          <w:lang w:val="en-US"/>
        </w:rPr>
        <w:t xml:space="preserve"> stratified by </w:t>
      </w:r>
      <w:r w:rsidR="00C7696D">
        <w:rPr>
          <w:rFonts w:ascii="Calibri" w:hAnsi="Calibri" w:cs="Calibri"/>
          <w:lang w:val="en-US"/>
        </w:rPr>
        <w:t xml:space="preserve">baseline PD </w:t>
      </w:r>
      <w:r w:rsidRPr="002B7917">
        <w:rPr>
          <w:rFonts w:ascii="Calibri" w:hAnsi="Calibri" w:cs="Calibri"/>
          <w:lang w:val="en-US"/>
        </w:rPr>
        <w:t xml:space="preserve">disease duration </w:t>
      </w:r>
      <w:r>
        <w:rPr>
          <w:rFonts w:ascii="Calibri" w:hAnsi="Calibri" w:cs="Calibri"/>
          <w:lang w:val="en-US"/>
        </w:rPr>
        <w:t>(&lt; 5 years, 5-10 years, &gt; 10 years).</w:t>
      </w:r>
      <w:r w:rsidR="006F08B5">
        <w:rPr>
          <w:rFonts w:ascii="Calibri" w:hAnsi="Calibri" w:cs="Calibri"/>
          <w:lang w:val="en-US"/>
        </w:rPr>
        <w:t xml:space="preserve"> </w:t>
      </w:r>
      <w:r w:rsidR="00353EF1">
        <w:rPr>
          <w:rFonts w:ascii="Calibri" w:hAnsi="Calibri" w:cs="Calibri"/>
          <w:lang w:val="en-US"/>
        </w:rPr>
        <w:t>n</w:t>
      </w:r>
      <w:r w:rsidR="006F08B5">
        <w:rPr>
          <w:rFonts w:ascii="Calibri" w:hAnsi="Calibri" w:cs="Calibri"/>
          <w:lang w:val="en-US"/>
        </w:rPr>
        <w:t>/a = not available.</w:t>
      </w:r>
    </w:p>
    <w:p w14:paraId="162BAC04" w14:textId="68DB1E43" w:rsidR="004B07BF" w:rsidRPr="00353EF1" w:rsidRDefault="006F08B5" w:rsidP="001B52B5">
      <w:pPr>
        <w:spacing w:before="120" w:line="480" w:lineRule="auto"/>
        <w:rPr>
          <w:rFonts w:ascii="Calibri" w:hAnsi="Calibri" w:cs="Calibri"/>
          <w:b/>
          <w:bCs/>
          <w:lang w:val="fr-FR"/>
        </w:rPr>
      </w:pPr>
      <w:r w:rsidRPr="006F08B5">
        <w:rPr>
          <w:rFonts w:ascii="Calibri" w:hAnsi="Calibri" w:cs="Calibri"/>
          <w:b/>
          <w:bCs/>
          <w:noProof/>
          <w:lang w:val="en-US"/>
        </w:rPr>
        <w:drawing>
          <wp:inline distT="0" distB="0" distL="0" distR="0" wp14:anchorId="3924E887" wp14:editId="7A12E143">
            <wp:extent cx="6102849" cy="3661304"/>
            <wp:effectExtent l="0" t="0" r="0" b="0"/>
            <wp:docPr id="514675816" name="Picture 1" descr="A graph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75816" name="Picture 1" descr="A graph of a chart&#10;&#10;Description automatically generated with medium confidence"/>
                    <pic:cNvPicPr/>
                  </pic:nvPicPr>
                  <pic:blipFill>
                    <a:blip r:embed="rId6"/>
                    <a:stretch>
                      <a:fillRect/>
                    </a:stretch>
                  </pic:blipFill>
                  <pic:spPr>
                    <a:xfrm>
                      <a:off x="0" y="0"/>
                      <a:ext cx="6124588" cy="3674346"/>
                    </a:xfrm>
                    <a:prstGeom prst="rect">
                      <a:avLst/>
                    </a:prstGeom>
                  </pic:spPr>
                </pic:pic>
              </a:graphicData>
            </a:graphic>
          </wp:inline>
        </w:drawing>
      </w:r>
      <w:r w:rsidR="00CD6EA3" w:rsidRPr="00353EF1">
        <w:rPr>
          <w:rFonts w:ascii="Calibri" w:hAnsi="Calibri" w:cs="Calibri"/>
          <w:b/>
          <w:bCs/>
          <w:lang w:val="fr-FR"/>
        </w:rPr>
        <w:t>Reference</w:t>
      </w:r>
      <w:r w:rsidR="001B52B5" w:rsidRPr="00353EF1">
        <w:rPr>
          <w:rFonts w:ascii="Calibri" w:hAnsi="Calibri" w:cs="Calibri"/>
          <w:b/>
          <w:bCs/>
          <w:lang w:val="fr-FR"/>
        </w:rPr>
        <w:t>:</w:t>
      </w:r>
    </w:p>
    <w:sdt>
      <w:sdtPr>
        <w:rPr>
          <w:rFonts w:ascii="Calibri" w:hAnsi="Calibri" w:cs="Calibri"/>
          <w:lang w:val="en-US"/>
        </w:rPr>
        <w:tag w:val="MENDELEY_BIBLIOGRAPHY"/>
        <w:id w:val="756562617"/>
        <w:placeholder>
          <w:docPart w:val="DefaultPlaceholder_-1854013440"/>
        </w:placeholder>
      </w:sdtPr>
      <w:sdtContent>
        <w:p w14:paraId="6C7E5E73" w14:textId="4FD60684" w:rsidR="00CD6EA3" w:rsidRPr="008617FB" w:rsidRDefault="00376D81" w:rsidP="001B52B5">
          <w:pPr>
            <w:autoSpaceDE w:val="0"/>
            <w:autoSpaceDN w:val="0"/>
            <w:spacing w:line="480" w:lineRule="auto"/>
            <w:ind w:left="640" w:hanging="640"/>
            <w:divId w:val="1529416097"/>
            <w:rPr>
              <w:rFonts w:ascii="Calibri" w:hAnsi="Calibri" w:cs="Calibri"/>
              <w:lang w:val="fr-FR"/>
            </w:rPr>
          </w:pPr>
          <w:r w:rsidRPr="004F58BC">
            <w:rPr>
              <w:rFonts w:ascii="Calibri" w:hAnsi="Calibri" w:cs="Calibri"/>
              <w:lang w:val="fr-FR"/>
            </w:rPr>
            <w:t>a</w:t>
          </w:r>
          <w:r w:rsidR="00CD6EA3" w:rsidRPr="008617FB">
            <w:rPr>
              <w:rFonts w:ascii="Calibri" w:hAnsi="Calibri" w:cs="Calibri"/>
            </w:rPr>
            <w:t>.</w:t>
          </w:r>
          <w:r w:rsidR="00CD6EA3" w:rsidRPr="008617FB">
            <w:rPr>
              <w:rFonts w:ascii="Calibri" w:hAnsi="Calibri" w:cs="Calibri"/>
            </w:rPr>
            <w:tab/>
            <w:t>Arrais M</w:t>
          </w:r>
          <w:r w:rsidR="001B52B5" w:rsidRPr="008617FB">
            <w:rPr>
              <w:rFonts w:ascii="Calibri" w:hAnsi="Calibri" w:cs="Calibri"/>
              <w:lang w:val="fr-FR"/>
            </w:rPr>
            <w:t xml:space="preserve">, </w:t>
          </w:r>
          <w:proofErr w:type="spellStart"/>
          <w:r w:rsidR="001B52B5" w:rsidRPr="008617FB">
            <w:rPr>
              <w:rFonts w:ascii="Calibri" w:hAnsi="Calibri" w:cs="Calibri"/>
              <w:lang w:val="fr-FR"/>
            </w:rPr>
            <w:t>Maricoto</w:t>
          </w:r>
          <w:proofErr w:type="spellEnd"/>
          <w:r w:rsidR="001B52B5" w:rsidRPr="008617FB">
            <w:rPr>
              <w:rFonts w:ascii="Calibri" w:hAnsi="Calibri" w:cs="Calibri"/>
              <w:lang w:val="fr-FR"/>
            </w:rPr>
            <w:t xml:space="preserve"> T, </w:t>
          </w:r>
          <w:proofErr w:type="spellStart"/>
          <w:r w:rsidR="001B52B5" w:rsidRPr="008617FB">
            <w:rPr>
              <w:rFonts w:ascii="Calibri" w:hAnsi="Calibri" w:cs="Calibri"/>
              <w:lang w:val="fr-FR"/>
            </w:rPr>
            <w:t>Nwaru</w:t>
          </w:r>
          <w:proofErr w:type="spellEnd"/>
          <w:r w:rsidR="001B52B5" w:rsidRPr="008617FB">
            <w:rPr>
              <w:rFonts w:ascii="Calibri" w:hAnsi="Calibri" w:cs="Calibri"/>
              <w:lang w:val="fr-FR"/>
            </w:rPr>
            <w:t xml:space="preserve"> B</w:t>
          </w:r>
          <w:r w:rsidR="00FF2A06">
            <w:rPr>
              <w:rFonts w:ascii="Calibri" w:hAnsi="Calibri" w:cs="Calibri"/>
              <w:lang w:val="fr-FR"/>
            </w:rPr>
            <w:t>I</w:t>
          </w:r>
          <w:r w:rsidR="001B52B5" w:rsidRPr="008617FB">
            <w:rPr>
              <w:rFonts w:ascii="Calibri" w:hAnsi="Calibri" w:cs="Calibri"/>
              <w:lang w:val="fr-FR"/>
            </w:rPr>
            <w:t xml:space="preserve">, </w:t>
          </w:r>
          <w:r w:rsidR="00CD6EA3" w:rsidRPr="008617FB">
            <w:rPr>
              <w:rFonts w:ascii="Calibri" w:hAnsi="Calibri" w:cs="Calibri"/>
            </w:rPr>
            <w:t xml:space="preserve">et al. Helminth infections and allergic diseases: systematic review and meta-analysis of the global literature. J Allergy Clin Immunol </w:t>
          </w:r>
          <w:r w:rsidR="001B52B5" w:rsidRPr="008617FB">
            <w:rPr>
              <w:rFonts w:ascii="Calibri" w:hAnsi="Calibri" w:cs="Calibri"/>
              <w:lang w:val="fr-FR"/>
            </w:rPr>
            <w:t xml:space="preserve">2022; </w:t>
          </w:r>
          <w:r w:rsidR="00CD6EA3" w:rsidRPr="008617FB">
            <w:rPr>
              <w:rFonts w:ascii="Calibri" w:hAnsi="Calibri" w:cs="Calibri"/>
            </w:rPr>
            <w:t>149</w:t>
          </w:r>
          <w:r w:rsidR="001B52B5" w:rsidRPr="008617FB">
            <w:rPr>
              <w:rFonts w:ascii="Calibri" w:hAnsi="Calibri" w:cs="Calibri"/>
              <w:lang w:val="fr-FR"/>
            </w:rPr>
            <w:t>:</w:t>
          </w:r>
          <w:r w:rsidR="00CD6EA3" w:rsidRPr="008617FB">
            <w:rPr>
              <w:rFonts w:ascii="Calibri" w:hAnsi="Calibri" w:cs="Calibri"/>
            </w:rPr>
            <w:t xml:space="preserve"> 2139–2152</w:t>
          </w:r>
          <w:r w:rsidR="001B52B5" w:rsidRPr="008617FB">
            <w:rPr>
              <w:rFonts w:ascii="Calibri" w:hAnsi="Calibri" w:cs="Calibri"/>
              <w:lang w:val="fr-FR"/>
            </w:rPr>
            <w:t>.</w:t>
          </w:r>
        </w:p>
      </w:sdtContent>
    </w:sdt>
    <w:sectPr w:rsidR="00CD6EA3" w:rsidRPr="008617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0B"/>
    <w:rsid w:val="000C2B89"/>
    <w:rsid w:val="001B52B5"/>
    <w:rsid w:val="001E03A2"/>
    <w:rsid w:val="002B7917"/>
    <w:rsid w:val="002E0541"/>
    <w:rsid w:val="00353EF1"/>
    <w:rsid w:val="00367FDA"/>
    <w:rsid w:val="00376D81"/>
    <w:rsid w:val="003828AD"/>
    <w:rsid w:val="003915AF"/>
    <w:rsid w:val="003B0E71"/>
    <w:rsid w:val="004260AE"/>
    <w:rsid w:val="00440E6D"/>
    <w:rsid w:val="004902DC"/>
    <w:rsid w:val="004B07BF"/>
    <w:rsid w:val="004F58BC"/>
    <w:rsid w:val="006F08B5"/>
    <w:rsid w:val="0078405C"/>
    <w:rsid w:val="008617FB"/>
    <w:rsid w:val="008C5064"/>
    <w:rsid w:val="00900B9F"/>
    <w:rsid w:val="00976AF7"/>
    <w:rsid w:val="00A064E6"/>
    <w:rsid w:val="00B0110B"/>
    <w:rsid w:val="00B76006"/>
    <w:rsid w:val="00C04741"/>
    <w:rsid w:val="00C14729"/>
    <w:rsid w:val="00C75276"/>
    <w:rsid w:val="00C7696D"/>
    <w:rsid w:val="00CB0022"/>
    <w:rsid w:val="00CD6EA3"/>
    <w:rsid w:val="00D463E9"/>
    <w:rsid w:val="00F54F04"/>
    <w:rsid w:val="00FC461D"/>
    <w:rsid w:val="00FE107E"/>
    <w:rsid w:val="00FF2A0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CAE76"/>
  <w15:chartTrackingRefBased/>
  <w15:docId w15:val="{7AC05109-DAA2-4942-AA9F-8EFB3FF9B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0B"/>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6006"/>
    <w:rPr>
      <w:color w:val="808080"/>
    </w:rPr>
  </w:style>
  <w:style w:type="character" w:styleId="CommentReference">
    <w:name w:val="annotation reference"/>
    <w:basedOn w:val="DefaultParagraphFont"/>
    <w:uiPriority w:val="99"/>
    <w:semiHidden/>
    <w:unhideWhenUsed/>
    <w:rsid w:val="003B0E71"/>
    <w:rPr>
      <w:sz w:val="16"/>
      <w:szCs w:val="16"/>
    </w:rPr>
  </w:style>
  <w:style w:type="paragraph" w:styleId="CommentText">
    <w:name w:val="annotation text"/>
    <w:basedOn w:val="Normal"/>
    <w:link w:val="CommentTextChar"/>
    <w:uiPriority w:val="99"/>
    <w:semiHidden/>
    <w:unhideWhenUsed/>
    <w:rsid w:val="003B0E71"/>
    <w:rPr>
      <w:sz w:val="20"/>
      <w:szCs w:val="20"/>
    </w:rPr>
  </w:style>
  <w:style w:type="character" w:customStyle="1" w:styleId="CommentTextChar">
    <w:name w:val="Comment Text Char"/>
    <w:basedOn w:val="DefaultParagraphFont"/>
    <w:link w:val="CommentText"/>
    <w:uiPriority w:val="99"/>
    <w:semiHidden/>
    <w:rsid w:val="003B0E71"/>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3B0E71"/>
    <w:rPr>
      <w:b/>
      <w:bCs/>
    </w:rPr>
  </w:style>
  <w:style w:type="character" w:customStyle="1" w:styleId="CommentSubjectChar">
    <w:name w:val="Comment Subject Char"/>
    <w:basedOn w:val="CommentTextChar"/>
    <w:link w:val="CommentSubject"/>
    <w:uiPriority w:val="99"/>
    <w:semiHidden/>
    <w:rsid w:val="003B0E71"/>
    <w:rPr>
      <w:rFonts w:ascii="Times New Roman" w:eastAsia="Times New Roman" w:hAnsi="Times New Roman" w:cs="Times New Roman"/>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1984">
      <w:bodyDiv w:val="1"/>
      <w:marLeft w:val="0"/>
      <w:marRight w:val="0"/>
      <w:marTop w:val="0"/>
      <w:marBottom w:val="0"/>
      <w:divBdr>
        <w:top w:val="none" w:sz="0" w:space="0" w:color="auto"/>
        <w:left w:val="none" w:sz="0" w:space="0" w:color="auto"/>
        <w:bottom w:val="none" w:sz="0" w:space="0" w:color="auto"/>
        <w:right w:val="none" w:sz="0" w:space="0" w:color="auto"/>
      </w:divBdr>
    </w:div>
    <w:div w:id="1640065623">
      <w:bodyDiv w:val="1"/>
      <w:marLeft w:val="0"/>
      <w:marRight w:val="0"/>
      <w:marTop w:val="0"/>
      <w:marBottom w:val="0"/>
      <w:divBdr>
        <w:top w:val="none" w:sz="0" w:space="0" w:color="auto"/>
        <w:left w:val="none" w:sz="0" w:space="0" w:color="auto"/>
        <w:bottom w:val="none" w:sz="0" w:space="0" w:color="auto"/>
        <w:right w:val="none" w:sz="0" w:space="0" w:color="auto"/>
      </w:divBdr>
      <w:divsChild>
        <w:div w:id="152941609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2231480-FAA3-9E42-B105-35EF011FE5D8}"/>
      </w:docPartPr>
      <w:docPartBody>
        <w:p w:rsidR="00313369" w:rsidRDefault="007665D1">
          <w:r w:rsidRPr="0004204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5D1"/>
    <w:rsid w:val="00004764"/>
    <w:rsid w:val="000C10B4"/>
    <w:rsid w:val="00313369"/>
    <w:rsid w:val="00336016"/>
    <w:rsid w:val="005D2049"/>
    <w:rsid w:val="006727B2"/>
    <w:rsid w:val="006B16EA"/>
    <w:rsid w:val="00727241"/>
    <w:rsid w:val="007665D1"/>
    <w:rsid w:val="008D166E"/>
    <w:rsid w:val="009A0FB7"/>
    <w:rsid w:val="00AE4ECC"/>
    <w:rsid w:val="00B92AC5"/>
    <w:rsid w:val="00BD6B5C"/>
    <w:rsid w:val="00C23F7C"/>
    <w:rsid w:val="00D06EE9"/>
    <w:rsid w:val="00D8315F"/>
    <w:rsid w:val="00E614A3"/>
    <w:rsid w:val="00F52E45"/>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BE"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3F7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594C8B1-B13D-9E42-8391-01D231BFD24B}">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3bc916ba-7226-4173-855b-412b2a56280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2JjOTE2YmEtNzIyNi00MTczLTg1NWItNDEyYjJhNTYyODA4IiwicHJvcGVydGllcyI6eyJub3RlSW5kZXgiOjB9LCJpc0VkaXRlZCI6ZmFsc2UsIm1hbnVhbE92ZXJyaWRlIjp7ImlzTWFudWFsbHlPdmVycmlkZGVuIjpmYWxzZSwiY2l0ZXByb2NUZXh0IjoiPHN1cD4xPC9zdXA+IiwibWFudWFsT3ZlcnJpZGVUZXh0IjoiIn0sImNpdGF0aW9uSXRlbXMiOlt7ImlkIjoiMzZhZTUxYzMtZWUzMS0zNDdjLWEzNDgtY2RhZjAwNThlY2JhIiwiaXRlbURhdGEiOnsidHlwZSI6ImFydGljbGUtam91cm5hbCIsImlkIjoiMzZhZTUxYzMtZWUzMS0zNDdjLWEzNDgtY2RhZjAwNThlY2JhIiwidGl0bGUiOiJIZWxtaW50aCBpbmZlY3Rpb25zIGFuZCBhbGxlcmdpYyBkaXNlYXNlczogc3lzdGVtYXRpYyByZXZpZXcgYW5kIG1ldGEtYW5hbHlzaXMgb2YgdGhlIGdsb2JhbCBsaXRlcmF0dXJlIiwiYXV0aG9yIjpbeyJmYW1pbHkiOiJBcnJhaXMiLCJnaXZlbiI6Ik1hcmdhcmV0ZSIsInBhcnNlLW5hbWVzIjpmYWxzZSwiZHJvcHBpbmctcGFydGljbGUiOiIiLCJub24tZHJvcHBpbmctcGFydGljbGUiOiIifSx7ImZhbWlseSI6Ik1hcmljb3RvIiwiZ2l2ZW4iOiJUaWFnbyIsInBhcnNlLW5hbWVzIjpmYWxzZSwiZHJvcHBpbmctcGFydGljbGUiOiIiLCJub24tZHJvcHBpbmctcGFydGljbGUiOiIifSx7ImZhbWlseSI6Ik53YXJ1IiwiZ2l2ZW4iOiJCcmlnaHQgSS4iLCJwYXJzZS1uYW1lcyI6ZmFsc2UsImRyb3BwaW5nLXBhcnRpY2xlIjoiIiwibm9uLWRyb3BwaW5nLXBhcnRpY2xlIjoiIn0seyJmYW1pbHkiOiJDb29wZXIiLCJnaXZlbiI6IlBoaWxpcCBKLiIsInBhcnNlLW5hbWVzIjpmYWxzZSwiZHJvcHBpbmctcGFydGljbGUiOiIiLCJub24tZHJvcHBpbmctcGFydGljbGUiOiIifSx7ImZhbWlseSI6IkdhbWEiLCJnaXZlbiI6IkpvcmdlIE0uUi4iLCJwYXJzZS1uYW1lcyI6ZmFsc2UsImRyb3BwaW5nLXBhcnRpY2xlIjoiIiwibm9uLWRyb3BwaW5nLXBhcnRpY2xlIjoiIn0seyJmYW1pbHkiOiJCcml0byIsImdpdmVuIjoiTWlndWVsIiwicGFyc2UtbmFtZXMiOmZhbHNlLCJkcm9wcGluZy1wYXJ0aWNsZSI6IiIsIm5vbi1kcm9wcGluZy1wYXJ0aWNsZSI6IiJ9LHsiZmFtaWx5IjoiVGFib3JkYS1CYXJhdGEiLCJnaXZlbiI6Ikx1aXMiLCJwYXJzZS1uYW1lcyI6ZmFsc2UsImRyb3BwaW5nLXBhcnRpY2xlIjoiIiwibm9uLWRyb3BwaW5nLXBhcnRpY2xlIjoiIn1dLCJjb250YWluZXItdGl0bGUiOiJKIEFsbGVyZ3kgQ2xpbiBJbW11bm9sIiwiRE9JIjoiMTAuMTAxNi9qLmphY2kuMjAyMS4xMi43NzciLCJJU1NOIjoiMTA5NzY4MjUiLCJQTUlEIjoiMzQ5Njg1MjkiLCJVUkwiOiJodHRwczovL3B1Ym1lZC5uY2JpLm5sbS5uaWguZ292LzM0OTY4NTI5LyIsImlzc3VlZCI6eyJkYXRlLXBhcnRzIjpbWzIwMjIsNiwxXV19LCJwYWdlIjoiMjEzOS0yMTUyIiwiYWJzdHJhY3QiOiJCYWNrZ3JvdW5kOiBUaGVyZSBpcyBjb25zaWRlcmFibGUgcmVzZWFyY2ggaW50ZXJlc3QgaW4gdGhlIHJvbGUgb2YgaGVsbWludGggaW5mZWN0aW9ucyBpbiB0aGUgZGV2ZWxvcG1lbnQgb2YgYWxsZXJnaWMgZGlzZWFzZXMuIEhvd2V2ZXIsIGZpbmRpbmdzIGZyb20gcHJldmlvdXMgc3R1ZGllcyBhcmUgbWl4ZWQuIEV4aXN0aW5nIHN5c3RlbWF0aWMgcmV2aWV3cyBvZiB0aGVzZSBzdHVkaWVzIGFyZSBvdXRkYXRlZC4gV2UgcGVyZm9ybWVkIGEgc3lzdGVtYXRpYyByZXZpZXcgb2YgdGhlIGdsb2JhbCBsaXRlcmF0dXJlIG9uIHRoZSBhc3NvY2lhdGlvbiBiZXR3ZWVuIGhlbG1pbnRoIGluZmVjdGlvbnMgYW5kIGRldmVsb3BtZW50IGFuZCBjbGluaWNhbCBvdXRjb21lcyBvZiBhbGxlcmdpYyBkaXNlYXNlcy4gTWV0aG9kczogV2Ugc2VhcmNoZWQgQ29jaHJhbmUgTGlicmFyeSwgTUVETElORSwgRU1CQVNFLCBJU0kgV2ViIG9mIFNjaWVuY2UsIFB1Yk1lZCwgR2xvYmFsIEluZGV4IE1lZGljdXMsIFNjaWVsbywgS29yZWFNZWQsIEdvb2dsZSBTY2hvbGFyLCBhbmQgTGlsYWNzIGZvciBzdHVkaWVzIHB1Ymxpc2hlZCB1cCB0byBKYW51YXJ5IDIwMjAuIFdlIGluY2x1ZGVkIG9ic2VydmF0aW9uYWwgZXBpZGVtaW9sb2dpY2FsIHN0dWRpZXMgKGNvaG9ydCwgY2FzZS1jb250cm9sLCBhbmQgY3Jvc3Mtc2VjdGlvbmFsIHN0dWRpZXMpIG9mIGNoaWxkcmVuIGFuZCBhZHVsdHMgcmVwb3J0aW5nIGFzc29jaWF0aW9ucyBiZXR3ZWVuIGhlbG1pbnRoIGluZmVjdGlvbnMgYW5kIGFzdGhtYSwgYWxsZXJnaWMgcmhpbml0aXMsIGVjemVtYSwgYW5kIGF0b3B5LiBXZSBwZXJmb3JtZWQgcmFuZG9tLWVmZmVjdHMgbWV0YS1hbmFseXNpcyB0byBzdW1tYXJpemUgdGhlIGVmZmVjdCBlc3RpbWF0ZXMuIFJlc3VsdHM6IFdlIGluY2x1ZGVkIDgwIHN0dWRpZXMgd2l0aCA5OSw5NjcgcGFydGljaXBhbnRzLiBJbiB0aGUgbWV0YS1hbmFseXNlcywgd2UgZGlkIG5vdCBvYnNlcnZlIGFuIG92ZXJhbGwgYXNzb2NpYXRpb24gYmV0d2VlbiBoZWxtaW50aCBpbmZlY3Rpb25zIGFuZCBhbGxlcmdpYyBkaXNlYXNlcy4gVGhlcmUgd2FzLCBob3dldmVyLCBldmlkZW5jZSB0aGF0IEFzY2FyaXMgbHVtYnJpY29pZGVzIGluZmVjdGlvbnMgd2VyZSBhc3NvY2lhdGVkIHdpdGggYW4gaW5jcmVhc2VkIHJpc2sgb2YgYnJvbmNoaWFsIGh5cGVycmVhY3Rpdml0eSBpbiBjaGlsZHJlbiAocmlzayByYXRpbywgMS40MTsgOTUlIENJLCAxLjE3LTEuNzA7IEkyID0gNTA7IFAgZm9yIEkyID0uMDkpLCBhbmQgd2VyZSBhc3NvY2lhdGVkIHdpdGggYW4gaW5jcmVhc2VkIHJpc2sgb2YgYXRvcHkgYW1vbmcgaGVsbWludGgtaW5mZWN0ZWQgYWR1bHRzIChyaXNrIHJhdGlvLCAxLjM3OyA5NSUgQ0ksIDEuMTgtMS42MTsgSTIgPSA1MjsgUCBmb3IgSTIgPS4wMikuIFdlIGZvdW5kIG5vIHN0dWR5IHRoYXQgYWRkcmVzc2VkIHRoZSBhc3NvY2lhdGlvbiBiZXR3ZWVuIGhlbG1pbnRoIGluZmVjdGlvbiBhbmQgY2xpbmljYWwgb3V0Y29tZXMgb2YgYWxsZXJnaWMgZGlzZWFzZXMuIFRoZSBvdmVyYWxsIHN0cmVuZ3RoIG9mIHRoZSB1bmRlcmx5aW5nIGV2aWRlbmNlIHdhcyBsb3cgdG8gbW9kZXJhdGUuIENvbmNsdXNpb25zOiBIZWxtaW50aCBpbmZlY3Rpb25zIG1heSBpbmNyZWFzZSB0aGUgcmlzayBvZiBicm9uY2hpYWwgaHlwZXJyZWFjdGl2aXR5IGluIGNoaWxkcmVuIGFuZCBhdG9weSBpbiBhZHVsdHMuIFdlbGwtZGVzaWduZWQgbG9uZ2l0dWRpbmFsIGNvaG9ydHMgbWF5IGhlbHAgY2xhcmlmeSBwb3RlbnRpYWwgY2F1c2FsIGFzc29jaWF0aW9ucyBiZXR3ZWVuIGNocm9uaWMgaGVsbWludGggaW5mZWN0aW9ucyBhbmQgYWxsZXJnaWMgZGlzZWFzZXMuIiwiaXNzdWUiOiI2Iiwidm9sdW1lIjoiMTQ5IiwiY29udGFpbmVyLXRpdGxlLXNob3J0IjoiIn0sImlzVGVtcG9yYXJ5IjpmYWxzZX1dfQ==&quot;,&quot;citationItems&quot;:[{&quot;id&quot;:&quot;36ae51c3-ee31-347c-a348-cdaf0058ecba&quot;,&quot;itemData&quot;:{&quot;type&quot;:&quot;article-journal&quot;,&quot;id&quot;:&quot;36ae51c3-ee31-347c-a348-cdaf0058ecba&quot;,&quot;title&quot;:&quot;Helminth infections and allergic diseases: systematic review and meta-analysis of the global literature&quot;,&quot;author&quot;:[{&quot;family&quot;:&quot;Arrais&quot;,&quot;given&quot;:&quot;Margarete&quot;,&quot;parse-names&quot;:false,&quot;dropping-particle&quot;:&quot;&quot;,&quot;non-dropping-particle&quot;:&quot;&quot;},{&quot;family&quot;:&quot;Maricoto&quot;,&quot;given&quot;:&quot;Tiago&quot;,&quot;parse-names&quot;:false,&quot;dropping-particle&quot;:&quot;&quot;,&quot;non-dropping-particle&quot;:&quot;&quot;},{&quot;family&quot;:&quot;Nwaru&quot;,&quot;given&quot;:&quot;Bright I.&quot;,&quot;parse-names&quot;:false,&quot;dropping-particle&quot;:&quot;&quot;,&quot;non-dropping-particle&quot;:&quot;&quot;},{&quot;family&quot;:&quot;Cooper&quot;,&quot;given&quot;:&quot;Philip J.&quot;,&quot;parse-names&quot;:false,&quot;dropping-particle&quot;:&quot;&quot;,&quot;non-dropping-particle&quot;:&quot;&quot;},{&quot;family&quot;:&quot;Gama&quot;,&quot;given&quot;:&quot;Jorge M.R.&quot;,&quot;parse-names&quot;:false,&quot;dropping-particle&quot;:&quot;&quot;,&quot;non-dropping-particle&quot;:&quot;&quot;},{&quot;family&quot;:&quot;Brito&quot;,&quot;given&quot;:&quot;Miguel&quot;,&quot;parse-names&quot;:false,&quot;dropping-particle&quot;:&quot;&quot;,&quot;non-dropping-particle&quot;:&quot;&quot;},{&quot;family&quot;:&quot;Taborda-Barata&quot;,&quot;given&quot;:&quot;Luis&quot;,&quot;parse-names&quot;:false,&quot;dropping-particle&quot;:&quot;&quot;,&quot;non-dropping-particle&quot;:&quot;&quot;}],&quot;container-title&quot;:&quot;J Allergy Clin Immunol&quot;,&quot;DOI&quot;:&quot;10.1016/j.jaci.2021.12.777&quot;,&quot;ISSN&quot;:&quot;10976825&quot;,&quot;PMID&quot;:&quot;34968529&quot;,&quot;URL&quot;:&quot;https://pubmed.ncbi.nlm.nih.gov/34968529/&quot;,&quot;issued&quot;:{&quot;date-parts&quot;:[[2022,6,1]]},&quot;page&quot;:&quot;2139-2152&quot;,&quot;abstract&quot;:&quot;Background: There is considerable research interest in the role of helminth infections in the development of allergic diseases. However, findings from previous studies are mixed. Existing systematic reviews of these studies are outdated. We performed a systematic review of the global literature on the association between helminth infections and development and clinical outcomes of allergic diseases. Methods: We searched Cochrane Library, MEDLINE, EMBASE, ISI Web of Science, PubMed, Global Index Medicus, Scielo, KoreaMed, Google Scholar, and Lilacs for studies published up to January 2020. We included observational epidemiological studies (cohort, case-control, and cross-sectional studies) of children and adults reporting associations between helminth infections and asthma, allergic rhinitis, eczema, and atopy. We performed random-effects meta-analysis to summarize the effect estimates. Results: We included 80 studies with 99,967 participants. In the meta-analyses, we did not observe an overall association between helminth infections and allergic diseases. There was, however, evidence that Ascaris lumbricoides infections were associated with an increased risk of bronchial hyperreactivity in children (risk ratio, 1.41; 95% CI, 1.17-1.70; I2 = 50; P for I2 =.09), and were associated with an increased risk of atopy among helminth-infected adults (risk ratio, 1.37; 95% CI, 1.18-1.61; I2 = 52; P for I2 =.02). We found no study that addressed the association between helminth infection and clinical outcomes of allergic diseases. The overall strength of the underlying evidence was low to moderate. Conclusions: Helminth infections may increase the risk of bronchial hyperreactivity in children and atopy in adults. Well-designed longitudinal cohorts may help clarify potential causal associations between chronic helminth infections and allergic diseases.&quot;,&quot;issue&quot;:&quot;6&quot;,&quot;volume&quot;:&quot;149&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6010B-0B59-964F-A0E6-1FA9B3635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97</Words>
  <Characters>554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Ayla Pauwels</dc:creator>
  <cp:keywords/>
  <dc:description/>
  <cp:lastModifiedBy>Ayla Pauwels</cp:lastModifiedBy>
  <cp:revision>7</cp:revision>
  <dcterms:created xsi:type="dcterms:W3CDTF">2024-08-18T18:42:00Z</dcterms:created>
  <dcterms:modified xsi:type="dcterms:W3CDTF">2024-08-23T14:22:00Z</dcterms:modified>
</cp:coreProperties>
</file>